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453D6" w14:paraId="03788962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2446B0" w14:textId="77777777" w:rsidR="00132EA9" w:rsidRPr="00D453D6" w:rsidRDefault="00132EA9" w:rsidP="006F76EE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B87A5F" w14:textId="77777777" w:rsidR="00132EA9" w:rsidRPr="00D453D6" w:rsidRDefault="00132EA9" w:rsidP="00F01738">
            <w:pPr>
              <w:spacing w:after="80" w:line="300" w:lineRule="exact"/>
              <w:rPr>
                <w:sz w:val="28"/>
                <w:lang w:val="fr-FR"/>
              </w:rPr>
            </w:pPr>
            <w:r w:rsidRPr="00D453D6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3B5D56" w14:textId="4AD59A5A" w:rsidR="00132EA9" w:rsidRPr="00D453D6" w:rsidRDefault="006F76EE" w:rsidP="006F76EE">
            <w:pPr>
              <w:jc w:val="right"/>
              <w:rPr>
                <w:lang w:val="fr-FR"/>
              </w:rPr>
            </w:pPr>
            <w:r w:rsidRPr="00D453D6">
              <w:rPr>
                <w:sz w:val="40"/>
                <w:lang w:val="fr-FR"/>
              </w:rPr>
              <w:t>ST</w:t>
            </w:r>
            <w:r w:rsidRPr="00D453D6">
              <w:rPr>
                <w:lang w:val="fr-FR"/>
              </w:rPr>
              <w:t>/SG/AC</w:t>
            </w:r>
            <w:r w:rsidR="004846C1" w:rsidRPr="00D453D6">
              <w:rPr>
                <w:lang w:val="fr-FR"/>
              </w:rPr>
              <w:t>.</w:t>
            </w:r>
            <w:r w:rsidRPr="00D453D6">
              <w:rPr>
                <w:lang w:val="fr-FR"/>
              </w:rPr>
              <w:t>10/C</w:t>
            </w:r>
            <w:r w:rsidR="004846C1" w:rsidRPr="00D453D6">
              <w:rPr>
                <w:lang w:val="fr-FR"/>
              </w:rPr>
              <w:t>.</w:t>
            </w:r>
            <w:r w:rsidRPr="00D453D6">
              <w:rPr>
                <w:lang w:val="fr-FR"/>
              </w:rPr>
              <w:t>3/2024/9</w:t>
            </w:r>
          </w:p>
        </w:tc>
      </w:tr>
      <w:tr w:rsidR="00132EA9" w:rsidRPr="00D453D6" w14:paraId="5C713D1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23B1F9C" w14:textId="77777777" w:rsidR="00132EA9" w:rsidRPr="00D453D6" w:rsidRDefault="00132EA9" w:rsidP="00F01738">
            <w:pPr>
              <w:spacing w:before="120"/>
              <w:jc w:val="center"/>
              <w:rPr>
                <w:lang w:val="fr-FR"/>
              </w:rPr>
            </w:pPr>
            <w:r w:rsidRPr="00D453D6">
              <w:rPr>
                <w:noProof/>
                <w:lang w:val="fr-FR" w:eastAsia="fr-CH"/>
              </w:rPr>
              <w:drawing>
                <wp:inline distT="0" distB="0" distL="0" distR="0" wp14:anchorId="7C033717" wp14:editId="226560D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38878C" w14:textId="77777777" w:rsidR="00132EA9" w:rsidRPr="00D453D6" w:rsidRDefault="00132EA9" w:rsidP="00F01738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D453D6">
              <w:rPr>
                <w:b/>
                <w:sz w:val="40"/>
                <w:szCs w:val="40"/>
                <w:lang w:val="fr-FR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E192DA7" w14:textId="36770619" w:rsidR="00132EA9" w:rsidRPr="00D453D6" w:rsidRDefault="006F76EE" w:rsidP="00F01738">
            <w:pPr>
              <w:spacing w:before="240"/>
              <w:rPr>
                <w:lang w:val="fr-FR"/>
              </w:rPr>
            </w:pPr>
            <w:r w:rsidRPr="00D453D6">
              <w:rPr>
                <w:lang w:val="fr-FR"/>
              </w:rPr>
              <w:t>Distr</w:t>
            </w:r>
            <w:r w:rsidR="004846C1" w:rsidRPr="00D453D6">
              <w:rPr>
                <w:lang w:val="fr-FR"/>
              </w:rPr>
              <w:t>.</w:t>
            </w:r>
            <w:r w:rsidRPr="00D453D6">
              <w:rPr>
                <w:lang w:val="fr-FR"/>
              </w:rPr>
              <w:t xml:space="preserve"> générale</w:t>
            </w:r>
          </w:p>
          <w:p w14:paraId="41E065F4" w14:textId="77777777" w:rsidR="006F76EE" w:rsidRPr="00D453D6" w:rsidRDefault="006F76EE" w:rsidP="006F76EE">
            <w:pPr>
              <w:spacing w:line="240" w:lineRule="exact"/>
              <w:rPr>
                <w:lang w:val="fr-FR"/>
              </w:rPr>
            </w:pPr>
            <w:r w:rsidRPr="00D453D6">
              <w:rPr>
                <w:lang w:val="fr-FR"/>
              </w:rPr>
              <w:t>25 mars 2024</w:t>
            </w:r>
          </w:p>
          <w:p w14:paraId="38371A8D" w14:textId="77777777" w:rsidR="006F76EE" w:rsidRPr="00D453D6" w:rsidRDefault="006F76EE" w:rsidP="006F76EE">
            <w:pPr>
              <w:spacing w:line="240" w:lineRule="exact"/>
              <w:rPr>
                <w:lang w:val="fr-FR"/>
              </w:rPr>
            </w:pPr>
            <w:r w:rsidRPr="00D453D6">
              <w:rPr>
                <w:lang w:val="fr-FR"/>
              </w:rPr>
              <w:t>Français</w:t>
            </w:r>
          </w:p>
          <w:p w14:paraId="20B50AEF" w14:textId="52FAE198" w:rsidR="006F76EE" w:rsidRPr="00D453D6" w:rsidRDefault="006F76EE" w:rsidP="006F76EE">
            <w:pPr>
              <w:spacing w:line="240" w:lineRule="exact"/>
              <w:rPr>
                <w:lang w:val="fr-FR"/>
              </w:rPr>
            </w:pPr>
            <w:r w:rsidRPr="00D453D6">
              <w:rPr>
                <w:lang w:val="fr-FR"/>
              </w:rPr>
              <w:t>Original</w:t>
            </w:r>
            <w:r w:rsidR="001F4F50" w:rsidRPr="00D453D6">
              <w:rPr>
                <w:lang w:val="fr-FR"/>
              </w:rPr>
              <w:t> :</w:t>
            </w:r>
            <w:r w:rsidRPr="00D453D6">
              <w:rPr>
                <w:lang w:val="fr-FR"/>
              </w:rPr>
              <w:t xml:space="preserve"> anglais</w:t>
            </w:r>
          </w:p>
        </w:tc>
      </w:tr>
    </w:tbl>
    <w:p w14:paraId="45C549AC" w14:textId="60EB1F94" w:rsidR="006F76EE" w:rsidRPr="00D453D6" w:rsidRDefault="006F76EE" w:rsidP="006F76EE">
      <w:pPr>
        <w:pStyle w:val="SingleTxtG"/>
        <w:ind w:left="0" w:right="3117"/>
        <w:jc w:val="left"/>
        <w:rPr>
          <w:b/>
          <w:bCs/>
          <w:sz w:val="24"/>
          <w:szCs w:val="24"/>
          <w:lang w:val="fr-FR"/>
        </w:rPr>
      </w:pPr>
      <w:r w:rsidRPr="00D453D6">
        <w:rPr>
          <w:b/>
          <w:bCs/>
          <w:sz w:val="24"/>
          <w:szCs w:val="24"/>
          <w:lang w:val="fr-FR"/>
        </w:rPr>
        <w:t>Comité d</w:t>
      </w:r>
      <w:r w:rsidR="001F4F50" w:rsidRPr="00D453D6">
        <w:rPr>
          <w:b/>
          <w:bCs/>
          <w:sz w:val="24"/>
          <w:szCs w:val="24"/>
          <w:lang w:val="fr-FR"/>
        </w:rPr>
        <w:t>’</w:t>
      </w:r>
      <w:r w:rsidRPr="00D453D6">
        <w:rPr>
          <w:b/>
          <w:bCs/>
          <w:sz w:val="24"/>
          <w:szCs w:val="24"/>
          <w:lang w:val="fr-FR"/>
        </w:rPr>
        <w:t>experts du transport des marchandises dangereuses et du Système général harmonisé de classification et d</w:t>
      </w:r>
      <w:r w:rsidR="001F4F50" w:rsidRPr="00D453D6">
        <w:rPr>
          <w:b/>
          <w:bCs/>
          <w:sz w:val="24"/>
          <w:szCs w:val="24"/>
          <w:lang w:val="fr-FR"/>
        </w:rPr>
        <w:t>’</w:t>
      </w:r>
      <w:r w:rsidRPr="00D453D6">
        <w:rPr>
          <w:b/>
          <w:bCs/>
          <w:sz w:val="24"/>
          <w:szCs w:val="24"/>
          <w:lang w:val="fr-FR"/>
        </w:rPr>
        <w:t>étiquetage des produits chimiques</w:t>
      </w:r>
    </w:p>
    <w:p w14:paraId="3CA814C4" w14:textId="7BECB0E1" w:rsidR="006F76EE" w:rsidRPr="00D453D6" w:rsidRDefault="006F76EE" w:rsidP="006F76EE">
      <w:pPr>
        <w:spacing w:after="120"/>
        <w:rPr>
          <w:b/>
          <w:bCs/>
          <w:lang w:val="fr-FR"/>
        </w:rPr>
      </w:pPr>
      <w:r w:rsidRPr="00D453D6">
        <w:rPr>
          <w:b/>
          <w:bCs/>
          <w:lang w:val="fr-FR"/>
        </w:rPr>
        <w:t>Sous-Comité d</w:t>
      </w:r>
      <w:r w:rsidR="001F4F50" w:rsidRPr="00D453D6">
        <w:rPr>
          <w:b/>
          <w:bCs/>
          <w:lang w:val="fr-FR"/>
        </w:rPr>
        <w:t>’</w:t>
      </w:r>
      <w:r w:rsidRPr="00D453D6">
        <w:rPr>
          <w:b/>
          <w:bCs/>
          <w:lang w:val="fr-FR"/>
        </w:rPr>
        <w:t>experts du transport des marchandises dangereuses</w:t>
      </w:r>
    </w:p>
    <w:p w14:paraId="17316F68" w14:textId="77777777" w:rsidR="006F76EE" w:rsidRPr="00D453D6" w:rsidRDefault="006F76EE" w:rsidP="006F76EE">
      <w:pPr>
        <w:rPr>
          <w:b/>
          <w:lang w:val="fr-FR"/>
        </w:rPr>
      </w:pPr>
      <w:r w:rsidRPr="00D453D6">
        <w:rPr>
          <w:b/>
          <w:bCs/>
          <w:lang w:val="fr-FR"/>
        </w:rPr>
        <w:t>Soixante-quatrième session</w:t>
      </w:r>
    </w:p>
    <w:p w14:paraId="5E8BB834" w14:textId="77777777" w:rsidR="006F76EE" w:rsidRPr="00D453D6" w:rsidRDefault="006F76EE" w:rsidP="006F76EE">
      <w:pPr>
        <w:rPr>
          <w:lang w:val="fr-FR"/>
        </w:rPr>
      </w:pPr>
      <w:r w:rsidRPr="00D453D6">
        <w:rPr>
          <w:lang w:val="fr-FR"/>
        </w:rPr>
        <w:t>Genève, 24 juin-3 juillet 2024</w:t>
      </w:r>
    </w:p>
    <w:p w14:paraId="31269169" w14:textId="62CAA1B4" w:rsidR="006F76EE" w:rsidRPr="00D453D6" w:rsidRDefault="006F76EE" w:rsidP="006F76EE">
      <w:pPr>
        <w:rPr>
          <w:lang w:val="fr-FR"/>
        </w:rPr>
      </w:pPr>
      <w:r w:rsidRPr="00D453D6">
        <w:rPr>
          <w:lang w:val="fr-FR"/>
        </w:rPr>
        <w:t>Point 6 d) de l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ordre du jour provisoire</w:t>
      </w:r>
    </w:p>
    <w:p w14:paraId="7191B485" w14:textId="433F6F9B" w:rsidR="006F76EE" w:rsidRPr="00D453D6" w:rsidRDefault="006F76EE" w:rsidP="006F76EE">
      <w:pPr>
        <w:ind w:right="3684"/>
        <w:rPr>
          <w:b/>
          <w:bCs/>
          <w:lang w:val="fr-FR"/>
        </w:rPr>
      </w:pPr>
      <w:r w:rsidRPr="00D453D6">
        <w:rPr>
          <w:b/>
          <w:bCs/>
          <w:lang w:val="fr-FR"/>
        </w:rPr>
        <w:t>Propositions diverses d</w:t>
      </w:r>
      <w:r w:rsidR="001F4F50" w:rsidRPr="00D453D6">
        <w:rPr>
          <w:b/>
          <w:bCs/>
          <w:lang w:val="fr-FR"/>
        </w:rPr>
        <w:t>’</w:t>
      </w:r>
      <w:r w:rsidRPr="00D453D6">
        <w:rPr>
          <w:b/>
          <w:bCs/>
          <w:lang w:val="fr-FR"/>
        </w:rPr>
        <w:t xml:space="preserve">amendements au Règlement type </w:t>
      </w:r>
      <w:r w:rsidRPr="00D453D6">
        <w:rPr>
          <w:b/>
          <w:bCs/>
          <w:lang w:val="fr-FR"/>
        </w:rPr>
        <w:br/>
        <w:t>pour le transport des marchandises dangereuses</w:t>
      </w:r>
      <w:r w:rsidR="001F4F50" w:rsidRPr="00D453D6">
        <w:rPr>
          <w:b/>
          <w:bCs/>
          <w:lang w:val="fr-FR"/>
        </w:rPr>
        <w:t> :</w:t>
      </w:r>
      <w:r w:rsidRPr="00D453D6">
        <w:rPr>
          <w:b/>
          <w:bCs/>
          <w:lang w:val="fr-FR"/>
        </w:rPr>
        <w:t xml:space="preserve"> </w:t>
      </w:r>
      <w:r w:rsidRPr="00D453D6">
        <w:rPr>
          <w:b/>
          <w:bCs/>
          <w:lang w:val="fr-FR"/>
        </w:rPr>
        <w:br/>
        <w:t>Autres propositions diverses</w:t>
      </w:r>
    </w:p>
    <w:p w14:paraId="7DC73B36" w14:textId="77777777" w:rsidR="006F76EE" w:rsidRPr="00D453D6" w:rsidRDefault="006F76EE" w:rsidP="001903A9">
      <w:pPr>
        <w:pStyle w:val="HChG"/>
        <w:spacing w:after="220"/>
        <w:rPr>
          <w:lang w:val="fr-FR"/>
        </w:rPr>
      </w:pPr>
      <w:r w:rsidRPr="00D453D6">
        <w:rPr>
          <w:lang w:val="fr-FR"/>
        </w:rPr>
        <w:tab/>
      </w:r>
      <w:r w:rsidRPr="00D453D6">
        <w:rPr>
          <w:lang w:val="fr-FR"/>
        </w:rPr>
        <w:tab/>
        <w:t>Amendements à la version espagnole</w:t>
      </w:r>
    </w:p>
    <w:p w14:paraId="5F379235" w14:textId="1915523E" w:rsidR="006F76EE" w:rsidRPr="00D453D6" w:rsidRDefault="006F76EE" w:rsidP="001903A9">
      <w:pPr>
        <w:pStyle w:val="H1G"/>
        <w:spacing w:after="220"/>
        <w:rPr>
          <w:lang w:val="fr-FR"/>
        </w:rPr>
      </w:pPr>
      <w:bookmarkStart w:id="0" w:name="_Hlk531350542"/>
      <w:r w:rsidRPr="00D453D6">
        <w:rPr>
          <w:lang w:val="fr-FR"/>
        </w:rPr>
        <w:tab/>
      </w:r>
      <w:r w:rsidRPr="00D453D6">
        <w:rPr>
          <w:lang w:val="fr-FR"/>
        </w:rPr>
        <w:tab/>
        <w:t>Communication de l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expert de l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Espagne</w:t>
      </w:r>
      <w:bookmarkEnd w:id="0"/>
    </w:p>
    <w:p w14:paraId="41763102" w14:textId="02DA26B9" w:rsidR="006F76EE" w:rsidRPr="00D453D6" w:rsidRDefault="006F76EE" w:rsidP="001903A9">
      <w:pPr>
        <w:pStyle w:val="HChG"/>
        <w:spacing w:after="220"/>
        <w:rPr>
          <w:lang w:val="fr-FR"/>
        </w:rPr>
      </w:pPr>
      <w:r w:rsidRPr="00D453D6">
        <w:rPr>
          <w:lang w:val="fr-FR"/>
        </w:rPr>
        <w:tab/>
        <w:t>I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ab/>
        <w:t>Disposition spéciale d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emballage B11</w:t>
      </w:r>
    </w:p>
    <w:p w14:paraId="6E42F68F" w14:textId="3FBA4FEF" w:rsidR="006F76EE" w:rsidRPr="00D453D6" w:rsidRDefault="006F76EE" w:rsidP="001903A9">
      <w:pPr>
        <w:pStyle w:val="SingleTxtG"/>
        <w:spacing w:after="100"/>
        <w:rPr>
          <w:lang w:val="fr-FR"/>
        </w:rPr>
      </w:pPr>
      <w:r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ab/>
        <w:t>Dans le cadre des amendements à la vingt-deuxième édition révisée des Recommandations relatives au transport des marchandises dangereuses, Règlement type (ST/SG/AC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10/1/Rev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22), la modification suivante a été adoptée</w:t>
      </w:r>
      <w:r w:rsidR="001F4F50" w:rsidRPr="00D453D6">
        <w:rPr>
          <w:lang w:val="fr-FR"/>
        </w:rPr>
        <w:t> :</w:t>
      </w:r>
    </w:p>
    <w:p w14:paraId="19F9CE2D" w14:textId="756779C8" w:rsidR="006F76EE" w:rsidRPr="00D453D6" w:rsidRDefault="006F76EE" w:rsidP="001903A9">
      <w:pPr>
        <w:pStyle w:val="SingleTxtG"/>
        <w:spacing w:after="100"/>
        <w:rPr>
          <w:lang w:val="fr-FR"/>
        </w:rPr>
      </w:pPr>
      <w:r w:rsidRPr="00D453D6">
        <w:rPr>
          <w:lang w:val="fr-FR"/>
        </w:rPr>
        <w:tab/>
        <w:t>4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4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2, IBC03, modifier la disposition spéciale d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emballage B11 de sorte qu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elle se lise comme suit</w:t>
      </w:r>
      <w:r w:rsidR="001F4F50" w:rsidRPr="00D453D6">
        <w:rPr>
          <w:lang w:val="fr-FR"/>
        </w:rPr>
        <w:t> :</w:t>
      </w:r>
    </w:p>
    <w:p w14:paraId="1F676280" w14:textId="42E8733F" w:rsidR="006F76EE" w:rsidRPr="00D453D6" w:rsidRDefault="006F76EE" w:rsidP="001903A9">
      <w:pPr>
        <w:pStyle w:val="SingleTxtG"/>
        <w:suppressAutoHyphens w:val="0"/>
        <w:kinsoku/>
        <w:overflowPunct/>
        <w:autoSpaceDE/>
        <w:autoSpaceDN/>
        <w:adjustRightInd/>
        <w:snapToGrid/>
        <w:spacing w:after="100"/>
        <w:ind w:left="1701"/>
        <w:rPr>
          <w:lang w:val="fr-FR"/>
        </w:rPr>
      </w:pPr>
      <w:r w:rsidRPr="00D453D6">
        <w:rPr>
          <w:lang w:val="fr-FR"/>
        </w:rPr>
        <w:tab/>
      </w:r>
      <w:r w:rsidR="00C03E17" w:rsidRPr="00D453D6">
        <w:rPr>
          <w:lang w:val="fr-FR"/>
        </w:rPr>
        <w:t>« </w:t>
      </w:r>
      <w:r w:rsidRPr="00D453D6">
        <w:rPr>
          <w:lang w:val="fr-FR"/>
        </w:rPr>
        <w:t>B11 Nonobstant les dispositions du deuxième alinéa du 4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10, le</w:t>
      </w:r>
      <w:r w:rsidR="00AB4822" w:rsidRPr="00D453D6">
        <w:rPr>
          <w:lang w:val="fr-FR"/>
        </w:rPr>
        <w:t> </w:t>
      </w:r>
      <w:r w:rsidR="001F4F50" w:rsidRPr="00D453D6">
        <w:rPr>
          <w:lang w:val="fr-FR"/>
        </w:rPr>
        <w:t>N</w:t>
      </w:r>
      <w:r w:rsidR="001F4F50" w:rsidRPr="00D453D6">
        <w:rPr>
          <w:vertAlign w:val="superscript"/>
          <w:lang w:val="fr-FR"/>
        </w:rPr>
        <w:t>o</w:t>
      </w:r>
      <w:r w:rsidR="00AB4822" w:rsidRPr="00D453D6">
        <w:rPr>
          <w:lang w:val="fr-FR"/>
        </w:rPr>
        <w:t> </w:t>
      </w:r>
      <w:r w:rsidRPr="00D453D6">
        <w:rPr>
          <w:lang w:val="fr-FR"/>
        </w:rPr>
        <w:t>ONU</w:t>
      </w:r>
      <w:r w:rsidR="00AB4822" w:rsidRPr="00D453D6">
        <w:rPr>
          <w:lang w:val="fr-FR"/>
        </w:rPr>
        <w:t> </w:t>
      </w:r>
      <w:r w:rsidRPr="00D453D6">
        <w:rPr>
          <w:lang w:val="fr-FR"/>
        </w:rPr>
        <w:t xml:space="preserve">2672, ammoniac en </w:t>
      </w:r>
      <w:r w:rsidRPr="00D453D6">
        <w:rPr>
          <w:rFonts w:eastAsia="SimSun"/>
          <w:lang w:val="fr-FR" w:eastAsia="zh-CN"/>
        </w:rPr>
        <w:t>solution</w:t>
      </w:r>
      <w:r w:rsidRPr="00D453D6">
        <w:rPr>
          <w:lang w:val="fr-FR"/>
        </w:rPr>
        <w:t>, en concentrations ne dépassant pas 25</w:t>
      </w:r>
      <w:r w:rsidR="001F4F50" w:rsidRPr="00D453D6">
        <w:rPr>
          <w:lang w:val="fr-FR"/>
        </w:rPr>
        <w:t> %</w:t>
      </w:r>
      <w:r w:rsidRPr="00D453D6">
        <w:rPr>
          <w:lang w:val="fr-FR"/>
        </w:rPr>
        <w:t>, peut être transporté dans des GRV</w:t>
      </w:r>
      <w:r w:rsidR="004846C1" w:rsidRPr="00D453D6">
        <w:rPr>
          <w:lang w:val="fr-FR"/>
        </w:rPr>
        <w:t>.</w:t>
      </w:r>
      <w:r w:rsidR="00C03E17" w:rsidRPr="00D453D6">
        <w:rPr>
          <w:lang w:val="fr-FR"/>
        </w:rPr>
        <w:t> »</w:t>
      </w:r>
    </w:p>
    <w:p w14:paraId="5C3A8D48" w14:textId="4CC3B6E3" w:rsidR="006F76EE" w:rsidRPr="00D453D6" w:rsidRDefault="006F76EE" w:rsidP="001903A9">
      <w:pPr>
        <w:pStyle w:val="SingleTxtG"/>
        <w:spacing w:after="100"/>
        <w:rPr>
          <w:lang w:val="fr-FR"/>
        </w:rPr>
      </w:pPr>
      <w:r w:rsidRPr="00D453D6">
        <w:rPr>
          <w:lang w:val="fr-FR"/>
        </w:rPr>
        <w:t>2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ab/>
        <w:t>Cet amendement n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a pas été correctement pris en compte dans la version espagnole du Règlement type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 xml:space="preserve"> Le libellé actuel est le suivant</w:t>
      </w:r>
      <w:r w:rsidR="001F4F50" w:rsidRPr="00D453D6">
        <w:rPr>
          <w:lang w:val="fr-FR"/>
        </w:rPr>
        <w:t> :</w:t>
      </w:r>
    </w:p>
    <w:p w14:paraId="4D4AF99E" w14:textId="0ED5F212" w:rsidR="006F76EE" w:rsidRPr="00D453D6" w:rsidRDefault="006F76EE" w:rsidP="001903A9">
      <w:pPr>
        <w:pStyle w:val="SingleTxtG"/>
        <w:suppressAutoHyphens w:val="0"/>
        <w:kinsoku/>
        <w:overflowPunct/>
        <w:autoSpaceDE/>
        <w:autoSpaceDN/>
        <w:adjustRightInd/>
        <w:snapToGrid/>
        <w:spacing w:after="100"/>
        <w:ind w:left="1701"/>
        <w:rPr>
          <w:spacing w:val="-2"/>
          <w:lang w:val="fr-FR"/>
        </w:rPr>
      </w:pPr>
      <w:r w:rsidRPr="00D453D6">
        <w:rPr>
          <w:spacing w:val="-2"/>
          <w:lang w:val="fr-FR"/>
        </w:rPr>
        <w:tab/>
      </w:r>
      <w:r w:rsidR="003E3E3B" w:rsidRPr="00D453D6">
        <w:rPr>
          <w:spacing w:val="-2"/>
          <w:lang w:val="fr-FR"/>
        </w:rPr>
        <w:t>« </w:t>
      </w:r>
      <w:r w:rsidRPr="00D453D6">
        <w:rPr>
          <w:spacing w:val="-2"/>
          <w:lang w:val="fr-FR"/>
        </w:rPr>
        <w:t>B11 Sin perjuicio de lo dispuesto en 4</w:t>
      </w:r>
      <w:r w:rsidR="004846C1" w:rsidRPr="00D453D6">
        <w:rPr>
          <w:spacing w:val="-2"/>
          <w:lang w:val="fr-FR"/>
        </w:rPr>
        <w:t>.</w:t>
      </w:r>
      <w:r w:rsidRPr="00D453D6">
        <w:rPr>
          <w:spacing w:val="-2"/>
          <w:lang w:val="fr-FR"/>
        </w:rPr>
        <w:t>1</w:t>
      </w:r>
      <w:r w:rsidR="004846C1" w:rsidRPr="00D453D6">
        <w:rPr>
          <w:spacing w:val="-2"/>
          <w:lang w:val="fr-FR"/>
        </w:rPr>
        <w:t>.</w:t>
      </w:r>
      <w:r w:rsidRPr="00D453D6">
        <w:rPr>
          <w:spacing w:val="-2"/>
          <w:lang w:val="fr-FR"/>
        </w:rPr>
        <w:t>1</w:t>
      </w:r>
      <w:r w:rsidR="004846C1" w:rsidRPr="00D453D6">
        <w:rPr>
          <w:spacing w:val="-2"/>
          <w:lang w:val="fr-FR"/>
        </w:rPr>
        <w:t>.</w:t>
      </w:r>
      <w:r w:rsidRPr="00D453D6">
        <w:rPr>
          <w:spacing w:val="-2"/>
          <w:lang w:val="fr-FR"/>
        </w:rPr>
        <w:t>10, el número</w:t>
      </w:r>
      <w:r w:rsidR="003E3E3B" w:rsidRPr="00D453D6">
        <w:rPr>
          <w:spacing w:val="-2"/>
          <w:lang w:val="fr-FR"/>
        </w:rPr>
        <w:t> </w:t>
      </w:r>
      <w:r w:rsidRPr="00D453D6">
        <w:rPr>
          <w:spacing w:val="-2"/>
          <w:lang w:val="fr-FR"/>
        </w:rPr>
        <w:t>ONU</w:t>
      </w:r>
      <w:r w:rsidR="003E3E3B" w:rsidRPr="00D453D6">
        <w:rPr>
          <w:spacing w:val="-2"/>
          <w:lang w:val="fr-FR"/>
        </w:rPr>
        <w:t> </w:t>
      </w:r>
      <w:r w:rsidRPr="00D453D6">
        <w:rPr>
          <w:spacing w:val="-2"/>
          <w:lang w:val="fr-FR"/>
        </w:rPr>
        <w:t xml:space="preserve">2672 amoniaco en solución, en concentraciones </w:t>
      </w:r>
      <w:r w:rsidR="001F4F50" w:rsidRPr="00D453D6">
        <w:rPr>
          <w:spacing w:val="-2"/>
          <w:lang w:val="fr-FR"/>
        </w:rPr>
        <w:t>no</w:t>
      </w:r>
      <w:r w:rsidRPr="00D453D6">
        <w:rPr>
          <w:spacing w:val="-2"/>
          <w:lang w:val="fr-FR"/>
        </w:rPr>
        <w:t xml:space="preserve"> superiores al 25</w:t>
      </w:r>
      <w:r w:rsidR="001F4F50" w:rsidRPr="00D453D6">
        <w:rPr>
          <w:spacing w:val="-2"/>
          <w:lang w:val="fr-FR"/>
        </w:rPr>
        <w:t> %</w:t>
      </w:r>
      <w:r w:rsidRPr="00D453D6">
        <w:rPr>
          <w:spacing w:val="-2"/>
          <w:lang w:val="fr-FR"/>
        </w:rPr>
        <w:t xml:space="preserve"> podrá transportarse en RIG</w:t>
      </w:r>
      <w:r w:rsidR="004846C1" w:rsidRPr="00D453D6">
        <w:rPr>
          <w:spacing w:val="-2"/>
          <w:lang w:val="fr-FR"/>
        </w:rPr>
        <w:t>.</w:t>
      </w:r>
      <w:r w:rsidR="003E3E3B" w:rsidRPr="00D453D6">
        <w:rPr>
          <w:spacing w:val="-2"/>
          <w:lang w:val="fr-FR"/>
        </w:rPr>
        <w:t> </w:t>
      </w:r>
      <w:r w:rsidR="003E3E3B" w:rsidRPr="00D453D6">
        <w:rPr>
          <w:spacing w:val="-2"/>
          <w:lang w:val="fr-FR"/>
        </w:rPr>
        <w:t>»</w:t>
      </w:r>
    </w:p>
    <w:p w14:paraId="505702E8" w14:textId="6ECB637C" w:rsidR="006F76EE" w:rsidRPr="00D453D6" w:rsidRDefault="006F76EE" w:rsidP="001903A9">
      <w:pPr>
        <w:pStyle w:val="SingleTxtG"/>
        <w:spacing w:after="100"/>
        <w:rPr>
          <w:lang w:val="fr-FR"/>
        </w:rPr>
      </w:pPr>
      <w:r w:rsidRPr="00D453D6">
        <w:rPr>
          <w:lang w:val="fr-FR"/>
        </w:rPr>
        <w:t>3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ab/>
        <w:t xml:space="preserve">Il manque la référence au </w:t>
      </w:r>
      <w:r w:rsidR="003E3E3B" w:rsidRPr="00D453D6">
        <w:rPr>
          <w:lang w:val="fr-FR"/>
        </w:rPr>
        <w:t>« </w:t>
      </w:r>
      <w:r w:rsidRPr="00D453D6">
        <w:rPr>
          <w:lang w:val="fr-FR"/>
        </w:rPr>
        <w:t>deuxième alinéa</w:t>
      </w:r>
      <w:r w:rsidR="003E3E3B" w:rsidRPr="00D453D6">
        <w:rPr>
          <w:lang w:val="fr-FR"/>
        </w:rPr>
        <w:t> »</w:t>
      </w:r>
      <w:r w:rsidR="001F4F50" w:rsidRPr="00D453D6">
        <w:rPr>
          <w:lang w:val="fr-FR"/>
        </w:rPr>
        <w:t> ;</w:t>
      </w:r>
      <w:r w:rsidRPr="00D453D6">
        <w:rPr>
          <w:lang w:val="fr-FR"/>
        </w:rPr>
        <w:t xml:space="preserve"> cette omission doit être corrigée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 xml:space="preserve"> Le</w:t>
      </w:r>
      <w:r w:rsidR="003E3E3B" w:rsidRPr="00D453D6">
        <w:rPr>
          <w:lang w:val="fr-FR"/>
        </w:rPr>
        <w:t> </w:t>
      </w:r>
      <w:r w:rsidRPr="00D453D6">
        <w:rPr>
          <w:lang w:val="fr-FR"/>
        </w:rPr>
        <w:t>libellé correspondant figure dans la proposition 1 ci-dessous</w:t>
      </w:r>
      <w:r w:rsidR="004846C1" w:rsidRPr="00D453D6">
        <w:rPr>
          <w:lang w:val="fr-FR"/>
        </w:rPr>
        <w:t>.</w:t>
      </w:r>
    </w:p>
    <w:p w14:paraId="35175653" w14:textId="283327E6" w:rsidR="006F76EE" w:rsidRPr="00D453D6" w:rsidRDefault="006F76EE" w:rsidP="001903A9">
      <w:pPr>
        <w:pStyle w:val="HChG"/>
        <w:rPr>
          <w:lang w:val="fr-FR"/>
        </w:rPr>
      </w:pPr>
      <w:r w:rsidRPr="00D453D6">
        <w:rPr>
          <w:lang w:val="fr-FR"/>
        </w:rPr>
        <w:tab/>
        <w:t>II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ab/>
      </w:r>
      <w:r w:rsidR="001903A9" w:rsidRPr="00D453D6">
        <w:rPr>
          <w:lang w:val="fr-FR"/>
        </w:rPr>
        <w:t>« </w:t>
      </w:r>
      <w:r w:rsidRPr="00D453D6">
        <w:rPr>
          <w:lang w:val="fr-FR"/>
        </w:rPr>
        <w:t>Palette</w:t>
      </w:r>
      <w:r w:rsidR="001903A9" w:rsidRPr="00D453D6">
        <w:rPr>
          <w:lang w:val="fr-FR"/>
        </w:rPr>
        <w:t> »</w:t>
      </w:r>
      <w:r w:rsidRPr="00D453D6">
        <w:rPr>
          <w:lang w:val="fr-FR"/>
        </w:rPr>
        <w:t xml:space="preserve">, </w:t>
      </w:r>
      <w:r w:rsidR="001903A9" w:rsidRPr="00D453D6">
        <w:rPr>
          <w:lang w:val="fr-FR"/>
        </w:rPr>
        <w:t>« </w:t>
      </w:r>
      <w:r w:rsidRPr="00D453D6">
        <w:rPr>
          <w:lang w:val="fr-FR"/>
        </w:rPr>
        <w:t>palettisé</w:t>
      </w:r>
      <w:r w:rsidR="001903A9" w:rsidRPr="00D453D6">
        <w:rPr>
          <w:lang w:val="fr-FR"/>
        </w:rPr>
        <w:t> »</w:t>
      </w:r>
      <w:r w:rsidRPr="00D453D6">
        <w:rPr>
          <w:lang w:val="fr-FR"/>
        </w:rPr>
        <w:t xml:space="preserve">, </w:t>
      </w:r>
      <w:r w:rsidR="001903A9" w:rsidRPr="00D453D6">
        <w:rPr>
          <w:lang w:val="fr-FR"/>
        </w:rPr>
        <w:t>« </w:t>
      </w:r>
      <w:r w:rsidRPr="00D453D6">
        <w:rPr>
          <w:lang w:val="fr-FR"/>
        </w:rPr>
        <w:t>housse rétractable</w:t>
      </w:r>
      <w:r w:rsidR="001903A9" w:rsidRPr="00D453D6">
        <w:rPr>
          <w:lang w:val="fr-FR"/>
        </w:rPr>
        <w:t> »</w:t>
      </w:r>
      <w:r w:rsidRPr="00D453D6">
        <w:rPr>
          <w:lang w:val="fr-FR"/>
        </w:rPr>
        <w:t xml:space="preserve">, </w:t>
      </w:r>
      <w:r w:rsidR="001903A9" w:rsidRPr="00D453D6">
        <w:rPr>
          <w:lang w:val="fr-FR"/>
        </w:rPr>
        <w:t>« </w:t>
      </w:r>
      <w:r w:rsidRPr="00D453D6">
        <w:rPr>
          <w:lang w:val="fr-FR"/>
        </w:rPr>
        <w:t>housse étirable</w:t>
      </w:r>
      <w:r w:rsidR="001903A9" w:rsidRPr="00D453D6">
        <w:rPr>
          <w:lang w:val="fr-FR"/>
        </w:rPr>
        <w:t> »</w:t>
      </w:r>
    </w:p>
    <w:p w14:paraId="5B577209" w14:textId="289EE56D" w:rsidR="006F76EE" w:rsidRPr="00D453D6" w:rsidRDefault="006F76EE" w:rsidP="001903A9">
      <w:pPr>
        <w:pStyle w:val="SingleTxtG"/>
        <w:spacing w:after="100"/>
        <w:rPr>
          <w:lang w:val="fr-FR"/>
        </w:rPr>
      </w:pPr>
      <w:r w:rsidRPr="00D453D6">
        <w:rPr>
          <w:lang w:val="fr-FR"/>
        </w:rPr>
        <w:t>4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ab/>
        <w:t xml:space="preserve">Il a été constaté que certaines expressions employant les termes </w:t>
      </w:r>
      <w:r w:rsidR="001903A9" w:rsidRPr="00D453D6">
        <w:rPr>
          <w:lang w:val="fr-FR"/>
        </w:rPr>
        <w:t>« </w:t>
      </w:r>
      <w:r w:rsidRPr="00D453D6">
        <w:rPr>
          <w:lang w:val="fr-FR"/>
        </w:rPr>
        <w:t>palette</w:t>
      </w:r>
      <w:r w:rsidR="001903A9" w:rsidRPr="00D453D6">
        <w:rPr>
          <w:lang w:val="fr-FR"/>
        </w:rPr>
        <w:t> »</w:t>
      </w:r>
      <w:r w:rsidRPr="00D453D6">
        <w:rPr>
          <w:lang w:val="fr-FR"/>
        </w:rPr>
        <w:t xml:space="preserve">, </w:t>
      </w:r>
      <w:r w:rsidR="001903A9" w:rsidRPr="00D453D6">
        <w:rPr>
          <w:lang w:val="fr-FR"/>
        </w:rPr>
        <w:t>« </w:t>
      </w:r>
      <w:r w:rsidRPr="00D453D6">
        <w:rPr>
          <w:lang w:val="fr-FR"/>
        </w:rPr>
        <w:t>palettisé</w:t>
      </w:r>
      <w:r w:rsidR="001903A9" w:rsidRPr="00D453D6">
        <w:rPr>
          <w:lang w:val="fr-FR"/>
        </w:rPr>
        <w:t> »</w:t>
      </w:r>
      <w:r w:rsidRPr="00D453D6">
        <w:rPr>
          <w:lang w:val="fr-FR"/>
        </w:rPr>
        <w:t xml:space="preserve">, </w:t>
      </w:r>
      <w:r w:rsidR="001903A9" w:rsidRPr="00D453D6">
        <w:rPr>
          <w:lang w:val="fr-FR"/>
        </w:rPr>
        <w:t>« </w:t>
      </w:r>
      <w:r w:rsidRPr="00D453D6">
        <w:rPr>
          <w:lang w:val="fr-FR"/>
        </w:rPr>
        <w:t>house rétractable</w:t>
      </w:r>
      <w:r w:rsidR="001903A9" w:rsidRPr="00D453D6">
        <w:rPr>
          <w:lang w:val="fr-FR"/>
        </w:rPr>
        <w:t> »</w:t>
      </w:r>
      <w:r w:rsidRPr="00D453D6">
        <w:rPr>
          <w:lang w:val="fr-FR"/>
        </w:rPr>
        <w:t xml:space="preserve"> et </w:t>
      </w:r>
      <w:r w:rsidR="001903A9" w:rsidRPr="00D453D6">
        <w:rPr>
          <w:lang w:val="fr-FR"/>
        </w:rPr>
        <w:t>« </w:t>
      </w:r>
      <w:r w:rsidRPr="00D453D6">
        <w:rPr>
          <w:lang w:val="fr-FR"/>
        </w:rPr>
        <w:t>housse étirable</w:t>
      </w:r>
      <w:r w:rsidR="001903A9" w:rsidRPr="00D453D6">
        <w:rPr>
          <w:lang w:val="fr-FR"/>
        </w:rPr>
        <w:t> »</w:t>
      </w:r>
      <w:r w:rsidRPr="00D453D6">
        <w:rPr>
          <w:lang w:val="fr-FR"/>
        </w:rPr>
        <w:t xml:space="preserve"> n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ont pas été traduites de manière cohérente dans la version espagnole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 xml:space="preserve"> Cela pourrait entraîner des erreurs d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interprétation</w:t>
      </w:r>
      <w:r w:rsidR="001F4F50" w:rsidRPr="00D453D6">
        <w:rPr>
          <w:lang w:val="fr-FR"/>
        </w:rPr>
        <w:t> ;</w:t>
      </w:r>
      <w:r w:rsidRPr="00D453D6">
        <w:rPr>
          <w:lang w:val="fr-FR"/>
        </w:rPr>
        <w:t xml:space="preserve"> il</w:t>
      </w:r>
      <w:r w:rsidR="001903A9" w:rsidRPr="00D453D6">
        <w:rPr>
          <w:lang w:val="fr-FR"/>
        </w:rPr>
        <w:t> </w:t>
      </w:r>
      <w:r w:rsidRPr="00D453D6">
        <w:rPr>
          <w:lang w:val="fr-FR"/>
        </w:rPr>
        <w:t>convient donc de corriger les dispositions concernées</w:t>
      </w:r>
      <w:r w:rsidR="004846C1" w:rsidRPr="00D453D6">
        <w:rPr>
          <w:lang w:val="fr-FR"/>
        </w:rPr>
        <w:t>.</w:t>
      </w:r>
    </w:p>
    <w:p w14:paraId="44BEB2D6" w14:textId="7AD2AA2C" w:rsidR="006F76EE" w:rsidRPr="00D453D6" w:rsidRDefault="006F76EE" w:rsidP="001903A9">
      <w:pPr>
        <w:pStyle w:val="SingleTxtG"/>
        <w:rPr>
          <w:lang w:val="fr-FR"/>
        </w:rPr>
      </w:pPr>
      <w:r w:rsidRPr="00D453D6">
        <w:rPr>
          <w:lang w:val="fr-FR"/>
        </w:rPr>
        <w:t>5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ab/>
        <w:t>Les amendements correspondants figurent dans les propositions 2, 3, 4 et 5 ci-dessous</w:t>
      </w:r>
      <w:r w:rsidR="004846C1" w:rsidRPr="00D453D6">
        <w:rPr>
          <w:lang w:val="fr-FR"/>
        </w:rPr>
        <w:t>.</w:t>
      </w:r>
    </w:p>
    <w:p w14:paraId="62DFA756" w14:textId="24501058" w:rsidR="006F76EE" w:rsidRPr="00D453D6" w:rsidRDefault="006F76EE" w:rsidP="006F76EE">
      <w:pPr>
        <w:pStyle w:val="HChG"/>
        <w:rPr>
          <w:lang w:val="fr-FR"/>
        </w:rPr>
      </w:pPr>
      <w:r w:rsidRPr="00D453D6">
        <w:rPr>
          <w:lang w:val="fr-FR"/>
        </w:rPr>
        <w:lastRenderedPageBreak/>
        <w:tab/>
        <w:t>III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ab/>
        <w:t>Proposition</w:t>
      </w:r>
    </w:p>
    <w:p w14:paraId="39238827" w14:textId="5E16FDB7" w:rsidR="006F76EE" w:rsidRPr="00D453D6" w:rsidRDefault="006F76EE" w:rsidP="006F76EE">
      <w:pPr>
        <w:pStyle w:val="SingleTxtG"/>
        <w:rPr>
          <w:lang w:val="fr-FR"/>
        </w:rPr>
      </w:pPr>
      <w:r w:rsidRPr="00D453D6">
        <w:rPr>
          <w:lang w:val="fr-FR"/>
        </w:rPr>
        <w:t>6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ab/>
        <w:t>Il est proposé d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 xml:space="preserve">apporter les modifications suivantes à la version espagnole (les ajouts figurent en caractères </w:t>
      </w:r>
      <w:r w:rsidRPr="00D453D6">
        <w:rPr>
          <w:b/>
          <w:bCs/>
          <w:lang w:val="fr-FR"/>
        </w:rPr>
        <w:t xml:space="preserve">gras </w:t>
      </w:r>
      <w:r w:rsidRPr="00D453D6">
        <w:rPr>
          <w:lang w:val="fr-FR"/>
        </w:rPr>
        <w:t xml:space="preserve">et les suppressions en caractères </w:t>
      </w:r>
      <w:r w:rsidRPr="00D453D6">
        <w:rPr>
          <w:strike/>
          <w:lang w:val="fr-FR"/>
        </w:rPr>
        <w:t>biffés</w:t>
      </w:r>
      <w:r w:rsidRPr="00D453D6">
        <w:rPr>
          <w:lang w:val="fr-FR"/>
        </w:rPr>
        <w:t>)</w:t>
      </w:r>
      <w:r w:rsidR="001F4F50" w:rsidRPr="00D453D6">
        <w:rPr>
          <w:lang w:val="fr-FR"/>
        </w:rPr>
        <w:t> :</w:t>
      </w:r>
    </w:p>
    <w:p w14:paraId="232B07F4" w14:textId="77777777" w:rsidR="006F76EE" w:rsidRPr="00D453D6" w:rsidRDefault="006F76EE" w:rsidP="006F76EE">
      <w:pPr>
        <w:pStyle w:val="H1G"/>
        <w:rPr>
          <w:lang w:val="fr-FR"/>
        </w:rPr>
      </w:pPr>
      <w:r w:rsidRPr="00D453D6">
        <w:rPr>
          <w:lang w:val="fr-FR"/>
        </w:rPr>
        <w:tab/>
      </w:r>
      <w:r w:rsidRPr="00D453D6">
        <w:rPr>
          <w:lang w:val="fr-FR"/>
        </w:rPr>
        <w:tab/>
        <w:t>Proposition 1</w:t>
      </w:r>
    </w:p>
    <w:p w14:paraId="44DCCF91" w14:textId="2800B500" w:rsidR="006F76EE" w:rsidRPr="00D453D6" w:rsidRDefault="006F76EE" w:rsidP="006F76EE">
      <w:pPr>
        <w:pStyle w:val="SingleTxtG"/>
        <w:rPr>
          <w:lang w:val="fr-FR"/>
        </w:rPr>
      </w:pPr>
      <w:r w:rsidRPr="00D453D6">
        <w:rPr>
          <w:lang w:val="fr-FR"/>
        </w:rPr>
        <w:t>Au 4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4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2, modifier l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instruction d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emballage IBC03 comme suit</w:t>
      </w:r>
      <w:r w:rsidR="001F4F50" w:rsidRPr="00D453D6">
        <w:rPr>
          <w:lang w:val="fr-FR"/>
        </w:rPr>
        <w:t> :</w:t>
      </w:r>
    </w:p>
    <w:p w14:paraId="6613C2CB" w14:textId="6C14F3E1" w:rsidR="006F76EE" w:rsidRPr="00D453D6" w:rsidRDefault="00C63191" w:rsidP="00C63191">
      <w:pPr>
        <w:pStyle w:val="SingleTxtG"/>
        <w:ind w:left="1701"/>
        <w:rPr>
          <w:lang w:val="fr-FR"/>
        </w:rPr>
      </w:pPr>
      <w:r w:rsidRPr="00D453D6">
        <w:rPr>
          <w:lang w:val="fr-FR"/>
        </w:rPr>
        <w:t>« </w:t>
      </w:r>
      <w:r w:rsidR="006F76EE" w:rsidRPr="00D453D6">
        <w:rPr>
          <w:lang w:val="fr-FR"/>
        </w:rPr>
        <w:t xml:space="preserve">B11 Sin perjuicio de lo dispuesto en </w:t>
      </w:r>
      <w:r w:rsidR="006F76EE" w:rsidRPr="00D453D6">
        <w:rPr>
          <w:b/>
          <w:bCs/>
          <w:lang w:val="fr-FR"/>
        </w:rPr>
        <w:t>la segunda línea de</w:t>
      </w:r>
      <w:r w:rsidR="006F76EE" w:rsidRPr="00D453D6">
        <w:rPr>
          <w:lang w:val="fr-FR"/>
        </w:rPr>
        <w:t xml:space="preserve"> 4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 xml:space="preserve">10, el número ONU 2672 amoniaco en solución, en concentraciones </w:t>
      </w:r>
      <w:r w:rsidR="001F4F50" w:rsidRPr="00D453D6">
        <w:rPr>
          <w:lang w:val="fr-FR"/>
        </w:rPr>
        <w:t>no</w:t>
      </w:r>
      <w:r w:rsidR="006F76EE" w:rsidRPr="00D453D6">
        <w:rPr>
          <w:lang w:val="fr-FR"/>
        </w:rPr>
        <w:t xml:space="preserve"> superiores al 25</w:t>
      </w:r>
      <w:r w:rsidR="001F4F50" w:rsidRPr="00D453D6">
        <w:rPr>
          <w:lang w:val="fr-FR"/>
        </w:rPr>
        <w:t> %</w:t>
      </w:r>
      <w:r w:rsidR="006F76EE" w:rsidRPr="00D453D6">
        <w:rPr>
          <w:lang w:val="fr-FR"/>
        </w:rPr>
        <w:t xml:space="preserve"> podrá transportarse en RIG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 »</w:t>
      </w:r>
    </w:p>
    <w:p w14:paraId="1F24CCC6" w14:textId="77777777" w:rsidR="006F76EE" w:rsidRPr="00D453D6" w:rsidRDefault="006F76EE" w:rsidP="006F76EE">
      <w:pPr>
        <w:pStyle w:val="H1G"/>
        <w:rPr>
          <w:lang w:val="fr-FR"/>
        </w:rPr>
      </w:pPr>
      <w:r w:rsidRPr="00D453D6">
        <w:rPr>
          <w:lang w:val="fr-FR"/>
        </w:rPr>
        <w:tab/>
      </w:r>
      <w:r w:rsidRPr="00D453D6">
        <w:rPr>
          <w:lang w:val="fr-FR"/>
        </w:rPr>
        <w:tab/>
        <w:t>Proposition 2</w:t>
      </w:r>
    </w:p>
    <w:p w14:paraId="61D09867" w14:textId="1F0883A1" w:rsidR="006F76EE" w:rsidRPr="00D453D6" w:rsidRDefault="006F76EE" w:rsidP="006F76EE">
      <w:pPr>
        <w:pStyle w:val="SingleTxtG"/>
        <w:rPr>
          <w:lang w:val="fr-FR"/>
        </w:rPr>
      </w:pPr>
      <w:r w:rsidRPr="00D453D6">
        <w:rPr>
          <w:lang w:val="fr-FR"/>
        </w:rPr>
        <w:t>Modifier le paragraphe 1) de l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instruction d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emballage P650 comme suit</w:t>
      </w:r>
      <w:r w:rsidR="001F4F50" w:rsidRPr="00D453D6">
        <w:rPr>
          <w:lang w:val="fr-FR"/>
        </w:rPr>
        <w:t> :</w:t>
      </w:r>
    </w:p>
    <w:p w14:paraId="1A738468" w14:textId="0637BD8C" w:rsidR="006F76EE" w:rsidRPr="00D453D6" w:rsidRDefault="00C464CF" w:rsidP="001B57B5">
      <w:pPr>
        <w:pStyle w:val="SingleTxtG"/>
        <w:ind w:left="1701"/>
        <w:rPr>
          <w:lang w:val="fr-FR"/>
        </w:rPr>
      </w:pPr>
      <w:r w:rsidRPr="00D453D6">
        <w:rPr>
          <w:lang w:val="fr-FR"/>
        </w:rPr>
        <w:t>« </w:t>
      </w:r>
      <w:r w:rsidR="006F76EE" w:rsidRPr="00D453D6">
        <w:rPr>
          <w:lang w:val="fr-FR"/>
        </w:rPr>
        <w:t>Los embalajes/envases deberán ser de buena calidad, suficientemente fuertes como para resistir los choques y las cargas que pueden producirse normalmente durante el transporte, incluido el transbordo entre distintas unidades de transporte y entre unidades de transporte y</w:t>
      </w:r>
      <w:r w:rsidRPr="00D453D6">
        <w:rPr>
          <w:lang w:val="fr-FR"/>
        </w:rPr>
        <w:t> </w:t>
      </w:r>
      <w:r w:rsidR="006F76EE" w:rsidRPr="00D453D6">
        <w:rPr>
          <w:lang w:val="fr-FR"/>
        </w:rPr>
        <w:t>almacenes, así como</w:t>
      </w:r>
      <w:r w:rsidR="006F76EE" w:rsidRPr="00D453D6">
        <w:rPr>
          <w:strike/>
          <w:lang w:val="fr-FR"/>
        </w:rPr>
        <w:t xml:space="preserve"> el izado de palés</w:t>
      </w:r>
      <w:r w:rsidR="006F76EE" w:rsidRPr="00D453D6">
        <w:rPr>
          <w:lang w:val="fr-FR"/>
        </w:rPr>
        <w:t xml:space="preserve"> </w:t>
      </w:r>
      <w:r w:rsidR="006F76EE" w:rsidRPr="00D453D6">
        <w:rPr>
          <w:b/>
          <w:bCs/>
          <w:lang w:val="fr-FR"/>
        </w:rPr>
        <w:t>su retirada del palé</w:t>
      </w:r>
      <w:r w:rsidR="006F76EE" w:rsidRPr="00D453D6">
        <w:rPr>
          <w:lang w:val="fr-FR"/>
        </w:rPr>
        <w:t xml:space="preserve"> o sobreembalajes/sobreenvases para su ulterior manipulación manual o mecánica</w:t>
      </w:r>
      <w:bookmarkStart w:id="1" w:name="_Hlk151455134"/>
      <w:bookmarkEnd w:id="1"/>
      <w:r w:rsidRPr="00D453D6">
        <w:rPr>
          <w:lang w:val="fr-FR"/>
        </w:rPr>
        <w:t> </w:t>
      </w:r>
      <w:r w:rsidRPr="00D453D6">
        <w:rPr>
          <w:lang w:val="fr-FR"/>
        </w:rPr>
        <w:t>»</w:t>
      </w:r>
    </w:p>
    <w:p w14:paraId="5CAB4D37" w14:textId="77777777" w:rsidR="006F76EE" w:rsidRPr="00D453D6" w:rsidRDefault="006F76EE" w:rsidP="006F76EE">
      <w:pPr>
        <w:pStyle w:val="H1G"/>
        <w:rPr>
          <w:lang w:val="fr-FR"/>
        </w:rPr>
      </w:pPr>
      <w:r w:rsidRPr="00D453D6">
        <w:rPr>
          <w:lang w:val="fr-FR"/>
        </w:rPr>
        <w:tab/>
      </w:r>
      <w:r w:rsidRPr="00D453D6">
        <w:rPr>
          <w:lang w:val="fr-FR"/>
        </w:rPr>
        <w:tab/>
        <w:t>Proposition 3</w:t>
      </w:r>
    </w:p>
    <w:p w14:paraId="32BE231A" w14:textId="539D8824" w:rsidR="006F76EE" w:rsidRPr="00D453D6" w:rsidRDefault="006F76EE" w:rsidP="006F76EE">
      <w:pPr>
        <w:pStyle w:val="SingleTxtG"/>
        <w:rPr>
          <w:lang w:val="fr-FR"/>
        </w:rPr>
      </w:pPr>
      <w:r w:rsidRPr="00D453D6">
        <w:rPr>
          <w:lang w:val="fr-FR"/>
        </w:rPr>
        <w:t>Modifier la disposition spéciale d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emballage PP7 comme suit</w:t>
      </w:r>
      <w:r w:rsidR="001F4F50" w:rsidRPr="00D453D6">
        <w:rPr>
          <w:lang w:val="fr-FR"/>
        </w:rPr>
        <w:t> :</w:t>
      </w:r>
    </w:p>
    <w:p w14:paraId="43557A68" w14:textId="09CE8514" w:rsidR="006F76EE" w:rsidRPr="00D453D6" w:rsidRDefault="001B57B5" w:rsidP="001B57B5">
      <w:pPr>
        <w:pStyle w:val="SingleTxtG"/>
        <w:ind w:left="1701"/>
        <w:rPr>
          <w:spacing w:val="-2"/>
          <w:lang w:val="fr-FR"/>
        </w:rPr>
      </w:pPr>
      <w:r w:rsidRPr="00D453D6">
        <w:rPr>
          <w:lang w:val="fr-FR"/>
        </w:rPr>
        <w:t>« </w:t>
      </w:r>
      <w:r w:rsidR="006F76EE" w:rsidRPr="00D453D6">
        <w:rPr>
          <w:lang w:val="fr-FR"/>
        </w:rPr>
        <w:t xml:space="preserve">En el caso del </w:t>
      </w:r>
      <w:r w:rsidR="001F4F50" w:rsidRPr="00D453D6">
        <w:rPr>
          <w:lang w:val="fr-FR"/>
        </w:rPr>
        <w:t>N</w:t>
      </w:r>
      <w:r w:rsidR="001F4F50" w:rsidRPr="00D453D6">
        <w:rPr>
          <w:vertAlign w:val="superscript"/>
          <w:lang w:val="fr-FR"/>
        </w:rPr>
        <w:t>o</w:t>
      </w:r>
      <w:r w:rsidRPr="00D453D6">
        <w:rPr>
          <w:lang w:val="fr-FR"/>
        </w:rPr>
        <w:t> </w:t>
      </w:r>
      <w:r w:rsidR="006F76EE" w:rsidRPr="00D453D6">
        <w:rPr>
          <w:lang w:val="fr-FR"/>
        </w:rPr>
        <w:t xml:space="preserve">ONU 2000, el celuloide podrá transportarse </w:t>
      </w:r>
      <w:r w:rsidR="001F4F50" w:rsidRPr="00D453D6">
        <w:rPr>
          <w:lang w:val="fr-FR"/>
        </w:rPr>
        <w:t>no</w:t>
      </w:r>
      <w:r w:rsidR="006F76EE" w:rsidRPr="00D453D6">
        <w:rPr>
          <w:lang w:val="fr-FR"/>
        </w:rPr>
        <w:t xml:space="preserve"> embalado en </w:t>
      </w:r>
      <w:r w:rsidR="006F76EE" w:rsidRPr="00D453D6">
        <w:rPr>
          <w:b/>
          <w:bCs/>
          <w:lang w:val="fr-FR"/>
        </w:rPr>
        <w:t>palés</w:t>
      </w:r>
      <w:r w:rsidR="006F76EE" w:rsidRPr="00D453D6">
        <w:rPr>
          <w:strike/>
          <w:lang w:val="fr-FR"/>
        </w:rPr>
        <w:t xml:space="preserve"> </w:t>
      </w:r>
      <w:r w:rsidR="006F76EE" w:rsidRPr="00D453D6">
        <w:rPr>
          <w:lang w:val="fr-FR"/>
        </w:rPr>
        <w:t>embalajes</w:t>
      </w:r>
      <w:r w:rsidR="006F76EE" w:rsidRPr="00D453D6">
        <w:rPr>
          <w:strike/>
          <w:lang w:val="fr-FR"/>
        </w:rPr>
        <w:t xml:space="preserve"> paletizados</w:t>
      </w:r>
      <w:r w:rsidR="006F76EE" w:rsidRPr="00D453D6">
        <w:rPr>
          <w:lang w:val="fr-FR"/>
        </w:rPr>
        <w:t>, envuelto en una funda de plástico y fijado por medios apropiados, tales como bandas de acero, como plena carga en unidades de transporte cerradas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 »</w:t>
      </w:r>
    </w:p>
    <w:p w14:paraId="4145B914" w14:textId="77777777" w:rsidR="006F76EE" w:rsidRPr="00D453D6" w:rsidRDefault="006F76EE" w:rsidP="006F76EE">
      <w:pPr>
        <w:pStyle w:val="H1G"/>
        <w:rPr>
          <w:lang w:val="fr-FR"/>
        </w:rPr>
      </w:pPr>
      <w:r w:rsidRPr="00D453D6">
        <w:rPr>
          <w:lang w:val="fr-FR"/>
        </w:rPr>
        <w:tab/>
      </w:r>
      <w:r w:rsidRPr="00D453D6">
        <w:rPr>
          <w:lang w:val="fr-FR"/>
        </w:rPr>
        <w:tab/>
        <w:t>Proposition 4</w:t>
      </w:r>
    </w:p>
    <w:p w14:paraId="2ADA112E" w14:textId="022E0914" w:rsidR="006F76EE" w:rsidRPr="00D453D6" w:rsidRDefault="006F76EE" w:rsidP="006F76EE">
      <w:pPr>
        <w:pStyle w:val="SingleTxtG"/>
        <w:rPr>
          <w:lang w:val="fr-FR"/>
        </w:rPr>
      </w:pPr>
      <w:r w:rsidRPr="00D453D6">
        <w:rPr>
          <w:lang w:val="fr-FR"/>
        </w:rPr>
        <w:t>Modifier le 4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6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9 a) comme suit</w:t>
      </w:r>
      <w:r w:rsidR="001F4F50" w:rsidRPr="00D453D6">
        <w:rPr>
          <w:lang w:val="fr-FR"/>
        </w:rPr>
        <w:t> :</w:t>
      </w:r>
    </w:p>
    <w:p w14:paraId="0AD1CE2F" w14:textId="5E9EBB99" w:rsidR="006F76EE" w:rsidRPr="00D453D6" w:rsidRDefault="00750955" w:rsidP="00750955">
      <w:pPr>
        <w:pStyle w:val="SingleTxtG"/>
        <w:ind w:left="1701"/>
        <w:rPr>
          <w:spacing w:val="-2"/>
          <w:lang w:val="fr-FR"/>
        </w:rPr>
      </w:pPr>
      <w:r w:rsidRPr="00D453D6">
        <w:rPr>
          <w:lang w:val="fr-FR"/>
        </w:rPr>
        <w:t>« </w:t>
      </w:r>
      <w:r w:rsidR="006F76EE" w:rsidRPr="00D453D6">
        <w:rPr>
          <w:lang w:val="fr-FR"/>
        </w:rPr>
        <w:t xml:space="preserve">deberán transportarse en un embalaje/envase exterior, como una caja, o un cajón o en bandejas </w:t>
      </w:r>
      <w:r w:rsidR="006F76EE" w:rsidRPr="00D453D6">
        <w:rPr>
          <w:strike/>
          <w:lang w:val="fr-FR"/>
        </w:rPr>
        <w:t>retráctiles o extensibles</w:t>
      </w:r>
      <w:r w:rsidR="006F76EE" w:rsidRPr="00D453D6">
        <w:rPr>
          <w:b/>
          <w:bCs/>
          <w:strike/>
          <w:lang w:val="fr-FR"/>
        </w:rPr>
        <w:t xml:space="preserve"> </w:t>
      </w:r>
      <w:r w:rsidR="006F76EE" w:rsidRPr="00D453D6">
        <w:rPr>
          <w:b/>
          <w:bCs/>
          <w:lang w:val="fr-FR"/>
        </w:rPr>
        <w:t>con envoltura retráctil o estirable</w:t>
      </w:r>
      <w:r w:rsidR="001F4F50" w:rsidRPr="00D453D6">
        <w:rPr>
          <w:lang w:val="fr-FR"/>
        </w:rPr>
        <w:t> ;</w:t>
      </w:r>
      <w:r w:rsidRPr="00D453D6">
        <w:rPr>
          <w:lang w:val="fr-FR"/>
        </w:rPr>
        <w:t> »</w:t>
      </w:r>
    </w:p>
    <w:p w14:paraId="2DDF8497" w14:textId="77777777" w:rsidR="006F76EE" w:rsidRPr="00D453D6" w:rsidRDefault="006F76EE" w:rsidP="006F76EE">
      <w:pPr>
        <w:pStyle w:val="H1G"/>
        <w:rPr>
          <w:lang w:val="fr-FR"/>
        </w:rPr>
      </w:pPr>
      <w:r w:rsidRPr="00D453D6">
        <w:rPr>
          <w:lang w:val="fr-FR"/>
        </w:rPr>
        <w:tab/>
      </w:r>
      <w:r w:rsidRPr="00D453D6">
        <w:rPr>
          <w:lang w:val="fr-FR"/>
        </w:rPr>
        <w:tab/>
        <w:t>Proposition 5</w:t>
      </w:r>
    </w:p>
    <w:p w14:paraId="72EE7270" w14:textId="489FAB29" w:rsidR="006F76EE" w:rsidRPr="00D453D6" w:rsidRDefault="006F76EE" w:rsidP="006F76EE">
      <w:pPr>
        <w:pStyle w:val="SingleTxtG"/>
        <w:rPr>
          <w:lang w:val="fr-FR"/>
        </w:rPr>
      </w:pPr>
      <w:r w:rsidRPr="00D453D6">
        <w:rPr>
          <w:lang w:val="fr-FR"/>
        </w:rPr>
        <w:t>Modifier le 3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4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3 comme suit</w:t>
      </w:r>
      <w:r w:rsidR="001F4F50" w:rsidRPr="00D453D6">
        <w:rPr>
          <w:lang w:val="fr-FR"/>
        </w:rPr>
        <w:t> :</w:t>
      </w:r>
    </w:p>
    <w:p w14:paraId="40A92DDF" w14:textId="159092E0" w:rsidR="006F76EE" w:rsidRPr="00D453D6" w:rsidRDefault="00913634" w:rsidP="0084183C">
      <w:pPr>
        <w:pStyle w:val="SingleTxtG"/>
        <w:ind w:left="1701"/>
        <w:rPr>
          <w:lang w:val="fr-FR"/>
        </w:rPr>
      </w:pPr>
      <w:r w:rsidRPr="00D453D6">
        <w:rPr>
          <w:lang w:val="fr-FR"/>
        </w:rPr>
        <w:t>« </w:t>
      </w:r>
      <w:r w:rsidR="006F76EE" w:rsidRPr="00D453D6">
        <w:rPr>
          <w:lang w:val="fr-FR"/>
        </w:rPr>
        <w:t>Excepto para los objetos de la división 1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 xml:space="preserve">4, grupo de compatibilidad S, las </w:t>
      </w:r>
      <w:r w:rsidR="006F76EE" w:rsidRPr="00D453D6">
        <w:rPr>
          <w:strike/>
          <w:lang w:val="fr-FR"/>
        </w:rPr>
        <w:t xml:space="preserve">bandejas que estén provistas de ligaduras contráctiles o elásticas y </w:t>
      </w:r>
      <w:r w:rsidR="006F76EE" w:rsidRPr="00D453D6">
        <w:rPr>
          <w:b/>
          <w:bCs/>
          <w:lang w:val="fr-FR"/>
        </w:rPr>
        <w:t>bandejas con envoltura retráctil o estirable que</w:t>
      </w:r>
      <w:r w:rsidR="006F76EE" w:rsidRPr="00D453D6">
        <w:rPr>
          <w:lang w:val="fr-FR"/>
        </w:rPr>
        <w:t xml:space="preserve"> se ajusten a lo previsto en 4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1, 4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2 y 4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4 a 4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1</w:t>
      </w:r>
      <w:r w:rsidR="004846C1" w:rsidRPr="00D453D6">
        <w:rPr>
          <w:lang w:val="fr-FR"/>
        </w:rPr>
        <w:t>.</w:t>
      </w:r>
      <w:r w:rsidR="006F76EE" w:rsidRPr="00D453D6">
        <w:rPr>
          <w:lang w:val="fr-FR"/>
        </w:rPr>
        <w:t>8 serán aceptables como embalajes/envases exteriores de objetos o como embalajes/envases interiores que contengan mercancías peligrosas cuyo transporte se efectúe de conformidad con este capítulo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> »</w:t>
      </w:r>
    </w:p>
    <w:p w14:paraId="35518F2A" w14:textId="71A2EFE4" w:rsidR="006F76EE" w:rsidRPr="00D453D6" w:rsidRDefault="006F76EE" w:rsidP="00913634">
      <w:pPr>
        <w:pStyle w:val="HChG"/>
        <w:rPr>
          <w:lang w:val="fr-FR"/>
        </w:rPr>
      </w:pPr>
      <w:r w:rsidRPr="00D453D6">
        <w:rPr>
          <w:lang w:val="fr-FR"/>
        </w:rPr>
        <w:tab/>
        <w:t>IV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ab/>
        <w:t>Justification</w:t>
      </w:r>
    </w:p>
    <w:p w14:paraId="525D8A8A" w14:textId="4D2D4A85" w:rsidR="00446FE5" w:rsidRPr="00D453D6" w:rsidRDefault="006F76EE" w:rsidP="00913634">
      <w:pPr>
        <w:pStyle w:val="SingleTxtG"/>
        <w:keepNext/>
        <w:keepLines/>
        <w:rPr>
          <w:lang w:val="fr-FR"/>
        </w:rPr>
      </w:pPr>
      <w:r w:rsidRPr="00D453D6">
        <w:rPr>
          <w:lang w:val="fr-FR"/>
        </w:rPr>
        <w:t>7</w:t>
      </w:r>
      <w:r w:rsidR="004846C1" w:rsidRPr="00D453D6">
        <w:rPr>
          <w:lang w:val="fr-FR"/>
        </w:rPr>
        <w:t>.</w:t>
      </w:r>
      <w:r w:rsidRPr="00D453D6">
        <w:rPr>
          <w:lang w:val="fr-FR"/>
        </w:rPr>
        <w:tab/>
        <w:t>Le fait d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adopter une approche plus systématique et plus logique dans le Règlement type permet de clarifier le cadre juridique et d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éviter que des critères différents soient appliqués selon les pays, les services d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inspection et la version linguistique du Règlement type utilisée, ce qui est conforme à l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objectif 16 du Programme de développement durable à l</w:t>
      </w:r>
      <w:r w:rsidR="001F4F50" w:rsidRPr="00D453D6">
        <w:rPr>
          <w:lang w:val="fr-FR"/>
        </w:rPr>
        <w:t>’</w:t>
      </w:r>
      <w:r w:rsidRPr="00D453D6">
        <w:rPr>
          <w:lang w:val="fr-FR"/>
        </w:rPr>
        <w:t>horizon 2030 (Mettre en place des institutions efficaces, responsables et transparentes à tous les niveaux)</w:t>
      </w:r>
      <w:r w:rsidR="004846C1" w:rsidRPr="00D453D6">
        <w:rPr>
          <w:lang w:val="fr-FR"/>
        </w:rPr>
        <w:t>.</w:t>
      </w:r>
    </w:p>
    <w:p w14:paraId="330ED94C" w14:textId="5BB318D1" w:rsidR="006F76EE" w:rsidRPr="00D453D6" w:rsidRDefault="006F76EE" w:rsidP="006F76EE">
      <w:pPr>
        <w:pStyle w:val="SingleTxtG"/>
        <w:spacing w:before="240" w:after="0"/>
        <w:jc w:val="center"/>
        <w:rPr>
          <w:u w:val="single"/>
          <w:lang w:val="fr-FR"/>
        </w:rPr>
      </w:pPr>
      <w:r w:rsidRPr="00D453D6">
        <w:rPr>
          <w:u w:val="single"/>
          <w:lang w:val="fr-FR"/>
        </w:rPr>
        <w:lastRenderedPageBreak/>
        <w:tab/>
      </w:r>
      <w:r w:rsidRPr="00D453D6">
        <w:rPr>
          <w:u w:val="single"/>
          <w:lang w:val="fr-FR"/>
        </w:rPr>
        <w:tab/>
      </w:r>
      <w:r w:rsidRPr="00D453D6">
        <w:rPr>
          <w:u w:val="single"/>
          <w:lang w:val="fr-FR"/>
        </w:rPr>
        <w:tab/>
      </w:r>
    </w:p>
    <w:sectPr w:rsidR="006F76EE" w:rsidRPr="00D453D6" w:rsidSect="00AF03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2C30D" w14:textId="77777777" w:rsidR="00AF0372" w:rsidRDefault="00AF0372" w:rsidP="00F95C08">
      <w:pPr>
        <w:spacing w:line="240" w:lineRule="auto"/>
      </w:pPr>
    </w:p>
  </w:endnote>
  <w:endnote w:type="continuationSeparator" w:id="0">
    <w:p w14:paraId="546479C0" w14:textId="77777777" w:rsidR="00AF0372" w:rsidRPr="00AC3823" w:rsidRDefault="00AF0372" w:rsidP="00AC3823">
      <w:pPr>
        <w:pStyle w:val="Footer"/>
      </w:pPr>
    </w:p>
  </w:endnote>
  <w:endnote w:type="continuationNotice" w:id="1">
    <w:p w14:paraId="5FD1C27B" w14:textId="77777777" w:rsidR="00AF0372" w:rsidRDefault="00AF03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15F74" w14:textId="6F5C579A" w:rsidR="006F76EE" w:rsidRPr="006F76EE" w:rsidRDefault="006F76EE" w:rsidP="006F76EE">
    <w:pPr>
      <w:pStyle w:val="Footer"/>
      <w:tabs>
        <w:tab w:val="right" w:pos="9638"/>
      </w:tabs>
    </w:pPr>
    <w:r w:rsidRPr="006F76EE">
      <w:rPr>
        <w:b/>
        <w:sz w:val="18"/>
      </w:rPr>
      <w:fldChar w:fldCharType="begin"/>
    </w:r>
    <w:r w:rsidRPr="006F76EE">
      <w:rPr>
        <w:b/>
        <w:sz w:val="18"/>
      </w:rPr>
      <w:instrText xml:space="preserve"> PAGE  \* MERGEFORMAT </w:instrText>
    </w:r>
    <w:r w:rsidRPr="006F76EE">
      <w:rPr>
        <w:b/>
        <w:sz w:val="18"/>
      </w:rPr>
      <w:fldChar w:fldCharType="separate"/>
    </w:r>
    <w:r w:rsidRPr="006F76EE">
      <w:rPr>
        <w:b/>
        <w:noProof/>
        <w:sz w:val="18"/>
      </w:rPr>
      <w:t>2</w:t>
    </w:r>
    <w:r w:rsidRPr="006F76EE">
      <w:rPr>
        <w:b/>
        <w:sz w:val="18"/>
      </w:rPr>
      <w:fldChar w:fldCharType="end"/>
    </w:r>
    <w:r>
      <w:rPr>
        <w:b/>
        <w:sz w:val="18"/>
      </w:rPr>
      <w:tab/>
    </w:r>
    <w:r>
      <w:t>GE.24-05630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830A1" w14:textId="498415DA" w:rsidR="006F76EE" w:rsidRPr="006F76EE" w:rsidRDefault="006F76EE" w:rsidP="006F76EE">
    <w:pPr>
      <w:pStyle w:val="Footer"/>
      <w:tabs>
        <w:tab w:val="right" w:pos="9638"/>
      </w:tabs>
      <w:rPr>
        <w:b/>
        <w:sz w:val="18"/>
      </w:rPr>
    </w:pPr>
    <w:r>
      <w:t>GE.24-05630</w:t>
    </w:r>
    <w:r>
      <w:tab/>
    </w:r>
    <w:r w:rsidRPr="006F76EE">
      <w:rPr>
        <w:b/>
        <w:sz w:val="18"/>
      </w:rPr>
      <w:fldChar w:fldCharType="begin"/>
    </w:r>
    <w:r w:rsidRPr="006F76EE">
      <w:rPr>
        <w:b/>
        <w:sz w:val="18"/>
      </w:rPr>
      <w:instrText xml:space="preserve"> PAGE  \* MERGEFORMAT </w:instrText>
    </w:r>
    <w:r w:rsidRPr="006F76EE">
      <w:rPr>
        <w:b/>
        <w:sz w:val="18"/>
      </w:rPr>
      <w:fldChar w:fldCharType="separate"/>
    </w:r>
    <w:r w:rsidRPr="006F76EE">
      <w:rPr>
        <w:b/>
        <w:noProof/>
        <w:sz w:val="18"/>
      </w:rPr>
      <w:t>3</w:t>
    </w:r>
    <w:r w:rsidRPr="006F76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4AD69" w14:textId="77EC314B" w:rsidR="0068456F" w:rsidRPr="006F76EE" w:rsidRDefault="006F76EE" w:rsidP="006F76E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4DB03B8" wp14:editId="4C85F98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24-05630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50D667" wp14:editId="3EDD30F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21160855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F50">
      <w:rPr>
        <w:sz w:val="20"/>
      </w:rPr>
      <w:t xml:space="preserve">    010524    010524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A4C63" w14:textId="77777777" w:rsidR="00AF0372" w:rsidRPr="00AC3823" w:rsidRDefault="00AF037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332A97" w14:textId="77777777" w:rsidR="00AF0372" w:rsidRPr="00AC3823" w:rsidRDefault="00AF037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8A8E67" w14:textId="77777777" w:rsidR="00AF0372" w:rsidRPr="00AC3823" w:rsidRDefault="00AF0372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14F74" w14:textId="0ACD1130" w:rsidR="006F76EE" w:rsidRPr="006F76EE" w:rsidRDefault="00D1234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ST/SG/AC.10/C.3/2024/9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5CFB9" w14:textId="7646BEDD" w:rsidR="006F76EE" w:rsidRPr="006F76EE" w:rsidRDefault="00D12349" w:rsidP="006F76E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ST/SG/AC.10/C.3/2024/9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02566677">
    <w:abstractNumId w:val="12"/>
  </w:num>
  <w:num w:numId="2" w16cid:durableId="1010913475">
    <w:abstractNumId w:val="11"/>
  </w:num>
  <w:num w:numId="3" w16cid:durableId="97138096">
    <w:abstractNumId w:val="10"/>
  </w:num>
  <w:num w:numId="4" w16cid:durableId="895970276">
    <w:abstractNumId w:val="8"/>
  </w:num>
  <w:num w:numId="5" w16cid:durableId="347368056">
    <w:abstractNumId w:val="3"/>
  </w:num>
  <w:num w:numId="6" w16cid:durableId="981885854">
    <w:abstractNumId w:val="2"/>
  </w:num>
  <w:num w:numId="7" w16cid:durableId="341662683">
    <w:abstractNumId w:val="1"/>
  </w:num>
  <w:num w:numId="8" w16cid:durableId="935359391">
    <w:abstractNumId w:val="0"/>
  </w:num>
  <w:num w:numId="9" w16cid:durableId="702635415">
    <w:abstractNumId w:val="9"/>
  </w:num>
  <w:num w:numId="10" w16cid:durableId="249897761">
    <w:abstractNumId w:val="7"/>
  </w:num>
  <w:num w:numId="11" w16cid:durableId="440956258">
    <w:abstractNumId w:val="6"/>
  </w:num>
  <w:num w:numId="12" w16cid:durableId="1170097034">
    <w:abstractNumId w:val="5"/>
  </w:num>
  <w:num w:numId="13" w16cid:durableId="890993995">
    <w:abstractNumId w:val="4"/>
  </w:num>
  <w:num w:numId="14" w16cid:durableId="101921771">
    <w:abstractNumId w:val="12"/>
  </w:num>
  <w:num w:numId="15" w16cid:durableId="1279486832">
    <w:abstractNumId w:val="11"/>
  </w:num>
  <w:num w:numId="16" w16cid:durableId="16781923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8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76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903A9"/>
    <w:rsid w:val="001B173F"/>
    <w:rsid w:val="001B57B5"/>
    <w:rsid w:val="001F4F50"/>
    <w:rsid w:val="001F525A"/>
    <w:rsid w:val="00223272"/>
    <w:rsid w:val="0024779E"/>
    <w:rsid w:val="00283190"/>
    <w:rsid w:val="002832AC"/>
    <w:rsid w:val="002B2A3E"/>
    <w:rsid w:val="002D7C93"/>
    <w:rsid w:val="002F432B"/>
    <w:rsid w:val="003E3E3B"/>
    <w:rsid w:val="00441C3B"/>
    <w:rsid w:val="00446FE5"/>
    <w:rsid w:val="00452396"/>
    <w:rsid w:val="004846C1"/>
    <w:rsid w:val="004E468C"/>
    <w:rsid w:val="0054073A"/>
    <w:rsid w:val="005505B7"/>
    <w:rsid w:val="00573BE5"/>
    <w:rsid w:val="00584DC4"/>
    <w:rsid w:val="00586ED3"/>
    <w:rsid w:val="00596AA9"/>
    <w:rsid w:val="0068456F"/>
    <w:rsid w:val="006F76EE"/>
    <w:rsid w:val="0071601D"/>
    <w:rsid w:val="00747F48"/>
    <w:rsid w:val="00750955"/>
    <w:rsid w:val="007A62E6"/>
    <w:rsid w:val="007D347F"/>
    <w:rsid w:val="0080684C"/>
    <w:rsid w:val="008123E0"/>
    <w:rsid w:val="0084183C"/>
    <w:rsid w:val="00871C75"/>
    <w:rsid w:val="008776DC"/>
    <w:rsid w:val="008B40CD"/>
    <w:rsid w:val="00913634"/>
    <w:rsid w:val="00923513"/>
    <w:rsid w:val="009705C8"/>
    <w:rsid w:val="009C1CF4"/>
    <w:rsid w:val="00A11C76"/>
    <w:rsid w:val="00A30353"/>
    <w:rsid w:val="00A75469"/>
    <w:rsid w:val="00A81281"/>
    <w:rsid w:val="00AB4822"/>
    <w:rsid w:val="00AC3823"/>
    <w:rsid w:val="00AE323C"/>
    <w:rsid w:val="00AF0372"/>
    <w:rsid w:val="00B00181"/>
    <w:rsid w:val="00B00B0D"/>
    <w:rsid w:val="00B765F7"/>
    <w:rsid w:val="00BA0CA9"/>
    <w:rsid w:val="00C02897"/>
    <w:rsid w:val="00C03E17"/>
    <w:rsid w:val="00C464CF"/>
    <w:rsid w:val="00C63191"/>
    <w:rsid w:val="00D12349"/>
    <w:rsid w:val="00D3439C"/>
    <w:rsid w:val="00D453D6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C6A25"/>
  <w15:docId w15:val="{7B73AE66-B02B-420D-9B21-C14C3BF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uiPriority w:val="99"/>
    <w:qFormat/>
    <w:rsid w:val="002F432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8561D-EBC9-433A-B1EC-FDE4DB3396F5}"/>
</file>

<file path=customXml/itemProps2.xml><?xml version="1.0" encoding="utf-8"?>
<ds:datastoreItem xmlns:ds="http://schemas.openxmlformats.org/officeDocument/2006/customXml" ds:itemID="{33CF9A26-3009-4787-B93F-DF8DA6E215A6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13</TotalTime>
  <Pages>3</Pages>
  <Words>705</Words>
  <Characters>3920</Characters>
  <Application>Microsoft Office Word</Application>
  <DocSecurity>0</DocSecurity>
  <Lines>85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ST/SG/AC.10/C.3/2024/9</dc:title>
  <dc:subject/>
  <dc:creator>Luisa PENA-MONTERO</dc:creator>
  <cp:keywords/>
  <cp:lastModifiedBy>Luisa PENA-MONTERO</cp:lastModifiedBy>
  <cp:revision>20</cp:revision>
  <cp:lastPrinted>2024-05-01T13:58:00Z</cp:lastPrinted>
  <dcterms:created xsi:type="dcterms:W3CDTF">2024-05-01T13:43:00Z</dcterms:created>
  <dcterms:modified xsi:type="dcterms:W3CDTF">2024-05-01T13:58:00Z</dcterms:modified>
</cp:coreProperties>
</file>