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F756C1" w14:paraId="00DD6E46" w14:textId="77777777" w:rsidTr="00F01738">
        <w:trPr>
          <w:trHeight w:hRule="exact" w:val="851"/>
        </w:trPr>
        <w:tc>
          <w:tcPr>
            <w:tcW w:w="1276" w:type="dxa"/>
            <w:tcBorders>
              <w:bottom w:val="single" w:sz="4" w:space="0" w:color="auto"/>
            </w:tcBorders>
          </w:tcPr>
          <w:p w14:paraId="7E18F53C" w14:textId="77777777" w:rsidR="00132EA9" w:rsidRPr="00DB58B5" w:rsidRDefault="00132EA9" w:rsidP="00F756C1"/>
        </w:tc>
        <w:tc>
          <w:tcPr>
            <w:tcW w:w="2268" w:type="dxa"/>
            <w:tcBorders>
              <w:bottom w:val="single" w:sz="4" w:space="0" w:color="auto"/>
            </w:tcBorders>
            <w:vAlign w:val="bottom"/>
          </w:tcPr>
          <w:p w14:paraId="1E84EF9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E74F63" w14:textId="73A760D4" w:rsidR="00132EA9" w:rsidRPr="00F756C1" w:rsidRDefault="00F756C1" w:rsidP="00F756C1">
            <w:pPr>
              <w:jc w:val="right"/>
              <w:rPr>
                <w:lang w:val="en-US"/>
              </w:rPr>
            </w:pPr>
            <w:r w:rsidRPr="00F756C1">
              <w:rPr>
                <w:sz w:val="40"/>
                <w:lang w:val="en-US"/>
              </w:rPr>
              <w:t>ST</w:t>
            </w:r>
            <w:r w:rsidRPr="00F756C1">
              <w:rPr>
                <w:lang w:val="en-US"/>
              </w:rPr>
              <w:t>/SG/AC</w:t>
            </w:r>
            <w:r w:rsidR="00F23DD5" w:rsidRPr="00F23DD5">
              <w:rPr>
                <w:lang w:val="en-US"/>
              </w:rPr>
              <w:t>.</w:t>
            </w:r>
            <w:r w:rsidRPr="00F756C1">
              <w:rPr>
                <w:lang w:val="en-US"/>
              </w:rPr>
              <w:t>10/C</w:t>
            </w:r>
            <w:r w:rsidR="00F23DD5" w:rsidRPr="00F23DD5">
              <w:rPr>
                <w:lang w:val="en-US"/>
              </w:rPr>
              <w:t>.</w:t>
            </w:r>
            <w:r w:rsidRPr="00F756C1">
              <w:rPr>
                <w:lang w:val="en-US"/>
              </w:rPr>
              <w:t>3/127/Add</w:t>
            </w:r>
            <w:r w:rsidR="00F23DD5" w:rsidRPr="00F23DD5">
              <w:rPr>
                <w:lang w:val="en-US"/>
              </w:rPr>
              <w:t>.</w:t>
            </w:r>
            <w:r w:rsidRPr="00F756C1">
              <w:rPr>
                <w:lang w:val="en-US"/>
              </w:rPr>
              <w:t>1</w:t>
            </w:r>
          </w:p>
        </w:tc>
      </w:tr>
      <w:tr w:rsidR="00132EA9" w:rsidRPr="00DB58B5" w14:paraId="706B5E8B" w14:textId="77777777" w:rsidTr="00F01738">
        <w:trPr>
          <w:trHeight w:hRule="exact" w:val="2835"/>
        </w:trPr>
        <w:tc>
          <w:tcPr>
            <w:tcW w:w="1276" w:type="dxa"/>
            <w:tcBorders>
              <w:top w:val="single" w:sz="4" w:space="0" w:color="auto"/>
              <w:bottom w:val="single" w:sz="12" w:space="0" w:color="auto"/>
            </w:tcBorders>
          </w:tcPr>
          <w:p w14:paraId="49DC16B8" w14:textId="77777777" w:rsidR="00132EA9" w:rsidRPr="00DB58B5" w:rsidRDefault="00132EA9" w:rsidP="00F01738">
            <w:pPr>
              <w:spacing w:before="120"/>
              <w:jc w:val="center"/>
            </w:pPr>
            <w:r>
              <w:rPr>
                <w:noProof/>
                <w:lang w:eastAsia="fr-CH"/>
              </w:rPr>
              <w:drawing>
                <wp:inline distT="0" distB="0" distL="0" distR="0" wp14:anchorId="26C1D505" wp14:editId="7515EA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607FE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3D0EEB1" w14:textId="1CBC4B4E" w:rsidR="00132EA9" w:rsidRDefault="00F756C1" w:rsidP="00F01738">
            <w:pPr>
              <w:spacing w:before="240"/>
            </w:pPr>
            <w:proofErr w:type="spellStart"/>
            <w:r>
              <w:t>Distr</w:t>
            </w:r>
            <w:proofErr w:type="spellEnd"/>
            <w:r w:rsidR="00F23DD5" w:rsidRPr="00F23DD5">
              <w:t>.</w:t>
            </w:r>
            <w:r>
              <w:t xml:space="preserve"> générale</w:t>
            </w:r>
          </w:p>
          <w:p w14:paraId="61812734" w14:textId="77777777" w:rsidR="00F756C1" w:rsidRDefault="00F756C1" w:rsidP="00F756C1">
            <w:pPr>
              <w:spacing w:line="240" w:lineRule="exact"/>
            </w:pPr>
            <w:r>
              <w:t>15 avril 2024</w:t>
            </w:r>
          </w:p>
          <w:p w14:paraId="1D0B0CF8" w14:textId="77777777" w:rsidR="00F756C1" w:rsidRDefault="00F756C1" w:rsidP="00F756C1">
            <w:pPr>
              <w:spacing w:line="240" w:lineRule="exact"/>
            </w:pPr>
            <w:r>
              <w:t>Français</w:t>
            </w:r>
          </w:p>
          <w:p w14:paraId="6017141C" w14:textId="4C402B97" w:rsidR="00F756C1" w:rsidRPr="00DB58B5" w:rsidRDefault="00F756C1" w:rsidP="00F756C1">
            <w:pPr>
              <w:spacing w:line="240" w:lineRule="exact"/>
            </w:pPr>
            <w:r>
              <w:t>Original : anglais</w:t>
            </w:r>
          </w:p>
        </w:tc>
      </w:tr>
    </w:tbl>
    <w:p w14:paraId="12F73983" w14:textId="7EF3E8A2" w:rsidR="00F756C1" w:rsidRPr="00F756C1" w:rsidRDefault="00F756C1" w:rsidP="00F756C1">
      <w:pPr>
        <w:spacing w:before="120"/>
        <w:rPr>
          <w:b/>
          <w:bCs/>
          <w:sz w:val="32"/>
          <w:szCs w:val="32"/>
        </w:rPr>
      </w:pPr>
      <w:r w:rsidRPr="00F756C1">
        <w:rPr>
          <w:b/>
          <w:bCs/>
          <w:sz w:val="24"/>
          <w:szCs w:val="24"/>
          <w:lang w:val="fr-FR"/>
        </w:rPr>
        <w:t xml:space="preserve">Comité d’experts du transport des marchandises </w:t>
      </w:r>
      <w:r>
        <w:rPr>
          <w:b/>
          <w:bCs/>
          <w:sz w:val="24"/>
          <w:szCs w:val="24"/>
          <w:lang w:val="fr-FR"/>
        </w:rPr>
        <w:br/>
      </w:r>
      <w:r w:rsidRPr="00F756C1">
        <w:rPr>
          <w:b/>
          <w:bCs/>
          <w:sz w:val="24"/>
          <w:szCs w:val="24"/>
          <w:lang w:val="fr-FR"/>
        </w:rPr>
        <w:t xml:space="preserve">dangereuses et du Système général harmonisé de </w:t>
      </w:r>
      <w:r>
        <w:rPr>
          <w:b/>
          <w:bCs/>
          <w:sz w:val="24"/>
          <w:szCs w:val="24"/>
          <w:lang w:val="fr-FR"/>
        </w:rPr>
        <w:br/>
      </w:r>
      <w:r w:rsidRPr="00F756C1">
        <w:rPr>
          <w:b/>
          <w:bCs/>
          <w:sz w:val="24"/>
          <w:szCs w:val="24"/>
          <w:lang w:val="fr-FR"/>
        </w:rPr>
        <w:t>classification et d’étiquetage des produits chimiques</w:t>
      </w:r>
    </w:p>
    <w:p w14:paraId="31661B13" w14:textId="77777777" w:rsidR="00F756C1" w:rsidRPr="00927822" w:rsidRDefault="00F756C1" w:rsidP="00F756C1">
      <w:pPr>
        <w:spacing w:before="120"/>
        <w:rPr>
          <w:rFonts w:ascii="Helv" w:hAnsi="Helv" w:cs="Helv"/>
          <w:b/>
          <w:color w:val="000000"/>
        </w:rPr>
      </w:pPr>
      <w:r>
        <w:rPr>
          <w:b/>
          <w:bCs/>
          <w:lang w:val="fr-FR"/>
        </w:rPr>
        <w:t>Sous-Comité d’experts du transport des marchandises dangereuses</w:t>
      </w:r>
    </w:p>
    <w:p w14:paraId="3529827E" w14:textId="77777777" w:rsidR="00F756C1" w:rsidRPr="00927822" w:rsidRDefault="00F756C1" w:rsidP="00F756C1">
      <w:pPr>
        <w:spacing w:before="120"/>
        <w:rPr>
          <w:b/>
        </w:rPr>
      </w:pPr>
      <w:r>
        <w:rPr>
          <w:b/>
          <w:bCs/>
          <w:lang w:val="fr-FR"/>
        </w:rPr>
        <w:t>Soixante-quatrième session</w:t>
      </w:r>
    </w:p>
    <w:p w14:paraId="147FE668" w14:textId="77777777" w:rsidR="00F756C1" w:rsidRPr="00927822" w:rsidRDefault="00F756C1" w:rsidP="00F756C1">
      <w:r>
        <w:rPr>
          <w:lang w:val="fr-FR"/>
        </w:rPr>
        <w:t>Genève, 24 juin-3 juillet 2024</w:t>
      </w:r>
    </w:p>
    <w:p w14:paraId="09B6D3F7" w14:textId="77777777" w:rsidR="00F756C1" w:rsidRPr="00927822" w:rsidRDefault="00F756C1" w:rsidP="00F756C1">
      <w:r>
        <w:rPr>
          <w:lang w:val="fr-FR"/>
        </w:rPr>
        <w:t>Point 1 de l’ordre du jour provisoire</w:t>
      </w:r>
    </w:p>
    <w:p w14:paraId="45EE5657" w14:textId="77777777" w:rsidR="00F756C1" w:rsidRPr="00927822" w:rsidRDefault="00F756C1" w:rsidP="00F756C1">
      <w:pPr>
        <w:rPr>
          <w:b/>
          <w:bCs/>
        </w:rPr>
      </w:pPr>
      <w:r>
        <w:rPr>
          <w:b/>
          <w:bCs/>
          <w:lang w:val="fr-FR"/>
        </w:rPr>
        <w:t>Adoption de l’ordre du jour</w:t>
      </w:r>
    </w:p>
    <w:p w14:paraId="63731681" w14:textId="77777777" w:rsidR="00F756C1" w:rsidRPr="00927822" w:rsidRDefault="00F756C1" w:rsidP="00F756C1">
      <w:pPr>
        <w:pStyle w:val="HChG"/>
      </w:pPr>
      <w:r>
        <w:rPr>
          <w:lang w:val="fr-FR"/>
        </w:rPr>
        <w:tab/>
      </w:r>
      <w:r>
        <w:rPr>
          <w:lang w:val="fr-FR"/>
        </w:rPr>
        <w:tab/>
        <w:t>Ordre du jour provisoire de la soixante-quatrième session</w:t>
      </w:r>
    </w:p>
    <w:p w14:paraId="513336F7" w14:textId="77777777" w:rsidR="00F756C1" w:rsidRPr="00927822" w:rsidRDefault="00F756C1" w:rsidP="00F756C1">
      <w:pPr>
        <w:pStyle w:val="H23G"/>
      </w:pPr>
      <w:r>
        <w:rPr>
          <w:lang w:val="fr-FR"/>
        </w:rPr>
        <w:tab/>
      </w:r>
      <w:r>
        <w:rPr>
          <w:lang w:val="fr-FR"/>
        </w:rPr>
        <w:tab/>
        <w:t>Additif</w:t>
      </w:r>
    </w:p>
    <w:p w14:paraId="34D09559" w14:textId="77777777" w:rsidR="00F756C1" w:rsidRPr="00927822" w:rsidRDefault="00F756C1" w:rsidP="00F756C1">
      <w:pPr>
        <w:pStyle w:val="H1G"/>
      </w:pPr>
      <w:r>
        <w:rPr>
          <w:lang w:val="fr-FR"/>
        </w:rPr>
        <w:tab/>
      </w:r>
      <w:r>
        <w:rPr>
          <w:lang w:val="fr-FR"/>
        </w:rPr>
        <w:tab/>
        <w:t>Liste des documents et annotations</w:t>
      </w:r>
    </w:p>
    <w:p w14:paraId="40FE3539" w14:textId="1B5FC6AF" w:rsidR="00F756C1" w:rsidRDefault="00F756C1" w:rsidP="00F756C1">
      <w:pPr>
        <w:pStyle w:val="H1G"/>
      </w:pPr>
      <w:r>
        <w:rPr>
          <w:lang w:val="fr-FR"/>
        </w:rPr>
        <w:tab/>
      </w:r>
      <w:r>
        <w:rPr>
          <w:lang w:val="fr-FR"/>
        </w:rPr>
        <w:t>1</w:t>
      </w:r>
      <w:r w:rsidR="00F23DD5" w:rsidRPr="00F23DD5">
        <w:rPr>
          <w:lang w:val="fr-FR"/>
        </w:rPr>
        <w:t>.</w:t>
      </w:r>
      <w:r>
        <w:rPr>
          <w:lang w:val="fr-FR"/>
        </w:rPr>
        <w:tab/>
        <w:t>Adoption de l’ordre du jour</w:t>
      </w:r>
    </w:p>
    <w:tbl>
      <w:tblPr>
        <w:tblW w:w="8505" w:type="dxa"/>
        <w:tblInd w:w="1134" w:type="dxa"/>
        <w:tblLayout w:type="fixed"/>
        <w:tblCellMar>
          <w:left w:w="0" w:type="dxa"/>
          <w:right w:w="113" w:type="dxa"/>
        </w:tblCellMar>
        <w:tblLook w:val="01E0" w:firstRow="1" w:lastRow="1" w:firstColumn="1" w:lastColumn="1" w:noHBand="0" w:noVBand="0"/>
      </w:tblPr>
      <w:tblGrid>
        <w:gridCol w:w="3402"/>
        <w:gridCol w:w="5103"/>
      </w:tblGrid>
      <w:tr w:rsidR="00F756C1" w:rsidRPr="00927822" w14:paraId="73A255D3" w14:textId="77777777" w:rsidTr="00277498">
        <w:tc>
          <w:tcPr>
            <w:tcW w:w="3402" w:type="dxa"/>
            <w:hideMark/>
          </w:tcPr>
          <w:p w14:paraId="734CA6E4" w14:textId="7FAA83FE" w:rsidR="00F756C1" w:rsidRDefault="00F756C1" w:rsidP="00F756C1">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3/127</w:t>
            </w:r>
          </w:p>
        </w:tc>
        <w:tc>
          <w:tcPr>
            <w:tcW w:w="5103" w:type="dxa"/>
            <w:hideMark/>
          </w:tcPr>
          <w:p w14:paraId="5EAB7B34" w14:textId="77777777" w:rsidR="00F756C1" w:rsidRPr="00927822" w:rsidRDefault="00F756C1" w:rsidP="000A56C7">
            <w:pPr>
              <w:spacing w:before="40" w:after="120"/>
              <w:ind w:right="316"/>
            </w:pPr>
            <w:r>
              <w:rPr>
                <w:lang w:val="fr-FR"/>
              </w:rPr>
              <w:t>Ordre du jour provisoire de la soixante-quatrième session</w:t>
            </w:r>
          </w:p>
        </w:tc>
      </w:tr>
      <w:tr w:rsidR="00F756C1" w:rsidRPr="00927822" w14:paraId="0D427BAD" w14:textId="77777777" w:rsidTr="00277498">
        <w:tc>
          <w:tcPr>
            <w:tcW w:w="3402" w:type="dxa"/>
            <w:hideMark/>
          </w:tcPr>
          <w:p w14:paraId="35C37AFC" w14:textId="600DB820" w:rsidR="00F756C1" w:rsidRPr="00F756C1" w:rsidRDefault="00F756C1" w:rsidP="00F756C1">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3/127/Add</w:t>
            </w:r>
            <w:r w:rsidR="00F23DD5" w:rsidRPr="00F23DD5">
              <w:rPr>
                <w:lang w:val="en-US"/>
              </w:rPr>
              <w:t>.</w:t>
            </w:r>
            <w:r w:rsidRPr="00927822">
              <w:rPr>
                <w:lang w:val="en-US"/>
              </w:rPr>
              <w:t>1</w:t>
            </w:r>
          </w:p>
        </w:tc>
        <w:tc>
          <w:tcPr>
            <w:tcW w:w="5103" w:type="dxa"/>
            <w:hideMark/>
          </w:tcPr>
          <w:p w14:paraId="2751EECA" w14:textId="77777777" w:rsidR="00F756C1" w:rsidRPr="00927822" w:rsidRDefault="00F756C1" w:rsidP="000A56C7">
            <w:pPr>
              <w:spacing w:before="40" w:after="120"/>
              <w:ind w:right="316"/>
            </w:pPr>
            <w:r>
              <w:rPr>
                <w:lang w:val="fr-FR"/>
              </w:rPr>
              <w:t>Liste des documents et annotations</w:t>
            </w:r>
          </w:p>
        </w:tc>
      </w:tr>
    </w:tbl>
    <w:p w14:paraId="4A8F497B" w14:textId="77777777" w:rsidR="00F756C1" w:rsidRDefault="00F756C1" w:rsidP="00F756C1">
      <w:pPr>
        <w:pStyle w:val="H23G"/>
      </w:pPr>
      <w:r>
        <w:rPr>
          <w:lang w:val="fr-FR"/>
        </w:rPr>
        <w:tab/>
      </w:r>
      <w:r>
        <w:rPr>
          <w:lang w:val="fr-FR"/>
        </w:rPr>
        <w:tab/>
        <w:t>Documents de référence</w:t>
      </w:r>
    </w:p>
    <w:tbl>
      <w:tblPr>
        <w:tblW w:w="8505" w:type="dxa"/>
        <w:tblInd w:w="1134" w:type="dxa"/>
        <w:tblLayout w:type="fixed"/>
        <w:tblCellMar>
          <w:left w:w="0" w:type="dxa"/>
          <w:right w:w="113" w:type="dxa"/>
        </w:tblCellMar>
        <w:tblLook w:val="01E0" w:firstRow="1" w:lastRow="1" w:firstColumn="1" w:lastColumn="1" w:noHBand="0" w:noVBand="0"/>
      </w:tblPr>
      <w:tblGrid>
        <w:gridCol w:w="3402"/>
        <w:gridCol w:w="5103"/>
      </w:tblGrid>
      <w:tr w:rsidR="00F756C1" w:rsidRPr="00927822" w14:paraId="051B307C" w14:textId="77777777" w:rsidTr="00277498">
        <w:tc>
          <w:tcPr>
            <w:tcW w:w="3402" w:type="dxa"/>
            <w:hideMark/>
          </w:tcPr>
          <w:p w14:paraId="7602BEE9" w14:textId="7E492E34" w:rsidR="00F756C1" w:rsidRPr="00601CF2" w:rsidRDefault="00F756C1" w:rsidP="00277498">
            <w:pPr>
              <w:pStyle w:val="SingleTxtG"/>
              <w:spacing w:before="40"/>
              <w:ind w:left="0" w:right="0"/>
              <w:jc w:val="left"/>
            </w:pPr>
            <w:r>
              <w:rPr>
                <w:lang w:val="fr-FR"/>
              </w:rPr>
              <w:t>ST/SG/AC</w:t>
            </w:r>
            <w:r w:rsidR="00F23DD5" w:rsidRPr="00F23DD5">
              <w:rPr>
                <w:lang w:val="fr-FR"/>
              </w:rPr>
              <w:t>.</w:t>
            </w:r>
            <w:r>
              <w:rPr>
                <w:lang w:val="fr-FR"/>
              </w:rPr>
              <w:t>10/1/Rev</w:t>
            </w:r>
            <w:r w:rsidR="00F23DD5" w:rsidRPr="00F23DD5">
              <w:rPr>
                <w:lang w:val="fr-FR"/>
              </w:rPr>
              <w:t>.</w:t>
            </w:r>
            <w:r>
              <w:rPr>
                <w:lang w:val="fr-FR"/>
              </w:rPr>
              <w:t>23</w:t>
            </w:r>
          </w:p>
        </w:tc>
        <w:tc>
          <w:tcPr>
            <w:tcW w:w="5103" w:type="dxa"/>
            <w:hideMark/>
          </w:tcPr>
          <w:p w14:paraId="6262D891" w14:textId="77777777" w:rsidR="00F756C1" w:rsidRPr="00927822" w:rsidRDefault="00F756C1" w:rsidP="000A56C7">
            <w:pPr>
              <w:spacing w:before="40" w:after="120"/>
              <w:ind w:right="316"/>
            </w:pPr>
            <w:r>
              <w:rPr>
                <w:lang w:val="fr-FR"/>
              </w:rPr>
              <w:t>Recommandations relatives au transport des marchandises dangereuses, Règlement type, vingt-troisième édition révisée</w:t>
            </w:r>
          </w:p>
        </w:tc>
      </w:tr>
      <w:tr w:rsidR="00F756C1" w:rsidRPr="00927822" w14:paraId="415DFB95" w14:textId="77777777" w:rsidTr="00277498">
        <w:tc>
          <w:tcPr>
            <w:tcW w:w="3402" w:type="dxa"/>
            <w:hideMark/>
          </w:tcPr>
          <w:p w14:paraId="7F1FB78C" w14:textId="2731257A" w:rsidR="00F756C1" w:rsidRPr="00601CF2" w:rsidRDefault="00F756C1" w:rsidP="00277498">
            <w:pPr>
              <w:pStyle w:val="SingleTxtG"/>
              <w:spacing w:before="40"/>
              <w:ind w:left="0" w:right="0"/>
              <w:jc w:val="left"/>
            </w:pPr>
            <w:r>
              <w:rPr>
                <w:lang w:val="fr-FR"/>
              </w:rPr>
              <w:t>ST/SG/AC</w:t>
            </w:r>
            <w:r w:rsidR="00F23DD5" w:rsidRPr="00F23DD5">
              <w:rPr>
                <w:lang w:val="fr-FR"/>
              </w:rPr>
              <w:t>.</w:t>
            </w:r>
            <w:r>
              <w:rPr>
                <w:lang w:val="fr-FR"/>
              </w:rPr>
              <w:t>10/11/Rev</w:t>
            </w:r>
            <w:r w:rsidR="00F23DD5" w:rsidRPr="00F23DD5">
              <w:rPr>
                <w:lang w:val="fr-FR"/>
              </w:rPr>
              <w:t>.</w:t>
            </w:r>
            <w:r>
              <w:rPr>
                <w:lang w:val="fr-FR"/>
              </w:rPr>
              <w:t>8</w:t>
            </w:r>
          </w:p>
        </w:tc>
        <w:tc>
          <w:tcPr>
            <w:tcW w:w="5103" w:type="dxa"/>
            <w:hideMark/>
          </w:tcPr>
          <w:p w14:paraId="7ED16007" w14:textId="021D6ED1" w:rsidR="00F756C1" w:rsidRPr="00927822" w:rsidRDefault="00F756C1" w:rsidP="000A56C7">
            <w:pPr>
              <w:spacing w:before="40" w:after="120"/>
              <w:ind w:right="316"/>
            </w:pPr>
            <w:r>
              <w:rPr>
                <w:lang w:val="fr-FR"/>
              </w:rPr>
              <w:t>Manuel d’épreuves et de critères, huitième édition révisée</w:t>
            </w:r>
          </w:p>
        </w:tc>
      </w:tr>
      <w:tr w:rsidR="00F756C1" w:rsidRPr="00927822" w14:paraId="0EB1855F" w14:textId="77777777" w:rsidTr="00277498">
        <w:tc>
          <w:tcPr>
            <w:tcW w:w="3402" w:type="dxa"/>
            <w:hideMark/>
          </w:tcPr>
          <w:p w14:paraId="4D895387" w14:textId="7FFCF1E7" w:rsidR="00F756C1" w:rsidRPr="00601CF2" w:rsidRDefault="00F756C1" w:rsidP="00277498">
            <w:pPr>
              <w:pStyle w:val="SingleTxtG"/>
              <w:spacing w:before="40"/>
              <w:ind w:left="0" w:right="0"/>
              <w:jc w:val="left"/>
            </w:pPr>
            <w:r>
              <w:rPr>
                <w:lang w:val="fr-FR"/>
              </w:rPr>
              <w:t>ST/SG/AC</w:t>
            </w:r>
            <w:r w:rsidR="00F23DD5" w:rsidRPr="00F23DD5">
              <w:rPr>
                <w:lang w:val="fr-FR"/>
              </w:rPr>
              <w:t>.</w:t>
            </w:r>
            <w:r>
              <w:rPr>
                <w:lang w:val="fr-FR"/>
              </w:rPr>
              <w:t>10/30/Rev</w:t>
            </w:r>
            <w:r w:rsidR="00F23DD5" w:rsidRPr="00F23DD5">
              <w:rPr>
                <w:lang w:val="fr-FR"/>
              </w:rPr>
              <w:t>.</w:t>
            </w:r>
            <w:r>
              <w:rPr>
                <w:lang w:val="fr-FR"/>
              </w:rPr>
              <w:t>10</w:t>
            </w:r>
          </w:p>
        </w:tc>
        <w:tc>
          <w:tcPr>
            <w:tcW w:w="5103" w:type="dxa"/>
            <w:hideMark/>
          </w:tcPr>
          <w:p w14:paraId="28563810" w14:textId="77777777" w:rsidR="00F756C1" w:rsidRPr="00927822" w:rsidRDefault="00F756C1" w:rsidP="000A56C7">
            <w:pPr>
              <w:pStyle w:val="SingleTxtG"/>
              <w:spacing w:before="40"/>
              <w:ind w:left="0" w:right="316"/>
              <w:jc w:val="left"/>
            </w:pPr>
            <w:r>
              <w:rPr>
                <w:lang w:val="fr-FR"/>
              </w:rPr>
              <w:t>Système général harmonisé de classification et d’étiquetage des produits chimiques (SGH), dixième édition révisée</w:t>
            </w:r>
          </w:p>
        </w:tc>
      </w:tr>
      <w:tr w:rsidR="00F756C1" w:rsidRPr="00927822" w14:paraId="0C083864" w14:textId="77777777" w:rsidTr="00277498">
        <w:tc>
          <w:tcPr>
            <w:tcW w:w="3402" w:type="dxa"/>
            <w:tcMar>
              <w:top w:w="0" w:type="dxa"/>
              <w:left w:w="0" w:type="dxa"/>
              <w:bottom w:w="0" w:type="dxa"/>
              <w:right w:w="0" w:type="dxa"/>
            </w:tcMar>
            <w:hideMark/>
          </w:tcPr>
          <w:p w14:paraId="4B5652E5" w14:textId="6218A469" w:rsidR="00F756C1" w:rsidRDefault="00F756C1" w:rsidP="00277498">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3/126 et Add</w:t>
            </w:r>
            <w:r w:rsidR="00F23DD5" w:rsidRPr="00F23DD5">
              <w:rPr>
                <w:lang w:val="fr-FR"/>
              </w:rPr>
              <w:t>.</w:t>
            </w:r>
            <w:r>
              <w:rPr>
                <w:lang w:val="fr-FR"/>
              </w:rPr>
              <w:t>1</w:t>
            </w:r>
          </w:p>
        </w:tc>
        <w:tc>
          <w:tcPr>
            <w:tcW w:w="5103" w:type="dxa"/>
            <w:tcMar>
              <w:top w:w="0" w:type="dxa"/>
              <w:left w:w="0" w:type="dxa"/>
              <w:bottom w:w="0" w:type="dxa"/>
              <w:right w:w="0" w:type="dxa"/>
            </w:tcMar>
            <w:hideMark/>
          </w:tcPr>
          <w:p w14:paraId="49B6FCAC" w14:textId="77777777" w:rsidR="00F756C1" w:rsidRPr="00927822" w:rsidRDefault="00F756C1" w:rsidP="000A56C7">
            <w:pPr>
              <w:pStyle w:val="SingleTxtG"/>
              <w:spacing w:before="40"/>
              <w:ind w:left="0" w:right="426"/>
              <w:jc w:val="left"/>
            </w:pPr>
            <w:r>
              <w:rPr>
                <w:lang w:val="fr-FR"/>
              </w:rPr>
              <w:t>Rapport du Sous-Comité d’experts du transport des marchandises dangereuses sur sa soixante-troisième session</w:t>
            </w:r>
          </w:p>
        </w:tc>
      </w:tr>
      <w:tr w:rsidR="00F756C1" w:rsidRPr="00927822" w14:paraId="745E61DD" w14:textId="77777777" w:rsidTr="00277498">
        <w:tc>
          <w:tcPr>
            <w:tcW w:w="3402" w:type="dxa"/>
            <w:tcMar>
              <w:top w:w="0" w:type="dxa"/>
              <w:left w:w="0" w:type="dxa"/>
              <w:bottom w:w="0" w:type="dxa"/>
              <w:right w:w="0" w:type="dxa"/>
            </w:tcMar>
          </w:tcPr>
          <w:p w14:paraId="32680901" w14:textId="3F0F4E05" w:rsidR="00F756C1" w:rsidRDefault="00F756C1" w:rsidP="00277498">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4/90</w:t>
            </w:r>
          </w:p>
        </w:tc>
        <w:tc>
          <w:tcPr>
            <w:tcW w:w="5103" w:type="dxa"/>
            <w:tcMar>
              <w:top w:w="0" w:type="dxa"/>
              <w:left w:w="0" w:type="dxa"/>
              <w:bottom w:w="0" w:type="dxa"/>
              <w:right w:w="0" w:type="dxa"/>
            </w:tcMar>
          </w:tcPr>
          <w:p w14:paraId="5C2E3970" w14:textId="77777777" w:rsidR="00F756C1" w:rsidRPr="00927822" w:rsidRDefault="00F756C1" w:rsidP="000A56C7">
            <w:pPr>
              <w:pStyle w:val="SingleTxtG"/>
              <w:spacing w:before="40"/>
              <w:ind w:left="0" w:right="0"/>
              <w:jc w:val="left"/>
            </w:pPr>
            <w:r>
              <w:rPr>
                <w:lang w:val="fr-FR"/>
              </w:rPr>
              <w:t>Rapport du Sous-Comité d’experts du Système général harmonisé de classification et d’étiquetage des produits chimiques sur sa quarante-cinquième session</w:t>
            </w:r>
          </w:p>
        </w:tc>
      </w:tr>
    </w:tbl>
    <w:p w14:paraId="63DD55DE" w14:textId="767DA528" w:rsidR="00F756C1" w:rsidRPr="00927822" w:rsidRDefault="00F756C1" w:rsidP="00F756C1">
      <w:pPr>
        <w:pStyle w:val="H1G"/>
      </w:pPr>
      <w:r>
        <w:rPr>
          <w:lang w:val="fr-FR"/>
        </w:rPr>
        <w:lastRenderedPageBreak/>
        <w:tab/>
      </w:r>
      <w:r>
        <w:rPr>
          <w:lang w:val="fr-FR"/>
        </w:rPr>
        <w:t>2</w:t>
      </w:r>
      <w:r w:rsidR="00F23DD5" w:rsidRPr="00F23DD5">
        <w:rPr>
          <w:lang w:val="fr-FR"/>
        </w:rPr>
        <w:t>.</w:t>
      </w:r>
      <w:r>
        <w:rPr>
          <w:lang w:val="fr-FR"/>
        </w:rPr>
        <w:tab/>
        <w:t>Explosifs et questions connexes</w:t>
      </w:r>
    </w:p>
    <w:p w14:paraId="3D3405C8" w14:textId="75F60970" w:rsidR="00F756C1" w:rsidRPr="00927822" w:rsidRDefault="00F756C1" w:rsidP="00F756C1">
      <w:pPr>
        <w:pStyle w:val="H23G"/>
      </w:pPr>
      <w:r>
        <w:rPr>
          <w:lang w:val="fr-FR"/>
        </w:rPr>
        <w:tab/>
      </w:r>
      <w:r>
        <w:rPr>
          <w:lang w:val="fr-FR"/>
        </w:rPr>
        <w:t>a)</w:t>
      </w:r>
      <w:r>
        <w:rPr>
          <w:lang w:val="fr-FR"/>
        </w:rPr>
        <w:tab/>
        <w:t>Examen des épreuves de la série 6</w:t>
      </w:r>
    </w:p>
    <w:p w14:paraId="0FCEA539" w14:textId="26BF8DB4"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05A52DD7" w14:textId="7AD5002D" w:rsidR="00F756C1" w:rsidRPr="00927822" w:rsidRDefault="00F756C1" w:rsidP="00F756C1">
      <w:pPr>
        <w:pStyle w:val="H23G"/>
      </w:pPr>
      <w:r>
        <w:rPr>
          <w:lang w:val="fr-FR"/>
        </w:rPr>
        <w:tab/>
      </w:r>
      <w:r>
        <w:rPr>
          <w:lang w:val="fr-FR"/>
        </w:rPr>
        <w:t>b)</w:t>
      </w:r>
      <w:r>
        <w:rPr>
          <w:lang w:val="fr-FR"/>
        </w:rPr>
        <w:tab/>
        <w:t>Amélioration des épreuves de la série 8</w:t>
      </w:r>
    </w:p>
    <w:tbl>
      <w:tblPr>
        <w:tblW w:w="13044" w:type="dxa"/>
        <w:tblInd w:w="1134" w:type="dxa"/>
        <w:tblLayout w:type="fixed"/>
        <w:tblCellMar>
          <w:left w:w="0" w:type="dxa"/>
          <w:right w:w="113" w:type="dxa"/>
        </w:tblCellMar>
        <w:tblLook w:val="01E0" w:firstRow="1" w:lastRow="1" w:firstColumn="1" w:lastColumn="1" w:noHBand="0" w:noVBand="0"/>
      </w:tblPr>
      <w:tblGrid>
        <w:gridCol w:w="3402"/>
        <w:gridCol w:w="4821"/>
        <w:gridCol w:w="4821"/>
      </w:tblGrid>
      <w:tr w:rsidR="00F756C1" w:rsidRPr="00927822" w14:paraId="203C986E" w14:textId="77777777" w:rsidTr="00277498">
        <w:tc>
          <w:tcPr>
            <w:tcW w:w="3402" w:type="dxa"/>
            <w:hideMark/>
          </w:tcPr>
          <w:p w14:paraId="2CDC3213" w14:textId="6725613D" w:rsidR="00F756C1" w:rsidRDefault="00F756C1" w:rsidP="00277498">
            <w:pPr>
              <w:pStyle w:val="SingleTxtG"/>
              <w:spacing w:before="40"/>
              <w:ind w:left="0" w:right="0"/>
              <w:jc w:val="left"/>
            </w:pPr>
            <w:r>
              <w:rPr>
                <w:lang w:val="fr-FR"/>
              </w:rPr>
              <w:t>ST/SG/AC</w:t>
            </w:r>
            <w:r w:rsidR="00F23DD5" w:rsidRPr="00F23DD5">
              <w:rPr>
                <w:lang w:val="fr-FR"/>
              </w:rPr>
              <w:t>.</w:t>
            </w:r>
            <w:r>
              <w:rPr>
                <w:lang w:val="fr-FR"/>
              </w:rPr>
              <w:t>10/2024/8 (Japon)</w:t>
            </w:r>
          </w:p>
        </w:tc>
        <w:tc>
          <w:tcPr>
            <w:tcW w:w="4821" w:type="dxa"/>
          </w:tcPr>
          <w:p w14:paraId="1679D9BF" w14:textId="77777777" w:rsidR="00F756C1" w:rsidRPr="00927822" w:rsidRDefault="00F756C1" w:rsidP="000A56C7">
            <w:pPr>
              <w:spacing w:before="40" w:after="120"/>
              <w:ind w:right="316"/>
            </w:pPr>
            <w:r>
              <w:rPr>
                <w:lang w:val="fr-FR"/>
              </w:rPr>
              <w:t>Amendements à l’épreuve 8 e) (pression minimale de combustion)</w:t>
            </w:r>
          </w:p>
        </w:tc>
        <w:tc>
          <w:tcPr>
            <w:tcW w:w="4821" w:type="dxa"/>
          </w:tcPr>
          <w:p w14:paraId="5BA33BDE" w14:textId="77777777" w:rsidR="00F756C1" w:rsidRPr="00927822" w:rsidRDefault="00F756C1" w:rsidP="00277498">
            <w:pPr>
              <w:spacing w:line="240" w:lineRule="auto"/>
            </w:pPr>
          </w:p>
        </w:tc>
      </w:tr>
    </w:tbl>
    <w:p w14:paraId="4FB07333" w14:textId="5874AD2A" w:rsidR="00F756C1" w:rsidRPr="00927822" w:rsidRDefault="00F756C1" w:rsidP="00F756C1">
      <w:pPr>
        <w:pStyle w:val="H23G"/>
      </w:pPr>
      <w:r>
        <w:rPr>
          <w:lang w:val="fr-FR"/>
        </w:rPr>
        <w:tab/>
      </w:r>
      <w:r>
        <w:rPr>
          <w:lang w:val="fr-FR"/>
        </w:rPr>
        <w:t>c)</w:t>
      </w:r>
      <w:r>
        <w:rPr>
          <w:lang w:val="fr-FR"/>
        </w:rPr>
        <w:tab/>
        <w:t>Examen des épreuves des parties I, II et III du Manuel d’épreuves et de critères</w:t>
      </w:r>
    </w:p>
    <w:p w14:paraId="3F40510E" w14:textId="2F1AE278"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217264A6" w14:textId="0F2416FA" w:rsidR="00F756C1" w:rsidRPr="00927822" w:rsidRDefault="00F756C1" w:rsidP="00F756C1">
      <w:pPr>
        <w:pStyle w:val="H23G"/>
      </w:pPr>
      <w:r>
        <w:rPr>
          <w:lang w:val="fr-FR"/>
        </w:rPr>
        <w:tab/>
      </w:r>
      <w:r>
        <w:rPr>
          <w:lang w:val="fr-FR"/>
        </w:rPr>
        <w:t>d)</w:t>
      </w:r>
      <w:r>
        <w:rPr>
          <w:lang w:val="fr-FR"/>
        </w:rPr>
        <w:tab/>
        <w:t>Détonateurs normalisés « UN »</w:t>
      </w:r>
    </w:p>
    <w:p w14:paraId="3C8BF09F" w14:textId="77F91421"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5F9AE611" w14:textId="76922BD1" w:rsidR="00F756C1" w:rsidRDefault="00F756C1" w:rsidP="00F756C1">
      <w:pPr>
        <w:pStyle w:val="H23G"/>
      </w:pPr>
      <w:r>
        <w:rPr>
          <w:lang w:val="fr-FR"/>
        </w:rPr>
        <w:tab/>
      </w:r>
      <w:r>
        <w:rPr>
          <w:lang w:val="fr-FR"/>
        </w:rPr>
        <w:t>e)</w:t>
      </w:r>
      <w:r>
        <w:rPr>
          <w:lang w:val="fr-FR"/>
        </w:rPr>
        <w:tab/>
        <w:t>Échantillons énergétiques</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BE68BE" w14:paraId="03F14686" w14:textId="77777777" w:rsidTr="00277498">
        <w:tc>
          <w:tcPr>
            <w:tcW w:w="3402" w:type="dxa"/>
          </w:tcPr>
          <w:p w14:paraId="54790001" w14:textId="05EDEC6C" w:rsidR="00F756C1" w:rsidRPr="00F756C1" w:rsidRDefault="00F756C1" w:rsidP="00277498">
            <w:pPr>
              <w:pStyle w:val="SingleTxtG"/>
              <w:spacing w:before="40"/>
              <w:ind w:left="0" w:right="168"/>
              <w:jc w:val="left"/>
              <w:rPr>
                <w:lang w:val="en-US"/>
              </w:rPr>
            </w:pPr>
            <w:bookmarkStart w:id="0" w:name="_Hlk162339771"/>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3/2024/26 (</w:t>
            </w:r>
            <w:proofErr w:type="spellStart"/>
            <w:r w:rsidRPr="00927822">
              <w:rPr>
                <w:lang w:val="en-US"/>
              </w:rPr>
              <w:t>Cefic</w:t>
            </w:r>
            <w:proofErr w:type="spellEnd"/>
            <w:r w:rsidRPr="00927822">
              <w:rPr>
                <w:lang w:val="en-US"/>
              </w:rPr>
              <w:t>)</w:t>
            </w:r>
          </w:p>
        </w:tc>
        <w:tc>
          <w:tcPr>
            <w:tcW w:w="4821" w:type="dxa"/>
          </w:tcPr>
          <w:p w14:paraId="4101FA6F" w14:textId="77777777" w:rsidR="00F756C1" w:rsidRPr="00BE68BE" w:rsidRDefault="00F756C1" w:rsidP="000A56C7">
            <w:pPr>
              <w:spacing w:before="40" w:after="120"/>
            </w:pPr>
            <w:r>
              <w:rPr>
                <w:lang w:val="fr-FR"/>
              </w:rPr>
              <w:t>Transport d’échantillons énergétiques</w:t>
            </w:r>
          </w:p>
        </w:tc>
      </w:tr>
    </w:tbl>
    <w:bookmarkEnd w:id="0"/>
    <w:p w14:paraId="5A2B401F" w14:textId="21F7BD7C" w:rsidR="00F756C1" w:rsidRPr="00927822" w:rsidRDefault="00F756C1" w:rsidP="00F756C1">
      <w:pPr>
        <w:pStyle w:val="H23G"/>
      </w:pPr>
      <w:r>
        <w:rPr>
          <w:lang w:val="fr-FR"/>
        </w:rPr>
        <w:tab/>
      </w:r>
      <w:r>
        <w:rPr>
          <w:lang w:val="fr-FR"/>
        </w:rPr>
        <w:t>f)</w:t>
      </w:r>
      <w:r>
        <w:rPr>
          <w:lang w:val="fr-FR"/>
        </w:rPr>
        <w:tab/>
        <w:t xml:space="preserve">Examen des prescriptions en matière d’emballage et de transport des émulsions </w:t>
      </w:r>
      <w:r>
        <w:rPr>
          <w:lang w:val="fr-FR"/>
        </w:rPr>
        <w:br/>
      </w:r>
      <w:r>
        <w:rPr>
          <w:lang w:val="fr-FR"/>
        </w:rPr>
        <w:t>de nitrate d’ammonium</w:t>
      </w:r>
    </w:p>
    <w:p w14:paraId="4847BD01" w14:textId="220E545A"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032A9DBE" w14:textId="312BBCFB" w:rsidR="00F756C1" w:rsidRPr="00927822" w:rsidRDefault="00F756C1" w:rsidP="00F756C1">
      <w:pPr>
        <w:pStyle w:val="H23G"/>
      </w:pPr>
      <w:r>
        <w:rPr>
          <w:lang w:val="fr-FR"/>
        </w:rPr>
        <w:tab/>
      </w:r>
      <w:r>
        <w:rPr>
          <w:lang w:val="fr-FR"/>
        </w:rPr>
        <w:t>g)</w:t>
      </w:r>
      <w:r>
        <w:rPr>
          <w:lang w:val="fr-FR"/>
        </w:rPr>
        <w:tab/>
        <w:t xml:space="preserve">Électrification et carburants de remplacement et leur incidence sur le transport </w:t>
      </w:r>
      <w:r>
        <w:rPr>
          <w:lang w:val="fr-FR"/>
        </w:rPr>
        <w:br/>
      </w:r>
      <w:r>
        <w:rPr>
          <w:lang w:val="fr-FR"/>
        </w:rPr>
        <w:t>des explosifs</w:t>
      </w:r>
    </w:p>
    <w:p w14:paraId="14F2355A" w14:textId="54D263F5"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2AF5816F" w14:textId="75FDAC2B" w:rsidR="00F756C1" w:rsidRDefault="00F756C1" w:rsidP="00F756C1">
      <w:pPr>
        <w:pStyle w:val="H23G"/>
      </w:pPr>
      <w:r>
        <w:rPr>
          <w:lang w:val="fr-FR"/>
        </w:rPr>
        <w:tab/>
      </w:r>
      <w:r>
        <w:rPr>
          <w:lang w:val="fr-FR"/>
        </w:rPr>
        <w:t>h)</w:t>
      </w:r>
      <w:r>
        <w:rPr>
          <w:lang w:val="fr-FR"/>
        </w:rPr>
        <w:tab/>
        <w:t>Questions diverses</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4EC7C9E5" w14:textId="77777777" w:rsidTr="00277498">
        <w:tc>
          <w:tcPr>
            <w:tcW w:w="3402" w:type="dxa"/>
          </w:tcPr>
          <w:p w14:paraId="27735199" w14:textId="6B7EABB8" w:rsidR="00F756C1" w:rsidRPr="00F756C1" w:rsidRDefault="00F756C1" w:rsidP="00277498">
            <w:pPr>
              <w:pStyle w:val="SingleTxtG"/>
              <w:spacing w:before="40"/>
              <w:ind w:left="0" w:right="168"/>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3/2024/16 (</w:t>
            </w:r>
            <w:proofErr w:type="spellStart"/>
            <w:r w:rsidRPr="00927822">
              <w:rPr>
                <w:lang w:val="en-US"/>
              </w:rPr>
              <w:t>Cefic</w:t>
            </w:r>
            <w:proofErr w:type="spellEnd"/>
            <w:r w:rsidRPr="00927822">
              <w:rPr>
                <w:lang w:val="en-US"/>
              </w:rPr>
              <w:t>)</w:t>
            </w:r>
          </w:p>
        </w:tc>
        <w:tc>
          <w:tcPr>
            <w:tcW w:w="4821" w:type="dxa"/>
          </w:tcPr>
          <w:p w14:paraId="0E0E1EFF" w14:textId="4DAD9413" w:rsidR="00F756C1" w:rsidRPr="00927822" w:rsidRDefault="00F756C1" w:rsidP="000A56C7">
            <w:pPr>
              <w:spacing w:before="40" w:after="120"/>
            </w:pPr>
            <w:r>
              <w:rPr>
                <w:lang w:val="fr-FR"/>
              </w:rPr>
              <w:t xml:space="preserve">Procédures de </w:t>
            </w:r>
            <w:proofErr w:type="spellStart"/>
            <w:r>
              <w:rPr>
                <w:lang w:val="fr-FR"/>
              </w:rPr>
              <w:t>présélection</w:t>
            </w:r>
            <w:proofErr w:type="spellEnd"/>
            <w:r>
              <w:rPr>
                <w:lang w:val="fr-FR"/>
              </w:rPr>
              <w:t xml:space="preserve"> pour l’estimation de la température de décomposition auto-accélérée des emballages de 50 kg</w:t>
            </w:r>
          </w:p>
        </w:tc>
      </w:tr>
      <w:tr w:rsidR="00F756C1" w:rsidRPr="00927822" w14:paraId="4CD3F356" w14:textId="77777777" w:rsidTr="00277498">
        <w:tc>
          <w:tcPr>
            <w:tcW w:w="3402" w:type="dxa"/>
          </w:tcPr>
          <w:p w14:paraId="619924F0" w14:textId="686A35C2" w:rsidR="00F756C1" w:rsidRPr="00F756C1" w:rsidRDefault="00F756C1" w:rsidP="00277498">
            <w:pPr>
              <w:pStyle w:val="SingleTxtG"/>
              <w:spacing w:before="40"/>
              <w:ind w:left="0" w:right="168"/>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3/2024/18 (SAAMI)</w:t>
            </w:r>
          </w:p>
        </w:tc>
        <w:tc>
          <w:tcPr>
            <w:tcW w:w="4821" w:type="dxa"/>
          </w:tcPr>
          <w:p w14:paraId="4B2B07B8" w14:textId="30756477" w:rsidR="00F756C1" w:rsidRPr="00927822" w:rsidRDefault="00F756C1" w:rsidP="000A56C7">
            <w:pPr>
              <w:spacing w:before="40" w:after="120"/>
            </w:pPr>
            <w:r>
              <w:rPr>
                <w:lang w:val="fr-FR"/>
              </w:rPr>
              <w:t xml:space="preserve">Nos ONU 0012 et 0014 </w:t>
            </w:r>
            <w:r w:rsidR="00513EEF">
              <w:rPr>
                <w:lang w:val="fr-FR"/>
              </w:rPr>
              <w:t>−</w:t>
            </w:r>
            <w:r>
              <w:rPr>
                <w:lang w:val="fr-FR"/>
              </w:rPr>
              <w:t xml:space="preserve"> Contact métal contre métal entre les explosifs et leur emballage</w:t>
            </w:r>
          </w:p>
        </w:tc>
      </w:tr>
      <w:tr w:rsidR="00F756C1" w:rsidRPr="00927822" w14:paraId="09C49E56" w14:textId="77777777" w:rsidTr="00277498">
        <w:tc>
          <w:tcPr>
            <w:tcW w:w="3402" w:type="dxa"/>
          </w:tcPr>
          <w:p w14:paraId="7A2B0DBE" w14:textId="1EC739BE" w:rsidR="00F756C1" w:rsidRPr="00F756C1" w:rsidRDefault="00F756C1" w:rsidP="00277498">
            <w:pPr>
              <w:pStyle w:val="SingleTxtG"/>
              <w:spacing w:before="40"/>
              <w:ind w:left="0" w:right="168"/>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3/2024/38 (Chine)</w:t>
            </w:r>
          </w:p>
        </w:tc>
        <w:tc>
          <w:tcPr>
            <w:tcW w:w="4821" w:type="dxa"/>
          </w:tcPr>
          <w:p w14:paraId="60BB3A9E" w14:textId="77777777" w:rsidR="00F756C1" w:rsidRPr="00927822" w:rsidRDefault="00F756C1" w:rsidP="000A56C7">
            <w:pPr>
              <w:spacing w:before="40" w:after="120"/>
            </w:pPr>
            <w:r>
              <w:rPr>
                <w:lang w:val="fr-FR"/>
              </w:rPr>
              <w:t>Durée de l’épreuve au papier réactif au violet de méthyle de l’appendice 10 du Manuel d’épreuves et de critères et méthode d’évaluation des résultats</w:t>
            </w:r>
          </w:p>
        </w:tc>
      </w:tr>
      <w:tr w:rsidR="00F756C1" w:rsidRPr="00927822" w14:paraId="28482F95" w14:textId="77777777" w:rsidTr="00277498">
        <w:tc>
          <w:tcPr>
            <w:tcW w:w="3402" w:type="dxa"/>
          </w:tcPr>
          <w:p w14:paraId="56FB0209" w14:textId="51618D4B" w:rsidR="00F756C1" w:rsidRPr="00927822" w:rsidRDefault="00F756C1" w:rsidP="00277498">
            <w:pPr>
              <w:pStyle w:val="SingleTxtG"/>
              <w:spacing w:before="40"/>
              <w:ind w:left="0" w:right="168"/>
              <w:jc w:val="left"/>
            </w:pPr>
            <w:r>
              <w:rPr>
                <w:lang w:val="fr-FR"/>
              </w:rPr>
              <w:t>ST/SG/AC</w:t>
            </w:r>
            <w:r w:rsidR="00F23DD5" w:rsidRPr="00F23DD5">
              <w:rPr>
                <w:lang w:val="fr-FR"/>
              </w:rPr>
              <w:t>.</w:t>
            </w:r>
            <w:r>
              <w:rPr>
                <w:lang w:val="fr-FR"/>
              </w:rPr>
              <w:t>10/C</w:t>
            </w:r>
            <w:r w:rsidR="00F23DD5" w:rsidRPr="00F23DD5">
              <w:rPr>
                <w:lang w:val="fr-FR"/>
              </w:rPr>
              <w:t>.</w:t>
            </w:r>
            <w:r>
              <w:rPr>
                <w:lang w:val="fr-FR"/>
              </w:rPr>
              <w:t>3/2024/41 (Chine au nom du groupe de travail informel)</w:t>
            </w:r>
          </w:p>
        </w:tc>
        <w:tc>
          <w:tcPr>
            <w:tcW w:w="4821" w:type="dxa"/>
          </w:tcPr>
          <w:p w14:paraId="768A0755" w14:textId="2591BAA8" w:rsidR="00F756C1" w:rsidRPr="00927822" w:rsidRDefault="00F756C1" w:rsidP="000A56C7">
            <w:pPr>
              <w:spacing w:before="40" w:after="120"/>
            </w:pPr>
            <w:r>
              <w:rPr>
                <w:lang w:val="fr-FR"/>
              </w:rPr>
              <w:t>Rapport du groupe de travail par correspondance informel sur la révision de la sous-section 51</w:t>
            </w:r>
            <w:r w:rsidR="00F23DD5" w:rsidRPr="00F23DD5">
              <w:rPr>
                <w:lang w:val="fr-FR"/>
              </w:rPr>
              <w:t>.</w:t>
            </w:r>
            <w:r>
              <w:rPr>
                <w:lang w:val="fr-FR"/>
              </w:rPr>
              <w:t>4 du Manuel d’épreuves et de critères portant sur la vitesse de combustion</w:t>
            </w:r>
          </w:p>
        </w:tc>
      </w:tr>
      <w:tr w:rsidR="00F756C1" w:rsidRPr="00927822" w14:paraId="46BB99DB" w14:textId="77777777" w:rsidTr="00277498">
        <w:tc>
          <w:tcPr>
            <w:tcW w:w="3402" w:type="dxa"/>
          </w:tcPr>
          <w:p w14:paraId="74562996" w14:textId="7360ACC4" w:rsidR="00F756C1" w:rsidRPr="00F756C1" w:rsidRDefault="00F756C1" w:rsidP="00277498">
            <w:pPr>
              <w:pStyle w:val="SingleTxtG"/>
              <w:spacing w:before="40"/>
              <w:ind w:left="0" w:right="168"/>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3/2024/52 (AEISG)</w:t>
            </w:r>
          </w:p>
        </w:tc>
        <w:tc>
          <w:tcPr>
            <w:tcW w:w="4821" w:type="dxa"/>
          </w:tcPr>
          <w:p w14:paraId="2886641E" w14:textId="77777777" w:rsidR="00F756C1" w:rsidRPr="00927822" w:rsidRDefault="00F756C1" w:rsidP="000A56C7">
            <w:pPr>
              <w:spacing w:before="40" w:after="120"/>
            </w:pPr>
            <w:r>
              <w:rPr>
                <w:lang w:val="fr-FR"/>
              </w:rPr>
              <w:t>Corrections et modifications à apporter au Règlement type, au Système général harmonisé et au Manuel d’épreuves et de critères</w:t>
            </w:r>
          </w:p>
        </w:tc>
      </w:tr>
    </w:tbl>
    <w:p w14:paraId="260A40ED" w14:textId="0BE8A8D7" w:rsidR="00F756C1" w:rsidRDefault="00F756C1" w:rsidP="00F756C1">
      <w:pPr>
        <w:pStyle w:val="H1G"/>
      </w:pPr>
      <w:r>
        <w:rPr>
          <w:lang w:val="fr-FR"/>
        </w:rPr>
        <w:lastRenderedPageBreak/>
        <w:tab/>
      </w:r>
      <w:r>
        <w:rPr>
          <w:lang w:val="fr-FR"/>
        </w:rPr>
        <w:t>3</w:t>
      </w:r>
      <w:r w:rsidR="00F23DD5" w:rsidRPr="00F23DD5">
        <w:rPr>
          <w:lang w:val="fr-FR"/>
        </w:rPr>
        <w:t>.</w:t>
      </w:r>
      <w:r>
        <w:rPr>
          <w:lang w:val="fr-FR"/>
        </w:rPr>
        <w:tab/>
        <w:t>Inscription, classement et emballage</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09D85F04" w14:textId="77777777" w:rsidTr="00277498">
        <w:tc>
          <w:tcPr>
            <w:tcW w:w="3402" w:type="dxa"/>
          </w:tcPr>
          <w:p w14:paraId="726979D2" w14:textId="3B792916" w:rsidR="00F756C1" w:rsidRPr="00F756C1" w:rsidRDefault="00F756C1" w:rsidP="00F756C1">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3/2024/1 (</w:t>
            </w:r>
            <w:proofErr w:type="spellStart"/>
            <w:r w:rsidRPr="00927822">
              <w:rPr>
                <w:lang w:val="en-US"/>
              </w:rPr>
              <w:t>Cefic</w:t>
            </w:r>
            <w:proofErr w:type="spellEnd"/>
            <w:r w:rsidRPr="00927822">
              <w:rPr>
                <w:lang w:val="en-US"/>
              </w:rPr>
              <w:t>)</w:t>
            </w:r>
          </w:p>
        </w:tc>
        <w:tc>
          <w:tcPr>
            <w:tcW w:w="4821" w:type="dxa"/>
          </w:tcPr>
          <w:p w14:paraId="53735032" w14:textId="77777777" w:rsidR="00F756C1" w:rsidRPr="00927822" w:rsidRDefault="00F756C1" w:rsidP="00F756C1">
            <w:pPr>
              <w:spacing w:before="40" w:after="120"/>
            </w:pPr>
            <w:r>
              <w:rPr>
                <w:lang w:val="fr-FR"/>
              </w:rPr>
              <w:t xml:space="preserve">Emballages métalliques du groupe d’emballage II pour les peroxydes organiques et les matières </w:t>
            </w:r>
            <w:proofErr w:type="spellStart"/>
            <w:r>
              <w:rPr>
                <w:lang w:val="fr-FR"/>
              </w:rPr>
              <w:t>autoréactives</w:t>
            </w:r>
            <w:proofErr w:type="spellEnd"/>
          </w:p>
        </w:tc>
      </w:tr>
      <w:tr w:rsidR="00F756C1" w:rsidRPr="00927822" w14:paraId="51B57349" w14:textId="77777777" w:rsidTr="00277498">
        <w:tc>
          <w:tcPr>
            <w:tcW w:w="3402" w:type="dxa"/>
          </w:tcPr>
          <w:p w14:paraId="4CC1CF8E" w14:textId="58E7A5ED" w:rsidR="00F756C1" w:rsidRPr="00927822" w:rsidRDefault="00F756C1" w:rsidP="00F756C1">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3/2024/2 (Convention sur la diversité biologique)</w:t>
            </w:r>
          </w:p>
        </w:tc>
        <w:tc>
          <w:tcPr>
            <w:tcW w:w="4821" w:type="dxa"/>
          </w:tcPr>
          <w:p w14:paraId="42444FC8" w14:textId="77777777" w:rsidR="00F756C1" w:rsidRPr="00927822" w:rsidRDefault="00F756C1" w:rsidP="00F756C1">
            <w:pPr>
              <w:spacing w:before="40" w:after="120"/>
            </w:pPr>
            <w:r>
              <w:rPr>
                <w:lang w:val="fr-FR"/>
              </w:rPr>
              <w:t>Prise en considération des espèces exotiques envahissantes comme des organismes vivants dangereux pour l’environnement</w:t>
            </w:r>
          </w:p>
        </w:tc>
      </w:tr>
      <w:tr w:rsidR="00F756C1" w:rsidRPr="00927822" w14:paraId="1940EDD0" w14:textId="77777777" w:rsidTr="00277498">
        <w:tc>
          <w:tcPr>
            <w:tcW w:w="3402" w:type="dxa"/>
          </w:tcPr>
          <w:p w14:paraId="3914AA3C" w14:textId="0FE75345" w:rsidR="00F756C1" w:rsidRDefault="00F756C1" w:rsidP="00F756C1">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3/2024/7 (Canada et</w:t>
            </w:r>
            <w:r w:rsidR="00F23DD5">
              <w:rPr>
                <w:lang w:val="fr-FR"/>
              </w:rPr>
              <w:t> </w:t>
            </w:r>
            <w:r>
              <w:rPr>
                <w:lang w:val="fr-FR"/>
              </w:rPr>
              <w:t>OMS)</w:t>
            </w:r>
          </w:p>
        </w:tc>
        <w:tc>
          <w:tcPr>
            <w:tcW w:w="4821" w:type="dxa"/>
          </w:tcPr>
          <w:p w14:paraId="68D39D28" w14:textId="77777777" w:rsidR="00F756C1" w:rsidRPr="00927822" w:rsidRDefault="00F756C1" w:rsidP="00F756C1">
            <w:pPr>
              <w:spacing w:before="40" w:after="120"/>
            </w:pPr>
            <w:r>
              <w:rPr>
                <w:lang w:val="fr-FR"/>
              </w:rPr>
              <w:t>Éclaircissements concernant la liste indicative des matières infectieuses de catégorie A</w:t>
            </w:r>
          </w:p>
        </w:tc>
      </w:tr>
      <w:tr w:rsidR="00F756C1" w:rsidRPr="00927822" w14:paraId="5D4CDC30" w14:textId="77777777" w:rsidTr="00277498">
        <w:tc>
          <w:tcPr>
            <w:tcW w:w="3402" w:type="dxa"/>
          </w:tcPr>
          <w:p w14:paraId="6AEFF5B7" w14:textId="67B6F22B" w:rsidR="00F756C1" w:rsidRPr="00F756C1" w:rsidRDefault="00F756C1" w:rsidP="00F756C1">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3/2024/10 (GAFTA)</w:t>
            </w:r>
          </w:p>
        </w:tc>
        <w:tc>
          <w:tcPr>
            <w:tcW w:w="4821" w:type="dxa"/>
          </w:tcPr>
          <w:p w14:paraId="12B24D51" w14:textId="10A3F203" w:rsidR="00F756C1" w:rsidRPr="00927822" w:rsidRDefault="00F756C1" w:rsidP="00F756C1">
            <w:pPr>
              <w:spacing w:before="40" w:after="120"/>
            </w:pPr>
            <w:r>
              <w:rPr>
                <w:lang w:val="fr-FR"/>
              </w:rPr>
              <w:t xml:space="preserve">Rubriques consacrées aux tourteaux (Nos ONU 1386 </w:t>
            </w:r>
            <w:r>
              <w:rPr>
                <w:lang w:val="fr-FR"/>
              </w:rPr>
              <w:br/>
            </w:r>
            <w:r>
              <w:rPr>
                <w:lang w:val="fr-FR"/>
              </w:rPr>
              <w:t>et 2217)</w:t>
            </w:r>
          </w:p>
        </w:tc>
      </w:tr>
      <w:tr w:rsidR="00F756C1" w:rsidRPr="00927822" w14:paraId="7762245D" w14:textId="77777777" w:rsidTr="00277498">
        <w:tc>
          <w:tcPr>
            <w:tcW w:w="3402" w:type="dxa"/>
          </w:tcPr>
          <w:p w14:paraId="68A80D61" w14:textId="65862015" w:rsidR="00F756C1" w:rsidRPr="003F3439" w:rsidRDefault="00F756C1" w:rsidP="00F756C1">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3/2024/17 (Allemagne)</w:t>
            </w:r>
          </w:p>
        </w:tc>
        <w:tc>
          <w:tcPr>
            <w:tcW w:w="4821" w:type="dxa"/>
          </w:tcPr>
          <w:p w14:paraId="12162A51" w14:textId="0A5DC2F2" w:rsidR="00F756C1" w:rsidRPr="00927822" w:rsidRDefault="00F756C1" w:rsidP="00F756C1">
            <w:pPr>
              <w:spacing w:before="40" w:after="120"/>
            </w:pPr>
            <w:r>
              <w:rPr>
                <w:lang w:val="fr-FR"/>
              </w:rPr>
              <w:t>Transport des liquides organiques porteurs d’hydrogène −</w:t>
            </w:r>
            <w:r>
              <w:rPr>
                <w:lang w:val="fr-FR"/>
              </w:rPr>
              <w:t> </w:t>
            </w:r>
            <w:r>
              <w:rPr>
                <w:lang w:val="fr-FR"/>
              </w:rPr>
              <w:t>nouvelle disposition spéciale pour le No ONU 3082</w:t>
            </w:r>
          </w:p>
        </w:tc>
      </w:tr>
      <w:tr w:rsidR="00F756C1" w:rsidRPr="00927822" w14:paraId="218FFF02" w14:textId="77777777" w:rsidTr="00277498">
        <w:tc>
          <w:tcPr>
            <w:tcW w:w="3402" w:type="dxa"/>
          </w:tcPr>
          <w:p w14:paraId="0B19F3CE" w14:textId="68B0BFFC" w:rsidR="00F756C1" w:rsidRPr="003F3439" w:rsidRDefault="00F756C1" w:rsidP="00F756C1">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3/2024/22 (Allemagne)</w:t>
            </w:r>
          </w:p>
        </w:tc>
        <w:tc>
          <w:tcPr>
            <w:tcW w:w="4821" w:type="dxa"/>
          </w:tcPr>
          <w:p w14:paraId="7DAAEE96" w14:textId="77777777" w:rsidR="00F756C1" w:rsidRPr="00927822" w:rsidRDefault="00F756C1" w:rsidP="00F756C1">
            <w:pPr>
              <w:spacing w:before="40" w:after="120"/>
            </w:pPr>
            <w:r>
              <w:rPr>
                <w:lang w:val="fr-FR"/>
              </w:rPr>
              <w:t>Modification de la quantité limitée pour le No ONU 2956 (MUSC-XYLÈNE)</w:t>
            </w:r>
          </w:p>
        </w:tc>
      </w:tr>
      <w:tr w:rsidR="00F756C1" w:rsidRPr="00BE68BE" w14:paraId="7F3AA995" w14:textId="77777777" w:rsidTr="00277498">
        <w:tc>
          <w:tcPr>
            <w:tcW w:w="3402" w:type="dxa"/>
          </w:tcPr>
          <w:p w14:paraId="2C36B5C9" w14:textId="407F8CB4" w:rsidR="00F756C1" w:rsidRPr="003F3439" w:rsidRDefault="00F756C1" w:rsidP="00F756C1">
            <w:pPr>
              <w:spacing w:before="40" w:after="120"/>
            </w:pPr>
            <w:r>
              <w:rPr>
                <w:lang w:val="fr-FR"/>
              </w:rPr>
              <w:t>ST/SG/AC</w:t>
            </w:r>
            <w:r w:rsidR="00F23DD5" w:rsidRPr="00F23DD5">
              <w:rPr>
                <w:lang w:val="fr-FR"/>
              </w:rPr>
              <w:t>.</w:t>
            </w:r>
            <w:r>
              <w:rPr>
                <w:lang w:val="fr-FR"/>
              </w:rPr>
              <w:t>10/C</w:t>
            </w:r>
            <w:r w:rsidR="00F23DD5" w:rsidRPr="00F23DD5">
              <w:rPr>
                <w:lang w:val="fr-FR"/>
              </w:rPr>
              <w:t>.</w:t>
            </w:r>
            <w:r>
              <w:rPr>
                <w:lang w:val="fr-FR"/>
              </w:rPr>
              <w:t>3/2024/23 (Italie)</w:t>
            </w:r>
          </w:p>
        </w:tc>
        <w:tc>
          <w:tcPr>
            <w:tcW w:w="4821" w:type="dxa"/>
          </w:tcPr>
          <w:p w14:paraId="49E8B37D" w14:textId="77777777" w:rsidR="00F756C1" w:rsidRPr="00497A2B" w:rsidRDefault="00F756C1" w:rsidP="00F756C1">
            <w:pPr>
              <w:spacing w:before="40" w:after="120"/>
            </w:pPr>
            <w:r>
              <w:rPr>
                <w:lang w:val="fr-FR"/>
              </w:rPr>
              <w:t>Coussins gonflables portables</w:t>
            </w:r>
          </w:p>
        </w:tc>
      </w:tr>
      <w:tr w:rsidR="00F756C1" w:rsidRPr="00927822" w14:paraId="30340CF2" w14:textId="77777777" w:rsidTr="00277498">
        <w:tc>
          <w:tcPr>
            <w:tcW w:w="3402" w:type="dxa"/>
          </w:tcPr>
          <w:p w14:paraId="0888BDE8" w14:textId="09F9BA69" w:rsidR="00F756C1" w:rsidRPr="003F3439" w:rsidRDefault="00F756C1" w:rsidP="00F756C1">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3/2024/27 (Allemagne)</w:t>
            </w:r>
          </w:p>
        </w:tc>
        <w:tc>
          <w:tcPr>
            <w:tcW w:w="4821" w:type="dxa"/>
          </w:tcPr>
          <w:p w14:paraId="00EA1BAB" w14:textId="77777777" w:rsidR="00F756C1" w:rsidRPr="00927822" w:rsidRDefault="00F756C1" w:rsidP="00F756C1">
            <w:pPr>
              <w:spacing w:before="40" w:after="120"/>
              <w:rPr>
                <w:rFonts w:eastAsia="MS Mincho"/>
              </w:rPr>
            </w:pPr>
            <w:r>
              <w:rPr>
                <w:lang w:val="fr-FR"/>
              </w:rPr>
              <w:t>Machines frigorifiques ou dispositifs de chauffage</w:t>
            </w:r>
          </w:p>
        </w:tc>
      </w:tr>
      <w:tr w:rsidR="00F756C1" w:rsidRPr="00927822" w14:paraId="7AE72219" w14:textId="77777777" w:rsidTr="00277498">
        <w:tc>
          <w:tcPr>
            <w:tcW w:w="3402" w:type="dxa"/>
          </w:tcPr>
          <w:p w14:paraId="57E15EA1" w14:textId="6F8C8BED" w:rsidR="00F756C1" w:rsidRPr="00F756C1" w:rsidRDefault="00F756C1" w:rsidP="00F756C1">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3/2024/31 (WCC)</w:t>
            </w:r>
          </w:p>
        </w:tc>
        <w:tc>
          <w:tcPr>
            <w:tcW w:w="4821" w:type="dxa"/>
          </w:tcPr>
          <w:p w14:paraId="7BF82D19" w14:textId="77777777" w:rsidR="00F756C1" w:rsidRPr="00927822" w:rsidRDefault="00F756C1" w:rsidP="00F756C1">
            <w:pPr>
              <w:spacing w:before="40" w:after="120"/>
            </w:pPr>
            <w:r>
              <w:rPr>
                <w:lang w:val="fr-FR"/>
              </w:rPr>
              <w:t>Dispositions relatives au transport de petites quantités de peintures et d’encres d’imprimerie dangereuses pour l’environnement et de matières apparentées</w:t>
            </w:r>
          </w:p>
        </w:tc>
      </w:tr>
      <w:tr w:rsidR="00F756C1" w:rsidRPr="00927822" w14:paraId="44717B3E" w14:textId="77777777" w:rsidTr="00277498">
        <w:tc>
          <w:tcPr>
            <w:tcW w:w="3402" w:type="dxa"/>
          </w:tcPr>
          <w:p w14:paraId="10140967" w14:textId="2864B40F" w:rsidR="00F756C1" w:rsidRPr="00927822" w:rsidRDefault="00F756C1" w:rsidP="00F756C1">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3/2024/32 (Pays-Bas)</w:t>
            </w:r>
          </w:p>
        </w:tc>
        <w:tc>
          <w:tcPr>
            <w:tcW w:w="4821" w:type="dxa"/>
          </w:tcPr>
          <w:p w14:paraId="6BB972AE" w14:textId="77777777" w:rsidR="00F756C1" w:rsidRPr="00927822" w:rsidRDefault="00F756C1" w:rsidP="00F756C1">
            <w:pPr>
              <w:spacing w:before="40" w:after="120"/>
              <w:rPr>
                <w:rFonts w:asciiTheme="majorBidi" w:hAnsiTheme="majorBidi" w:cstheme="majorBidi"/>
              </w:rPr>
            </w:pPr>
            <w:bookmarkStart w:id="1" w:name="_Hlk161246528"/>
            <w:bookmarkStart w:id="2" w:name="_Hlk158886022"/>
            <w:r>
              <w:rPr>
                <w:lang w:val="fr-FR"/>
              </w:rPr>
              <w:t>Appareils d’imagerie par résonance magnétique</w:t>
            </w:r>
            <w:bookmarkEnd w:id="1"/>
            <w:bookmarkEnd w:id="2"/>
          </w:p>
        </w:tc>
      </w:tr>
      <w:tr w:rsidR="00F756C1" w:rsidRPr="00927822" w14:paraId="29A53C93" w14:textId="77777777" w:rsidTr="00277498">
        <w:tc>
          <w:tcPr>
            <w:tcW w:w="3402" w:type="dxa"/>
          </w:tcPr>
          <w:p w14:paraId="5091C114" w14:textId="28B3F92E" w:rsidR="00F756C1" w:rsidRPr="00F756C1" w:rsidRDefault="00F756C1" w:rsidP="00F756C1">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3/2024/33 (OMS)</w:t>
            </w:r>
          </w:p>
        </w:tc>
        <w:tc>
          <w:tcPr>
            <w:tcW w:w="4821" w:type="dxa"/>
          </w:tcPr>
          <w:p w14:paraId="02A90804" w14:textId="77777777" w:rsidR="00F756C1" w:rsidRPr="00927822" w:rsidRDefault="00F756C1" w:rsidP="00F756C1">
            <w:pPr>
              <w:spacing w:before="40" w:after="120"/>
            </w:pPr>
            <w:r>
              <w:rPr>
                <w:lang w:val="fr-FR"/>
              </w:rPr>
              <w:t>Faciliter l’envoi d’échantillons destinés à l’évaluation externe de la qualité, aux essais d’aptitude et à la répétition d’essais</w:t>
            </w:r>
          </w:p>
        </w:tc>
      </w:tr>
      <w:tr w:rsidR="00F756C1" w:rsidRPr="00927822" w14:paraId="53C5A13A" w14:textId="77777777" w:rsidTr="00277498">
        <w:tc>
          <w:tcPr>
            <w:tcW w:w="3402" w:type="dxa"/>
          </w:tcPr>
          <w:p w14:paraId="431192F2" w14:textId="23B81466"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3/2024/37 (Chine)</w:t>
            </w:r>
          </w:p>
        </w:tc>
        <w:tc>
          <w:tcPr>
            <w:tcW w:w="4821" w:type="dxa"/>
          </w:tcPr>
          <w:p w14:paraId="143F1998" w14:textId="77777777" w:rsidR="00F756C1" w:rsidRPr="00927822" w:rsidRDefault="00F756C1" w:rsidP="00F756C1">
            <w:pPr>
              <w:spacing w:before="40" w:after="120"/>
            </w:pPr>
            <w:r>
              <w:rPr>
                <w:lang w:val="fr-FR"/>
              </w:rPr>
              <w:t>Classement des acrylates de butyle stabilisés</w:t>
            </w:r>
          </w:p>
        </w:tc>
      </w:tr>
      <w:tr w:rsidR="00F756C1" w:rsidRPr="00927822" w14:paraId="1CC36987" w14:textId="77777777" w:rsidTr="00277498">
        <w:tc>
          <w:tcPr>
            <w:tcW w:w="3402" w:type="dxa"/>
          </w:tcPr>
          <w:p w14:paraId="5FC71312" w14:textId="6FA004F3" w:rsidR="00F756C1" w:rsidRPr="003F3439" w:rsidRDefault="00F756C1" w:rsidP="00B306EA">
            <w:pPr>
              <w:spacing w:before="40" w:after="120"/>
            </w:pPr>
            <w:r>
              <w:rPr>
                <w:lang w:val="fr-FR"/>
              </w:rPr>
              <w:t>ST/SG/AC</w:t>
            </w:r>
            <w:r w:rsidR="00F23DD5" w:rsidRPr="00F23DD5">
              <w:rPr>
                <w:lang w:val="fr-FR"/>
              </w:rPr>
              <w:t>.</w:t>
            </w:r>
            <w:r>
              <w:rPr>
                <w:lang w:val="fr-FR"/>
              </w:rPr>
              <w:t>10/C</w:t>
            </w:r>
            <w:r w:rsidR="00F23DD5" w:rsidRPr="00F23DD5">
              <w:rPr>
                <w:lang w:val="fr-FR"/>
              </w:rPr>
              <w:t>.</w:t>
            </w:r>
            <w:r>
              <w:rPr>
                <w:lang w:val="fr-FR"/>
              </w:rPr>
              <w:t>3/2024/46 (Belgique)</w:t>
            </w:r>
          </w:p>
        </w:tc>
        <w:tc>
          <w:tcPr>
            <w:tcW w:w="4821" w:type="dxa"/>
          </w:tcPr>
          <w:p w14:paraId="7333940B" w14:textId="77777777" w:rsidR="00F756C1" w:rsidRPr="00927822" w:rsidRDefault="00F756C1" w:rsidP="00F756C1">
            <w:pPr>
              <w:spacing w:before="40" w:after="120"/>
            </w:pPr>
            <w:r>
              <w:rPr>
                <w:lang w:val="fr-FR"/>
              </w:rPr>
              <w:t>Classement du No ONU 2372 BIS (DIMÉTHYLAMINO)-1,2 ÉTHANE</w:t>
            </w:r>
          </w:p>
        </w:tc>
      </w:tr>
      <w:tr w:rsidR="00F756C1" w:rsidRPr="00927822" w14:paraId="3BDD288E" w14:textId="77777777" w:rsidTr="00277498">
        <w:tc>
          <w:tcPr>
            <w:tcW w:w="3402" w:type="dxa"/>
          </w:tcPr>
          <w:p w14:paraId="0FB41984" w14:textId="4715A765"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3/2024/48 (WLGA)</w:t>
            </w:r>
          </w:p>
        </w:tc>
        <w:tc>
          <w:tcPr>
            <w:tcW w:w="4821" w:type="dxa"/>
          </w:tcPr>
          <w:p w14:paraId="0B439CA5" w14:textId="77777777" w:rsidR="00F756C1" w:rsidRPr="00927822" w:rsidRDefault="00F756C1" w:rsidP="00F756C1">
            <w:pPr>
              <w:spacing w:before="40" w:after="120"/>
              <w:rPr>
                <w:rFonts w:eastAsia="MS Mincho"/>
              </w:rPr>
            </w:pPr>
            <w:r>
              <w:rPr>
                <w:lang w:val="fr-FR"/>
              </w:rPr>
              <w:t>Produits actuels et futurs dans le secteur du gaz de pétrole liquéfié (GPL) − Ajout d’une nouvelle disposition spéciale pour les Nos ONU 1075 et 1965</w:t>
            </w:r>
          </w:p>
        </w:tc>
      </w:tr>
      <w:tr w:rsidR="00F756C1" w:rsidRPr="00927822" w14:paraId="4EC29BA6" w14:textId="77777777" w:rsidTr="00277498">
        <w:tc>
          <w:tcPr>
            <w:tcW w:w="3402" w:type="dxa"/>
          </w:tcPr>
          <w:p w14:paraId="2E69956C" w14:textId="29A9BD42" w:rsidR="00F756C1" w:rsidRPr="00F756C1" w:rsidRDefault="00F756C1" w:rsidP="00F756C1">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3/2024/49 (WLGA)</w:t>
            </w:r>
          </w:p>
        </w:tc>
        <w:tc>
          <w:tcPr>
            <w:tcW w:w="4821" w:type="dxa"/>
          </w:tcPr>
          <w:p w14:paraId="23960ECD" w14:textId="77777777" w:rsidR="00F756C1" w:rsidRPr="00927822" w:rsidRDefault="00F756C1" w:rsidP="00F756C1">
            <w:pPr>
              <w:spacing w:before="40" w:after="120"/>
              <w:rPr>
                <w:rFonts w:eastAsia="MS Mincho"/>
              </w:rPr>
            </w:pPr>
            <w:r>
              <w:rPr>
                <w:lang w:val="fr-FR"/>
              </w:rPr>
              <w:t>Produits actuels et futurs dans le secteur du gaz de pétrole liquéfié (GPL) − Ajout d’une nouvelle disposition spéciale pour les Nos ONU 1075 et ONU 1965 − Informations complémentaires, travaux de recherche et essais</w:t>
            </w:r>
          </w:p>
        </w:tc>
      </w:tr>
      <w:tr w:rsidR="00F756C1" w:rsidRPr="00927822" w14:paraId="400812E5" w14:textId="77777777" w:rsidTr="00277498">
        <w:tc>
          <w:tcPr>
            <w:tcW w:w="3402" w:type="dxa"/>
          </w:tcPr>
          <w:p w14:paraId="1ADA0C98" w14:textId="6AFC57BE"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3/2024/50 (WLGA)</w:t>
            </w:r>
          </w:p>
        </w:tc>
        <w:tc>
          <w:tcPr>
            <w:tcW w:w="4821" w:type="dxa"/>
          </w:tcPr>
          <w:p w14:paraId="3A21DC2A" w14:textId="77777777" w:rsidR="00F756C1" w:rsidRPr="00927822" w:rsidRDefault="00F756C1" w:rsidP="00F756C1">
            <w:pPr>
              <w:spacing w:before="40" w:after="120"/>
            </w:pPr>
            <w:r>
              <w:rPr>
                <w:lang w:val="fr-FR"/>
              </w:rPr>
              <w:t>Produits actuels et futurs dans le secteur du gaz de pétrole liquéfié (GPL) − proposition de nouveau numéro ONU</w:t>
            </w:r>
          </w:p>
        </w:tc>
      </w:tr>
      <w:tr w:rsidR="00F756C1" w:rsidRPr="00927822" w14:paraId="76739DF4" w14:textId="77777777" w:rsidTr="00277498">
        <w:tc>
          <w:tcPr>
            <w:tcW w:w="3402" w:type="dxa"/>
          </w:tcPr>
          <w:p w14:paraId="10C9BAA7" w14:textId="3C60FCEE" w:rsidR="00F756C1" w:rsidRPr="00F756C1" w:rsidRDefault="00F756C1" w:rsidP="00F756C1">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3/2024/51 (COSTHA)</w:t>
            </w:r>
          </w:p>
        </w:tc>
        <w:tc>
          <w:tcPr>
            <w:tcW w:w="4821" w:type="dxa"/>
          </w:tcPr>
          <w:p w14:paraId="260A5BE1" w14:textId="77777777" w:rsidR="00F756C1" w:rsidRPr="00927822" w:rsidRDefault="00F756C1" w:rsidP="00F756C1">
            <w:pPr>
              <w:spacing w:before="40" w:after="120"/>
            </w:pPr>
            <w:r>
              <w:rPr>
                <w:lang w:val="fr-FR"/>
              </w:rPr>
              <w:t>Matériel médical usagé contenant des piles au lithium</w:t>
            </w:r>
          </w:p>
        </w:tc>
      </w:tr>
    </w:tbl>
    <w:p w14:paraId="4C7F83F7" w14:textId="324650E4" w:rsidR="00F756C1" w:rsidRPr="00927822" w:rsidRDefault="00F756C1" w:rsidP="00F756C1">
      <w:pPr>
        <w:pStyle w:val="H1G"/>
      </w:pPr>
      <w:r>
        <w:rPr>
          <w:lang w:val="fr-FR"/>
        </w:rPr>
        <w:tab/>
      </w:r>
      <w:r>
        <w:rPr>
          <w:lang w:val="fr-FR"/>
        </w:rPr>
        <w:t>4</w:t>
      </w:r>
      <w:r w:rsidR="00F23DD5" w:rsidRPr="00F23DD5">
        <w:rPr>
          <w:lang w:val="fr-FR"/>
        </w:rPr>
        <w:t>.</w:t>
      </w:r>
      <w:r>
        <w:rPr>
          <w:lang w:val="fr-FR"/>
        </w:rPr>
        <w:tab/>
        <w:t>Systèmes de stockage de l’électricité</w:t>
      </w:r>
    </w:p>
    <w:p w14:paraId="52F66AFA" w14:textId="57099B7D" w:rsidR="00F756C1" w:rsidRPr="00927822" w:rsidRDefault="00F756C1" w:rsidP="00F756C1">
      <w:pPr>
        <w:pStyle w:val="H23G"/>
      </w:pPr>
      <w:r>
        <w:rPr>
          <w:lang w:val="fr-FR"/>
        </w:rPr>
        <w:tab/>
      </w:r>
      <w:r>
        <w:rPr>
          <w:lang w:val="fr-FR"/>
        </w:rPr>
        <w:t>a)</w:t>
      </w:r>
      <w:r>
        <w:rPr>
          <w:lang w:val="fr-FR"/>
        </w:rPr>
        <w:tab/>
        <w:t>Épreuves pour les batteries au lithium</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463D787F" w14:textId="77777777" w:rsidTr="00277498">
        <w:tc>
          <w:tcPr>
            <w:tcW w:w="3402" w:type="dxa"/>
          </w:tcPr>
          <w:p w14:paraId="5272E744" w14:textId="558AF3A4"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3/2024/15 (RECHARGE)</w:t>
            </w:r>
          </w:p>
        </w:tc>
        <w:tc>
          <w:tcPr>
            <w:tcW w:w="4821" w:type="dxa"/>
          </w:tcPr>
          <w:p w14:paraId="1D1EEB81" w14:textId="120742AF" w:rsidR="00F756C1" w:rsidRPr="00927822" w:rsidRDefault="00F756C1" w:rsidP="00B306EA">
            <w:pPr>
              <w:spacing w:before="40" w:after="120"/>
            </w:pPr>
            <w:r>
              <w:rPr>
                <w:lang w:val="fr-FR"/>
              </w:rPr>
              <w:t>Épreuve pour les batteries au lithium − amendement à l’épreuve de court-circuit externe T</w:t>
            </w:r>
            <w:r w:rsidR="00F23DD5" w:rsidRPr="00F23DD5">
              <w:rPr>
                <w:lang w:val="fr-FR"/>
              </w:rPr>
              <w:t>.</w:t>
            </w:r>
            <w:r>
              <w:rPr>
                <w:lang w:val="fr-FR"/>
              </w:rPr>
              <w:t>5</w:t>
            </w:r>
          </w:p>
        </w:tc>
      </w:tr>
      <w:tr w:rsidR="00F756C1" w:rsidRPr="00927822" w14:paraId="6214F6BB" w14:textId="77777777" w:rsidTr="00277498">
        <w:tc>
          <w:tcPr>
            <w:tcW w:w="3402" w:type="dxa"/>
          </w:tcPr>
          <w:p w14:paraId="3F4488A9" w14:textId="7750330E"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3/2024/39 (Chine)</w:t>
            </w:r>
          </w:p>
        </w:tc>
        <w:tc>
          <w:tcPr>
            <w:tcW w:w="4821" w:type="dxa"/>
          </w:tcPr>
          <w:p w14:paraId="433BA425" w14:textId="1F2DD9F1" w:rsidR="00F756C1" w:rsidRPr="00927822" w:rsidRDefault="00F756C1" w:rsidP="00B306EA">
            <w:pPr>
              <w:spacing w:before="40" w:after="120"/>
            </w:pPr>
            <w:r>
              <w:rPr>
                <w:lang w:val="fr-FR"/>
              </w:rPr>
              <w:t>Taille des surfaces planes dans le mode opératoire de l’épreuve T</w:t>
            </w:r>
            <w:r w:rsidR="00F23DD5" w:rsidRPr="00F23DD5">
              <w:rPr>
                <w:lang w:val="fr-FR"/>
              </w:rPr>
              <w:t>.</w:t>
            </w:r>
            <w:r>
              <w:rPr>
                <w:lang w:val="fr-FR"/>
              </w:rPr>
              <w:t>6 (écrasement)</w:t>
            </w:r>
          </w:p>
        </w:tc>
      </w:tr>
      <w:tr w:rsidR="00F756C1" w:rsidRPr="00927822" w14:paraId="098BB31E" w14:textId="77777777" w:rsidTr="00277498">
        <w:tc>
          <w:tcPr>
            <w:tcW w:w="3402" w:type="dxa"/>
          </w:tcPr>
          <w:p w14:paraId="594A5539" w14:textId="3F9D39F1" w:rsidR="00F756C1" w:rsidRPr="00F756C1" w:rsidRDefault="00F756C1" w:rsidP="00B306EA">
            <w:pPr>
              <w:spacing w:before="40" w:after="120"/>
              <w:rPr>
                <w:lang w:val="en-US"/>
              </w:rPr>
            </w:pPr>
            <w:r w:rsidRPr="00927822">
              <w:rPr>
                <w:lang w:val="en-US"/>
              </w:rPr>
              <w:lastRenderedPageBreak/>
              <w:t>ST/SG/AC</w:t>
            </w:r>
            <w:r w:rsidR="00F23DD5" w:rsidRPr="00F23DD5">
              <w:rPr>
                <w:lang w:val="en-US"/>
              </w:rPr>
              <w:t>.</w:t>
            </w:r>
            <w:r w:rsidRPr="00927822">
              <w:rPr>
                <w:lang w:val="en-US"/>
              </w:rPr>
              <w:t>10/C</w:t>
            </w:r>
            <w:r w:rsidR="00F23DD5" w:rsidRPr="00F23DD5">
              <w:rPr>
                <w:lang w:val="en-US"/>
              </w:rPr>
              <w:t>.</w:t>
            </w:r>
            <w:r w:rsidRPr="00927822">
              <w:rPr>
                <w:lang w:val="en-US"/>
              </w:rPr>
              <w:t>3/2024/40 (Chine)</w:t>
            </w:r>
          </w:p>
        </w:tc>
        <w:tc>
          <w:tcPr>
            <w:tcW w:w="4821" w:type="dxa"/>
          </w:tcPr>
          <w:p w14:paraId="13B45E20" w14:textId="4B615DA8" w:rsidR="00F756C1" w:rsidRPr="00927822" w:rsidRDefault="00F756C1" w:rsidP="00B306EA">
            <w:pPr>
              <w:spacing w:before="40" w:after="120"/>
              <w:rPr>
                <w:szCs w:val="28"/>
              </w:rPr>
            </w:pPr>
            <w:r>
              <w:rPr>
                <w:lang w:val="fr-FR"/>
              </w:rPr>
              <w:t>Mode opératoire de l’épreuve T</w:t>
            </w:r>
            <w:r w:rsidR="00F23DD5" w:rsidRPr="00F23DD5">
              <w:rPr>
                <w:lang w:val="fr-FR"/>
              </w:rPr>
              <w:t>.</w:t>
            </w:r>
            <w:r>
              <w:rPr>
                <w:lang w:val="fr-FR"/>
              </w:rPr>
              <w:t>8 (Décharge forcée)</w:t>
            </w:r>
          </w:p>
        </w:tc>
      </w:tr>
      <w:tr w:rsidR="00F756C1" w:rsidRPr="00927822" w14:paraId="54105B06" w14:textId="77777777" w:rsidTr="00277498">
        <w:tc>
          <w:tcPr>
            <w:tcW w:w="3402" w:type="dxa"/>
          </w:tcPr>
          <w:p w14:paraId="4F632FEF" w14:textId="1E4943CE"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3/2024/45 (OACI)</w:t>
            </w:r>
          </w:p>
        </w:tc>
        <w:tc>
          <w:tcPr>
            <w:tcW w:w="4821" w:type="dxa"/>
          </w:tcPr>
          <w:p w14:paraId="2B32B9D8" w14:textId="77777777" w:rsidR="00F756C1" w:rsidRPr="00927822" w:rsidRDefault="00F756C1" w:rsidP="00B306EA">
            <w:pPr>
              <w:spacing w:before="40" w:after="120"/>
            </w:pPr>
            <w:r>
              <w:rPr>
                <w:lang w:val="fr-FR"/>
              </w:rPr>
              <w:t>Mesures d’atténuation supplémentaires pour le transport des batteries au lithium</w:t>
            </w:r>
          </w:p>
        </w:tc>
      </w:tr>
      <w:tr w:rsidR="00F756C1" w:rsidRPr="00927822" w14:paraId="7745A4AA" w14:textId="77777777" w:rsidTr="00277498">
        <w:tc>
          <w:tcPr>
            <w:tcW w:w="3402" w:type="dxa"/>
          </w:tcPr>
          <w:p w14:paraId="1280E0EE" w14:textId="5A4C793E"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3/2024/54 (PRBA)</w:t>
            </w:r>
          </w:p>
        </w:tc>
        <w:tc>
          <w:tcPr>
            <w:tcW w:w="4821" w:type="dxa"/>
          </w:tcPr>
          <w:p w14:paraId="7541C594" w14:textId="002670FC" w:rsidR="00F756C1" w:rsidRPr="00927822" w:rsidRDefault="00F756C1" w:rsidP="00B306EA">
            <w:pPr>
              <w:spacing w:before="40" w:after="120"/>
              <w:rPr>
                <w:szCs w:val="28"/>
              </w:rPr>
            </w:pPr>
            <w:r>
              <w:rPr>
                <w:lang w:val="fr-FR"/>
              </w:rPr>
              <w:t>Épreuves pour les batteries au lithium visées à la sous</w:t>
            </w:r>
            <w:r w:rsidR="00F23DD5">
              <w:rPr>
                <w:lang w:val="fr-FR"/>
              </w:rPr>
              <w:noBreakHyphen/>
            </w:r>
            <w:r>
              <w:rPr>
                <w:lang w:val="fr-FR"/>
              </w:rPr>
              <w:t>section 38</w:t>
            </w:r>
            <w:r w:rsidR="00F23DD5" w:rsidRPr="00F23DD5">
              <w:rPr>
                <w:lang w:val="fr-FR"/>
              </w:rPr>
              <w:t>.</w:t>
            </w:r>
            <w:r>
              <w:rPr>
                <w:lang w:val="fr-FR"/>
              </w:rPr>
              <w:t>3 du Manuel d’épreuves et de critères et amendements à l’épreuve de court-circuit externe T</w:t>
            </w:r>
            <w:r w:rsidR="00F23DD5" w:rsidRPr="00F23DD5">
              <w:rPr>
                <w:lang w:val="fr-FR"/>
              </w:rPr>
              <w:t>.</w:t>
            </w:r>
            <w:r>
              <w:rPr>
                <w:lang w:val="fr-FR"/>
              </w:rPr>
              <w:t>5</w:t>
            </w:r>
          </w:p>
        </w:tc>
      </w:tr>
      <w:tr w:rsidR="00F756C1" w:rsidRPr="00927822" w14:paraId="28849F25" w14:textId="77777777" w:rsidTr="00277498">
        <w:tc>
          <w:tcPr>
            <w:tcW w:w="3402" w:type="dxa"/>
          </w:tcPr>
          <w:p w14:paraId="45CB0F29" w14:textId="278DC4D2"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3/2024/55 (PRBA)</w:t>
            </w:r>
          </w:p>
        </w:tc>
        <w:tc>
          <w:tcPr>
            <w:tcW w:w="4821" w:type="dxa"/>
          </w:tcPr>
          <w:p w14:paraId="1A11660C" w14:textId="7DE824DF" w:rsidR="00F756C1" w:rsidRPr="00927822" w:rsidRDefault="00F756C1" w:rsidP="00B306EA">
            <w:pPr>
              <w:spacing w:before="40" w:after="120"/>
            </w:pPr>
            <w:r>
              <w:rPr>
                <w:lang w:val="fr-FR"/>
              </w:rPr>
              <w:t>Réutilisation, réparation et reconversion des piles et batteries au lithium ionique et incidences sur les dispositions relatives à la sécurité et aux épreuves visées à la sous-section 38</w:t>
            </w:r>
            <w:r w:rsidR="00F23DD5" w:rsidRPr="00F23DD5">
              <w:rPr>
                <w:lang w:val="fr-FR"/>
              </w:rPr>
              <w:t>.</w:t>
            </w:r>
            <w:r>
              <w:rPr>
                <w:lang w:val="fr-FR"/>
              </w:rPr>
              <w:t>3 du Manuel d’épreuves et de critères</w:t>
            </w:r>
          </w:p>
        </w:tc>
      </w:tr>
      <w:tr w:rsidR="00F756C1" w:rsidRPr="00927822" w14:paraId="18D18FA0" w14:textId="77777777" w:rsidTr="00277498">
        <w:tc>
          <w:tcPr>
            <w:tcW w:w="3402" w:type="dxa"/>
          </w:tcPr>
          <w:p w14:paraId="02DA1E8B" w14:textId="15514880"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3/2024/56 (PRBA)</w:t>
            </w:r>
          </w:p>
        </w:tc>
        <w:tc>
          <w:tcPr>
            <w:tcW w:w="4821" w:type="dxa"/>
          </w:tcPr>
          <w:p w14:paraId="04D274A5" w14:textId="2754B6EF" w:rsidR="00F756C1" w:rsidRPr="00927822" w:rsidRDefault="00F756C1" w:rsidP="00B306EA">
            <w:pPr>
              <w:spacing w:before="40" w:after="120"/>
            </w:pPr>
            <w:r>
              <w:rPr>
                <w:lang w:val="fr-FR"/>
              </w:rPr>
              <w:t>Précisions concernant l’ordre des épreuves auxquelles soumettre les batteries au lithium au titre de la sous</w:t>
            </w:r>
            <w:r w:rsidR="00F23DD5">
              <w:rPr>
                <w:lang w:val="fr-FR"/>
              </w:rPr>
              <w:noBreakHyphen/>
            </w:r>
            <w:r>
              <w:rPr>
                <w:lang w:val="fr-FR"/>
              </w:rPr>
              <w:t>section 38</w:t>
            </w:r>
            <w:r w:rsidR="00F23DD5" w:rsidRPr="00F23DD5">
              <w:rPr>
                <w:lang w:val="fr-FR"/>
              </w:rPr>
              <w:t>.</w:t>
            </w:r>
            <w:r>
              <w:rPr>
                <w:lang w:val="fr-FR"/>
              </w:rPr>
              <w:t>3 du Manuel d’épreuves et de critères</w:t>
            </w:r>
          </w:p>
        </w:tc>
      </w:tr>
      <w:tr w:rsidR="00F756C1" w:rsidRPr="00927822" w14:paraId="4C92B10B" w14:textId="77777777" w:rsidTr="00277498">
        <w:tc>
          <w:tcPr>
            <w:tcW w:w="3402" w:type="dxa"/>
          </w:tcPr>
          <w:p w14:paraId="3A7FA1A4" w14:textId="58099526"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3/2024/57 (PRBA)</w:t>
            </w:r>
          </w:p>
        </w:tc>
        <w:tc>
          <w:tcPr>
            <w:tcW w:w="4821" w:type="dxa"/>
          </w:tcPr>
          <w:p w14:paraId="4D68E7D5" w14:textId="11FC25BC" w:rsidR="00F756C1" w:rsidRPr="00927822" w:rsidRDefault="00F756C1" w:rsidP="00B306EA">
            <w:pPr>
              <w:spacing w:before="40" w:after="120"/>
            </w:pPr>
            <w:r>
              <w:rPr>
                <w:lang w:val="fr-FR"/>
              </w:rPr>
              <w:t>Définition de la rupture aux fins des épreuves pour les batteries au lithium visées à la sous-section 38</w:t>
            </w:r>
            <w:r w:rsidR="00F23DD5" w:rsidRPr="00F23DD5">
              <w:rPr>
                <w:lang w:val="fr-FR"/>
              </w:rPr>
              <w:t>.</w:t>
            </w:r>
            <w:r>
              <w:rPr>
                <w:lang w:val="fr-FR"/>
              </w:rPr>
              <w:t>3 du Manuel d’épreuves et de critères</w:t>
            </w:r>
          </w:p>
        </w:tc>
      </w:tr>
    </w:tbl>
    <w:p w14:paraId="329EC498" w14:textId="269EF88E" w:rsidR="00F756C1" w:rsidRPr="00927822" w:rsidRDefault="00F756C1" w:rsidP="00F756C1">
      <w:pPr>
        <w:pStyle w:val="H23G"/>
      </w:pPr>
      <w:r>
        <w:rPr>
          <w:lang w:val="fr-FR"/>
        </w:rPr>
        <w:tab/>
      </w:r>
      <w:r>
        <w:rPr>
          <w:lang w:val="fr-FR"/>
        </w:rPr>
        <w:t>b)</w:t>
      </w:r>
      <w:r>
        <w:rPr>
          <w:lang w:val="fr-FR"/>
        </w:rPr>
        <w:tab/>
        <w:t>Système de classification des batteries au lithium en fonction du danger</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54E5F579" w14:textId="77777777" w:rsidTr="00277498">
        <w:tc>
          <w:tcPr>
            <w:tcW w:w="3402" w:type="dxa"/>
          </w:tcPr>
          <w:p w14:paraId="0FE8CDA5" w14:textId="7D536BAD" w:rsidR="00F756C1" w:rsidRPr="00927822" w:rsidRDefault="00F756C1" w:rsidP="00B306EA">
            <w:pPr>
              <w:spacing w:before="40" w:after="120"/>
            </w:pPr>
            <w:r>
              <w:rPr>
                <w:lang w:val="fr-FR"/>
              </w:rPr>
              <w:t>ST/SG/AC</w:t>
            </w:r>
            <w:r w:rsidR="00F23DD5" w:rsidRPr="00F23DD5">
              <w:rPr>
                <w:lang w:val="fr-FR"/>
              </w:rPr>
              <w:t>.</w:t>
            </w:r>
            <w:r>
              <w:rPr>
                <w:lang w:val="fr-FR"/>
              </w:rPr>
              <w:t>10/C</w:t>
            </w:r>
            <w:r w:rsidR="00F23DD5" w:rsidRPr="00F23DD5">
              <w:rPr>
                <w:lang w:val="fr-FR"/>
              </w:rPr>
              <w:t>.</w:t>
            </w:r>
            <w:r>
              <w:rPr>
                <w:lang w:val="fr-FR"/>
              </w:rPr>
              <w:t>3/2024/13 (Belgique, France et RECHARGE au nom du groupe de travail informel)</w:t>
            </w:r>
          </w:p>
        </w:tc>
        <w:tc>
          <w:tcPr>
            <w:tcW w:w="4821" w:type="dxa"/>
          </w:tcPr>
          <w:p w14:paraId="7125DEEC" w14:textId="77777777" w:rsidR="00F756C1" w:rsidRPr="00927822" w:rsidRDefault="00F756C1" w:rsidP="00B306EA">
            <w:pPr>
              <w:spacing w:before="40" w:after="120"/>
            </w:pPr>
            <w:r>
              <w:rPr>
                <w:lang w:val="fr-FR"/>
              </w:rPr>
              <w:t>Système de classification des batteries au lithium en fonction du danger</w:t>
            </w:r>
          </w:p>
        </w:tc>
      </w:tr>
    </w:tbl>
    <w:p w14:paraId="150718F9" w14:textId="3BB239E0" w:rsidR="00F756C1" w:rsidRDefault="00F756C1" w:rsidP="00F756C1">
      <w:pPr>
        <w:pStyle w:val="H23G"/>
      </w:pPr>
      <w:r>
        <w:rPr>
          <w:lang w:val="fr-FR"/>
        </w:rPr>
        <w:tab/>
      </w:r>
      <w:r>
        <w:rPr>
          <w:lang w:val="fr-FR"/>
        </w:rPr>
        <w:t>c)</w:t>
      </w:r>
      <w:r>
        <w:rPr>
          <w:lang w:val="fr-FR"/>
        </w:rPr>
        <w:tab/>
        <w:t>Dispositions relatives au transport</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790957D2" w14:textId="77777777" w:rsidTr="00277498">
        <w:tc>
          <w:tcPr>
            <w:tcW w:w="3402" w:type="dxa"/>
          </w:tcPr>
          <w:p w14:paraId="4C55BF27" w14:textId="37AD2100"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3/2024/36 (Chine)</w:t>
            </w:r>
          </w:p>
        </w:tc>
        <w:tc>
          <w:tcPr>
            <w:tcW w:w="4821" w:type="dxa"/>
          </w:tcPr>
          <w:p w14:paraId="10932BF0" w14:textId="77777777" w:rsidR="00F756C1" w:rsidRPr="00927822" w:rsidRDefault="00F756C1" w:rsidP="00B306EA">
            <w:pPr>
              <w:spacing w:before="40" w:after="120"/>
            </w:pPr>
            <w:r>
              <w:rPr>
                <w:lang w:val="fr-FR"/>
              </w:rPr>
              <w:t xml:space="preserve">Transport d’accumulateurs au sodium ionique à électrolyte organique installés dans des engins de </w:t>
            </w:r>
            <w:r w:rsidRPr="00F23DD5">
              <w:t>transport</w:t>
            </w:r>
          </w:p>
        </w:tc>
      </w:tr>
    </w:tbl>
    <w:p w14:paraId="767B17FC" w14:textId="3F631B7E" w:rsidR="00F756C1" w:rsidRPr="00927822" w:rsidRDefault="00F756C1" w:rsidP="00F756C1">
      <w:pPr>
        <w:pStyle w:val="H23G"/>
      </w:pPr>
      <w:r>
        <w:rPr>
          <w:lang w:val="fr-FR"/>
        </w:rPr>
        <w:tab/>
      </w:r>
      <w:r>
        <w:rPr>
          <w:lang w:val="fr-FR"/>
        </w:rPr>
        <w:t>d)</w:t>
      </w:r>
      <w:r>
        <w:rPr>
          <w:lang w:val="fr-FR"/>
        </w:rPr>
        <w:tab/>
        <w:t>Batteries au lithium endommagées ou défectueuses</w:t>
      </w:r>
    </w:p>
    <w:p w14:paraId="6B5412C2" w14:textId="7D76B1FE"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13609231" w14:textId="6E74C5DD" w:rsidR="00F756C1" w:rsidRPr="00927822" w:rsidRDefault="00513EEF" w:rsidP="00513EEF">
      <w:pPr>
        <w:pStyle w:val="H23G"/>
      </w:pPr>
      <w:r>
        <w:rPr>
          <w:lang w:val="fr-FR"/>
        </w:rPr>
        <w:tab/>
        <w:t>e</w:t>
      </w:r>
      <w:r w:rsidR="00F756C1">
        <w:rPr>
          <w:lang w:val="fr-FR"/>
        </w:rPr>
        <w:t>)</w:t>
      </w:r>
      <w:r w:rsidR="00F756C1">
        <w:rPr>
          <w:lang w:val="fr-FR"/>
        </w:rPr>
        <w:tab/>
        <w:t>Batteries au sodium ionique</w:t>
      </w:r>
    </w:p>
    <w:p w14:paraId="7AD5230F" w14:textId="3FE4A5EE"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5DAEFEAB" w14:textId="6B02BC5A" w:rsidR="00F756C1" w:rsidRDefault="00F756C1" w:rsidP="00F756C1">
      <w:pPr>
        <w:pStyle w:val="H23G"/>
      </w:pPr>
      <w:r>
        <w:rPr>
          <w:lang w:val="fr-FR"/>
        </w:rPr>
        <w:tab/>
      </w:r>
      <w:r>
        <w:rPr>
          <w:lang w:val="fr-FR"/>
        </w:rPr>
        <w:t>f)</w:t>
      </w:r>
      <w:r>
        <w:rPr>
          <w:lang w:val="fr-FR"/>
        </w:rPr>
        <w:tab/>
        <w:t>Questions diverses</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3861DE57" w14:textId="77777777" w:rsidTr="00277498">
        <w:tc>
          <w:tcPr>
            <w:tcW w:w="3402" w:type="dxa"/>
          </w:tcPr>
          <w:p w14:paraId="1D6CC8A7" w14:textId="57DC77DB" w:rsidR="00F756C1" w:rsidRPr="00927822" w:rsidRDefault="00F756C1" w:rsidP="00B306EA">
            <w:pPr>
              <w:spacing w:before="40" w:after="120"/>
            </w:pPr>
            <w:r>
              <w:rPr>
                <w:lang w:val="fr-FR"/>
              </w:rPr>
              <w:t>ST/SG/AC</w:t>
            </w:r>
            <w:r w:rsidR="00F23DD5" w:rsidRPr="00F23DD5">
              <w:rPr>
                <w:lang w:val="fr-FR"/>
              </w:rPr>
              <w:t>.</w:t>
            </w:r>
            <w:r>
              <w:rPr>
                <w:lang w:val="fr-FR"/>
              </w:rPr>
              <w:t>10/C</w:t>
            </w:r>
            <w:r w:rsidR="00F23DD5" w:rsidRPr="00F23DD5">
              <w:rPr>
                <w:lang w:val="fr-FR"/>
              </w:rPr>
              <w:t>.</w:t>
            </w:r>
            <w:r>
              <w:rPr>
                <w:lang w:val="fr-FR"/>
              </w:rPr>
              <w:t>3/2024/20 (Royaume</w:t>
            </w:r>
            <w:r>
              <w:rPr>
                <w:lang w:val="fr-FR"/>
              </w:rPr>
              <w:noBreakHyphen/>
            </w:r>
            <w:r>
              <w:rPr>
                <w:lang w:val="fr-FR"/>
              </w:rPr>
              <w:t>Uni)</w:t>
            </w:r>
          </w:p>
        </w:tc>
        <w:tc>
          <w:tcPr>
            <w:tcW w:w="4821" w:type="dxa"/>
          </w:tcPr>
          <w:p w14:paraId="715A8309" w14:textId="77777777" w:rsidR="00F756C1" w:rsidRPr="00927822" w:rsidRDefault="00F756C1" w:rsidP="00B306EA">
            <w:pPr>
              <w:spacing w:before="40" w:after="120"/>
            </w:pPr>
            <w:r>
              <w:rPr>
                <w:lang w:val="fr-FR"/>
              </w:rPr>
              <w:t>Piles et batteries au lithium, classement et identification</w:t>
            </w:r>
          </w:p>
        </w:tc>
      </w:tr>
      <w:tr w:rsidR="00F756C1" w:rsidRPr="00927822" w14:paraId="23D30EC9" w14:textId="77777777" w:rsidTr="00277498">
        <w:tc>
          <w:tcPr>
            <w:tcW w:w="3402" w:type="dxa"/>
          </w:tcPr>
          <w:p w14:paraId="1D9B8301" w14:textId="3D0958F5"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3/2024/42 (</w:t>
            </w:r>
            <w:proofErr w:type="spellStart"/>
            <w:r w:rsidRPr="00927822">
              <w:rPr>
                <w:lang w:val="en-US"/>
              </w:rPr>
              <w:t>Japon</w:t>
            </w:r>
            <w:proofErr w:type="spellEnd"/>
            <w:r w:rsidRPr="00927822">
              <w:rPr>
                <w:lang w:val="en-US"/>
              </w:rPr>
              <w:t>)</w:t>
            </w:r>
          </w:p>
        </w:tc>
        <w:tc>
          <w:tcPr>
            <w:tcW w:w="4821" w:type="dxa"/>
          </w:tcPr>
          <w:p w14:paraId="71FD7735" w14:textId="77777777" w:rsidR="00F756C1" w:rsidRPr="00927822" w:rsidRDefault="00F756C1" w:rsidP="00B306EA">
            <w:pPr>
              <w:spacing w:before="40" w:after="120"/>
            </w:pPr>
            <w:r>
              <w:rPr>
                <w:lang w:val="fr-FR"/>
              </w:rPr>
              <w:t>Nouvelle disposition spéciale pour les piles et batteries solides au lithium ionique (ONU 3480 et ONU 3481) qui ne provoquent pas d’emballement thermique</w:t>
            </w:r>
          </w:p>
        </w:tc>
      </w:tr>
      <w:tr w:rsidR="00F756C1" w:rsidRPr="00927822" w14:paraId="78B1DBA1" w14:textId="77777777" w:rsidTr="00277498">
        <w:tc>
          <w:tcPr>
            <w:tcW w:w="3402" w:type="dxa"/>
          </w:tcPr>
          <w:p w14:paraId="72EB0976" w14:textId="0AD6C5C7"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3/2024/53 (IATA)</w:t>
            </w:r>
          </w:p>
        </w:tc>
        <w:tc>
          <w:tcPr>
            <w:tcW w:w="4821" w:type="dxa"/>
          </w:tcPr>
          <w:p w14:paraId="3DD6E8E8" w14:textId="77777777" w:rsidR="00F756C1" w:rsidRPr="00927822" w:rsidRDefault="00F756C1" w:rsidP="00B306EA">
            <w:pPr>
              <w:spacing w:before="40" w:after="120"/>
              <w:rPr>
                <w:rFonts w:eastAsia="MS Mincho"/>
              </w:rPr>
            </w:pPr>
            <w:r>
              <w:rPr>
                <w:lang w:val="fr-FR"/>
              </w:rPr>
              <w:t>Exception pour les équipements contenant à la fois des batteries au lithium et des piles boutons au lithium</w:t>
            </w:r>
          </w:p>
        </w:tc>
      </w:tr>
    </w:tbl>
    <w:p w14:paraId="5A43970A" w14:textId="554A024D" w:rsidR="00F756C1" w:rsidRPr="00927822" w:rsidRDefault="00F756C1" w:rsidP="00F756C1">
      <w:pPr>
        <w:pStyle w:val="H1G"/>
      </w:pPr>
      <w:r>
        <w:rPr>
          <w:lang w:val="fr-FR"/>
        </w:rPr>
        <w:tab/>
      </w:r>
      <w:r>
        <w:rPr>
          <w:lang w:val="fr-FR"/>
        </w:rPr>
        <w:t>5</w:t>
      </w:r>
      <w:r w:rsidR="00F23DD5" w:rsidRPr="00F23DD5">
        <w:rPr>
          <w:lang w:val="fr-FR"/>
        </w:rPr>
        <w:t>.</w:t>
      </w:r>
      <w:r>
        <w:rPr>
          <w:lang w:val="fr-FR"/>
        </w:rPr>
        <w:tab/>
        <w:t>Transport de gaz</w:t>
      </w:r>
    </w:p>
    <w:p w14:paraId="6E0635AB" w14:textId="3A194BA4" w:rsidR="00F756C1" w:rsidRPr="00927822" w:rsidRDefault="00F756C1" w:rsidP="00F756C1">
      <w:pPr>
        <w:pStyle w:val="H23G"/>
      </w:pPr>
      <w:r>
        <w:rPr>
          <w:lang w:val="fr-FR"/>
        </w:rPr>
        <w:tab/>
      </w:r>
      <w:r>
        <w:rPr>
          <w:lang w:val="fr-FR"/>
        </w:rPr>
        <w:t>a)</w:t>
      </w:r>
      <w:r>
        <w:rPr>
          <w:lang w:val="fr-FR"/>
        </w:rPr>
        <w:tab/>
        <w:t>Reconnaissance universelle des récipients à pression ONU et non ONU</w:t>
      </w:r>
    </w:p>
    <w:p w14:paraId="7F45D58E" w14:textId="2963D0D7"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351EB347" w14:textId="09D9A00A" w:rsidR="00F756C1" w:rsidRPr="00927822" w:rsidRDefault="00F756C1" w:rsidP="00F756C1">
      <w:pPr>
        <w:pStyle w:val="H23G"/>
      </w:pPr>
      <w:r>
        <w:rPr>
          <w:lang w:val="fr-FR"/>
        </w:rPr>
        <w:lastRenderedPageBreak/>
        <w:tab/>
      </w:r>
      <w:r>
        <w:rPr>
          <w:lang w:val="fr-FR"/>
        </w:rPr>
        <w:t>b)</w:t>
      </w:r>
      <w:r>
        <w:rPr>
          <w:lang w:val="fr-FR"/>
        </w:rPr>
        <w:tab/>
        <w:t>Gaz de la division 2</w:t>
      </w:r>
      <w:r w:rsidR="00F23DD5" w:rsidRPr="00F23DD5">
        <w:rPr>
          <w:lang w:val="fr-FR"/>
        </w:rPr>
        <w:t>.</w:t>
      </w:r>
      <w:r>
        <w:rPr>
          <w:lang w:val="fr-FR"/>
        </w:rPr>
        <w:t>2 transportés en quantités limitées</w:t>
      </w:r>
    </w:p>
    <w:p w14:paraId="75D08D05" w14:textId="52BB9FFB"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5CBEFE0A" w14:textId="104CA04C" w:rsidR="00F756C1" w:rsidRDefault="00F756C1" w:rsidP="00F756C1">
      <w:pPr>
        <w:pStyle w:val="H23G"/>
      </w:pPr>
      <w:r>
        <w:rPr>
          <w:lang w:val="fr-FR"/>
        </w:rPr>
        <w:tab/>
      </w:r>
      <w:r>
        <w:rPr>
          <w:lang w:val="fr-FR"/>
        </w:rPr>
        <w:t>c)</w:t>
      </w:r>
      <w:r>
        <w:rPr>
          <w:lang w:val="fr-FR"/>
        </w:rPr>
        <w:tab/>
        <w:t>Questions diverses</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0D18D211" w14:textId="77777777" w:rsidTr="00277498">
        <w:tc>
          <w:tcPr>
            <w:tcW w:w="3402" w:type="dxa"/>
          </w:tcPr>
          <w:p w14:paraId="26249DFA" w14:textId="60792179"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3/2024/11 (ISO)</w:t>
            </w:r>
          </w:p>
        </w:tc>
        <w:tc>
          <w:tcPr>
            <w:tcW w:w="4821" w:type="dxa"/>
          </w:tcPr>
          <w:p w14:paraId="65CD3937" w14:textId="77777777" w:rsidR="00F756C1" w:rsidRPr="00927822" w:rsidRDefault="00F756C1" w:rsidP="00B306EA">
            <w:pPr>
              <w:spacing w:before="40" w:after="120"/>
            </w:pPr>
            <w:r>
              <w:rPr>
                <w:lang w:val="fr-FR"/>
              </w:rPr>
              <w:t>Normes ISO mises à jour dans la classe 2</w:t>
            </w:r>
          </w:p>
        </w:tc>
      </w:tr>
    </w:tbl>
    <w:p w14:paraId="0C3F9CE9" w14:textId="5F1FE27D" w:rsidR="00F756C1" w:rsidRPr="00927822" w:rsidRDefault="00F756C1" w:rsidP="00F756C1">
      <w:pPr>
        <w:pStyle w:val="H1G"/>
      </w:pPr>
      <w:r>
        <w:rPr>
          <w:lang w:val="fr-FR"/>
        </w:rPr>
        <w:tab/>
      </w:r>
      <w:r>
        <w:rPr>
          <w:lang w:val="fr-FR"/>
        </w:rPr>
        <w:t>6</w:t>
      </w:r>
      <w:r w:rsidR="00F23DD5" w:rsidRPr="00F23DD5">
        <w:rPr>
          <w:lang w:val="fr-FR"/>
        </w:rPr>
        <w:t>.</w:t>
      </w:r>
      <w:r>
        <w:rPr>
          <w:lang w:val="fr-FR"/>
        </w:rPr>
        <w:tab/>
        <w:t xml:space="preserve">Propositions diverses d’amendements au Règlement type </w:t>
      </w:r>
      <w:r>
        <w:rPr>
          <w:lang w:val="fr-FR"/>
        </w:rPr>
        <w:br/>
      </w:r>
      <w:r>
        <w:rPr>
          <w:lang w:val="fr-FR"/>
        </w:rPr>
        <w:t>pour le transport des marchandises dangereuses</w:t>
      </w:r>
    </w:p>
    <w:p w14:paraId="7F735C19" w14:textId="12BA2393" w:rsidR="00F756C1" w:rsidRDefault="00F756C1" w:rsidP="00F756C1">
      <w:pPr>
        <w:pStyle w:val="H23G"/>
      </w:pPr>
      <w:r>
        <w:rPr>
          <w:lang w:val="fr-FR"/>
        </w:rPr>
        <w:tab/>
      </w:r>
      <w:r>
        <w:rPr>
          <w:lang w:val="fr-FR"/>
        </w:rPr>
        <w:t>a)</w:t>
      </w:r>
      <w:r>
        <w:rPr>
          <w:lang w:val="fr-FR"/>
        </w:rPr>
        <w:tab/>
        <w:t>Marquage et étiquetage</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0873D69D" w14:textId="77777777" w:rsidTr="00277498">
        <w:tc>
          <w:tcPr>
            <w:tcW w:w="3402" w:type="dxa"/>
          </w:tcPr>
          <w:p w14:paraId="07A139E6" w14:textId="6F36E191" w:rsidR="00F756C1" w:rsidRPr="00927822" w:rsidRDefault="00F756C1" w:rsidP="00B306EA">
            <w:pPr>
              <w:spacing w:before="40" w:after="120"/>
            </w:pPr>
            <w:r>
              <w:rPr>
                <w:lang w:val="fr-FR"/>
              </w:rPr>
              <w:t>ST/SG/AC</w:t>
            </w:r>
            <w:r w:rsidR="00F23DD5" w:rsidRPr="00F23DD5">
              <w:rPr>
                <w:lang w:val="fr-FR"/>
              </w:rPr>
              <w:t>.</w:t>
            </w:r>
            <w:r>
              <w:rPr>
                <w:lang w:val="fr-FR"/>
              </w:rPr>
              <w:t>10/C</w:t>
            </w:r>
            <w:r w:rsidR="00F23DD5" w:rsidRPr="00F23DD5">
              <w:rPr>
                <w:lang w:val="fr-FR"/>
              </w:rPr>
              <w:t>.</w:t>
            </w:r>
            <w:r>
              <w:rPr>
                <w:lang w:val="fr-FR"/>
              </w:rPr>
              <w:t>3/2024/28 (Canada et</w:t>
            </w:r>
            <w:r w:rsidR="00F23DD5">
              <w:rPr>
                <w:lang w:val="fr-FR"/>
              </w:rPr>
              <w:t> </w:t>
            </w:r>
            <w:r>
              <w:rPr>
                <w:lang w:val="fr-FR"/>
              </w:rPr>
              <w:t>Chine)</w:t>
            </w:r>
          </w:p>
        </w:tc>
        <w:tc>
          <w:tcPr>
            <w:tcW w:w="4821" w:type="dxa"/>
          </w:tcPr>
          <w:p w14:paraId="4F36E81F" w14:textId="77777777" w:rsidR="00F756C1" w:rsidRPr="00927822" w:rsidRDefault="00F756C1" w:rsidP="00B306EA">
            <w:pPr>
              <w:spacing w:before="40" w:after="120"/>
            </w:pPr>
            <w:r>
              <w:rPr>
                <w:lang w:val="fr-FR"/>
              </w:rPr>
              <w:t>Clarification des prescriptions applicables au marquage des batteries au titre de la disposition spéciale 188</w:t>
            </w:r>
          </w:p>
        </w:tc>
      </w:tr>
      <w:tr w:rsidR="00F756C1" w:rsidRPr="00927822" w14:paraId="711F4914" w14:textId="77777777" w:rsidTr="00277498">
        <w:tc>
          <w:tcPr>
            <w:tcW w:w="3402" w:type="dxa"/>
          </w:tcPr>
          <w:p w14:paraId="5EFD0758" w14:textId="03AF496A" w:rsidR="00F756C1" w:rsidRPr="00F756C1" w:rsidRDefault="00F756C1" w:rsidP="00B306EA">
            <w:pPr>
              <w:spacing w:before="40" w:after="120"/>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3/2024/34 (COSTHA)</w:t>
            </w:r>
          </w:p>
        </w:tc>
        <w:tc>
          <w:tcPr>
            <w:tcW w:w="4821" w:type="dxa"/>
          </w:tcPr>
          <w:p w14:paraId="2C0FB1A8" w14:textId="77777777" w:rsidR="00F756C1" w:rsidRPr="00927822" w:rsidRDefault="00F756C1" w:rsidP="00B306EA">
            <w:pPr>
              <w:spacing w:before="40" w:after="120"/>
            </w:pPr>
            <w:r>
              <w:rPr>
                <w:lang w:val="fr-FR"/>
              </w:rPr>
              <w:t>Variations du modèle de signe conventionnel représentant une flamme</w:t>
            </w:r>
          </w:p>
        </w:tc>
      </w:tr>
    </w:tbl>
    <w:p w14:paraId="5843764E" w14:textId="09F37960" w:rsidR="00F756C1" w:rsidRPr="00927822" w:rsidRDefault="00F756C1" w:rsidP="00F756C1">
      <w:pPr>
        <w:pStyle w:val="H23G"/>
      </w:pPr>
      <w:r>
        <w:rPr>
          <w:lang w:val="fr-FR"/>
        </w:rPr>
        <w:tab/>
      </w:r>
      <w:r>
        <w:rPr>
          <w:lang w:val="fr-FR"/>
        </w:rPr>
        <w:t>b)</w:t>
      </w:r>
      <w:r>
        <w:rPr>
          <w:lang w:val="fr-FR"/>
        </w:rPr>
        <w:tab/>
        <w:t>Emballages, y compris l’utilisation des matières plastiques recyclées</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0B1A2F68" w14:textId="77777777" w:rsidTr="00277498">
        <w:tc>
          <w:tcPr>
            <w:tcW w:w="3402" w:type="dxa"/>
          </w:tcPr>
          <w:p w14:paraId="2F1E79DC" w14:textId="42B5717E" w:rsidR="00F756C1" w:rsidRPr="00BE68BE" w:rsidRDefault="00F756C1" w:rsidP="00B306EA">
            <w:pPr>
              <w:spacing w:before="40" w:after="120"/>
            </w:pPr>
            <w:r>
              <w:rPr>
                <w:lang w:val="fr-FR"/>
              </w:rPr>
              <w:t>ST/SG/AC</w:t>
            </w:r>
            <w:r w:rsidR="00F23DD5" w:rsidRPr="00F23DD5">
              <w:rPr>
                <w:lang w:val="fr-FR"/>
              </w:rPr>
              <w:t>.</w:t>
            </w:r>
            <w:r>
              <w:rPr>
                <w:lang w:val="fr-FR"/>
              </w:rPr>
              <w:t>10/C</w:t>
            </w:r>
            <w:r w:rsidR="00F23DD5" w:rsidRPr="00F23DD5">
              <w:rPr>
                <w:lang w:val="fr-FR"/>
              </w:rPr>
              <w:t>.</w:t>
            </w:r>
            <w:r>
              <w:rPr>
                <w:lang w:val="fr-FR"/>
              </w:rPr>
              <w:t>3/2024/12 (Allemagne)</w:t>
            </w:r>
          </w:p>
        </w:tc>
        <w:tc>
          <w:tcPr>
            <w:tcW w:w="4821" w:type="dxa"/>
          </w:tcPr>
          <w:p w14:paraId="3F35B980" w14:textId="77777777" w:rsidR="00F756C1" w:rsidRPr="00927822" w:rsidRDefault="00F756C1" w:rsidP="00F756C1">
            <w:pPr>
              <w:spacing w:before="40" w:after="120"/>
            </w:pPr>
            <w:r>
              <w:rPr>
                <w:lang w:val="fr-FR"/>
              </w:rPr>
              <w:t>Exécution et répétition des épreuves</w:t>
            </w:r>
          </w:p>
        </w:tc>
      </w:tr>
      <w:tr w:rsidR="00F756C1" w:rsidRPr="00927822" w14:paraId="4ADF2096" w14:textId="77777777" w:rsidTr="00277498">
        <w:tc>
          <w:tcPr>
            <w:tcW w:w="3402" w:type="dxa"/>
          </w:tcPr>
          <w:p w14:paraId="06995C56" w14:textId="02CB9B98" w:rsidR="00F756C1" w:rsidRPr="00BE68BE" w:rsidRDefault="00F756C1" w:rsidP="00B306EA">
            <w:pPr>
              <w:spacing w:before="40" w:after="120"/>
            </w:pPr>
            <w:r>
              <w:rPr>
                <w:lang w:val="fr-FR"/>
              </w:rPr>
              <w:t>ST/SG/AC</w:t>
            </w:r>
            <w:r w:rsidR="00F23DD5" w:rsidRPr="00F23DD5">
              <w:rPr>
                <w:lang w:val="fr-FR"/>
              </w:rPr>
              <w:t>.</w:t>
            </w:r>
            <w:r>
              <w:rPr>
                <w:lang w:val="fr-FR"/>
              </w:rPr>
              <w:t>10/C</w:t>
            </w:r>
            <w:r w:rsidR="00F23DD5" w:rsidRPr="00F23DD5">
              <w:rPr>
                <w:lang w:val="fr-FR"/>
              </w:rPr>
              <w:t>.</w:t>
            </w:r>
            <w:r>
              <w:rPr>
                <w:lang w:val="fr-FR"/>
              </w:rPr>
              <w:t>3/2024/47 (Belgique)</w:t>
            </w:r>
          </w:p>
        </w:tc>
        <w:tc>
          <w:tcPr>
            <w:tcW w:w="4821" w:type="dxa"/>
          </w:tcPr>
          <w:p w14:paraId="44780185" w14:textId="61001AC6" w:rsidR="00F756C1" w:rsidRPr="00927822" w:rsidRDefault="00F756C1" w:rsidP="00F756C1">
            <w:pPr>
              <w:spacing w:before="40" w:after="120"/>
            </w:pPr>
            <w:r>
              <w:rPr>
                <w:lang w:val="fr-FR"/>
              </w:rPr>
              <w:t>Utilisation de matières plastiques recyclées pour les grands récipients pour vrac souples</w:t>
            </w:r>
          </w:p>
        </w:tc>
      </w:tr>
    </w:tbl>
    <w:p w14:paraId="6CF1E917" w14:textId="10D79005" w:rsidR="00F756C1" w:rsidRDefault="00513EEF" w:rsidP="00513EEF">
      <w:pPr>
        <w:pStyle w:val="H23G"/>
      </w:pPr>
      <w:r>
        <w:rPr>
          <w:lang w:val="fr-FR"/>
        </w:rPr>
        <w:tab/>
      </w:r>
      <w:r w:rsidR="00F756C1">
        <w:rPr>
          <w:lang w:val="fr-FR"/>
        </w:rPr>
        <w:t>c)</w:t>
      </w:r>
      <w:r w:rsidR="00F756C1">
        <w:rPr>
          <w:lang w:val="fr-FR"/>
        </w:rPr>
        <w:tab/>
        <w:t>Citernes mobiles</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6D216AD8" w14:textId="77777777" w:rsidTr="00277498">
        <w:tc>
          <w:tcPr>
            <w:tcW w:w="3402" w:type="dxa"/>
          </w:tcPr>
          <w:p w14:paraId="178805F4" w14:textId="703EB1E2" w:rsidR="00F756C1" w:rsidRPr="00927822" w:rsidRDefault="00F756C1" w:rsidP="00277498">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 xml:space="preserve">3/2024/19 </w:t>
            </w:r>
            <w:r>
              <w:rPr>
                <w:lang w:val="fr-FR"/>
              </w:rPr>
              <w:br/>
            </w:r>
            <w:r>
              <w:rPr>
                <w:lang w:val="fr-FR"/>
              </w:rPr>
              <w:t>(Fédération de Russie)</w:t>
            </w:r>
          </w:p>
        </w:tc>
        <w:tc>
          <w:tcPr>
            <w:tcW w:w="4821" w:type="dxa"/>
          </w:tcPr>
          <w:p w14:paraId="58591903" w14:textId="16CCBBBB" w:rsidR="00F756C1" w:rsidRPr="00927822" w:rsidRDefault="00F756C1" w:rsidP="00277498">
            <w:pPr>
              <w:spacing w:after="120"/>
            </w:pPr>
            <w:r>
              <w:rPr>
                <w:lang w:val="fr-FR"/>
              </w:rPr>
              <w:t>Proposition de nouveau 6</w:t>
            </w:r>
            <w:r w:rsidR="00F23DD5" w:rsidRPr="00F23DD5">
              <w:rPr>
                <w:lang w:val="fr-FR"/>
              </w:rPr>
              <w:t>.</w:t>
            </w:r>
            <w:r>
              <w:rPr>
                <w:lang w:val="fr-FR"/>
              </w:rPr>
              <w:t>9</w:t>
            </w:r>
            <w:r w:rsidR="00F23DD5" w:rsidRPr="00F23DD5">
              <w:rPr>
                <w:lang w:val="fr-FR"/>
              </w:rPr>
              <w:t>.</w:t>
            </w:r>
            <w:r>
              <w:rPr>
                <w:lang w:val="fr-FR"/>
              </w:rPr>
              <w:t>4, « Prescriptions relatives à la conception et à la construction des citernes mobiles destinées au transport des gaz liquéfiés non réfrigérés dont les réservoirs sont en matière plastique renforcée de fibres (PRF) et aux contrôles et épreuves qu’elles doivent subir »</w:t>
            </w:r>
          </w:p>
        </w:tc>
      </w:tr>
      <w:tr w:rsidR="00F756C1" w:rsidRPr="00927822" w14:paraId="73FC3D3F" w14:textId="77777777" w:rsidTr="00277498">
        <w:tc>
          <w:tcPr>
            <w:tcW w:w="3402" w:type="dxa"/>
          </w:tcPr>
          <w:p w14:paraId="360CC9BE" w14:textId="7A0D0807" w:rsidR="00F756C1" w:rsidRPr="00BE68BE" w:rsidRDefault="00F756C1" w:rsidP="00277498">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3/2024/29 (Pologne)</w:t>
            </w:r>
          </w:p>
        </w:tc>
        <w:tc>
          <w:tcPr>
            <w:tcW w:w="4821" w:type="dxa"/>
          </w:tcPr>
          <w:p w14:paraId="23A45FCF" w14:textId="7967AD93" w:rsidR="00F756C1" w:rsidRPr="00927822" w:rsidRDefault="00F756C1" w:rsidP="00277498">
            <w:pPr>
              <w:spacing w:after="120"/>
            </w:pPr>
            <w:r>
              <w:rPr>
                <w:lang w:val="fr-FR"/>
              </w:rPr>
              <w:t>Modification de la disposition relative à l’épreuve de résistance au feu figurant au 6</w:t>
            </w:r>
            <w:r w:rsidR="00F23DD5" w:rsidRPr="00F23DD5">
              <w:rPr>
                <w:lang w:val="fr-FR"/>
              </w:rPr>
              <w:t>.</w:t>
            </w:r>
            <w:r>
              <w:rPr>
                <w:lang w:val="fr-FR"/>
              </w:rPr>
              <w:t>9</w:t>
            </w:r>
            <w:r w:rsidR="00F23DD5" w:rsidRPr="00F23DD5">
              <w:rPr>
                <w:lang w:val="fr-FR"/>
              </w:rPr>
              <w:t>.</w:t>
            </w:r>
            <w:r>
              <w:rPr>
                <w:lang w:val="fr-FR"/>
              </w:rPr>
              <w:t>2</w:t>
            </w:r>
            <w:r w:rsidR="00F23DD5" w:rsidRPr="00F23DD5">
              <w:rPr>
                <w:lang w:val="fr-FR"/>
              </w:rPr>
              <w:t>.</w:t>
            </w:r>
            <w:r>
              <w:rPr>
                <w:lang w:val="fr-FR"/>
              </w:rPr>
              <w:t>7</w:t>
            </w:r>
            <w:r w:rsidR="00F23DD5" w:rsidRPr="00F23DD5">
              <w:rPr>
                <w:lang w:val="fr-FR"/>
              </w:rPr>
              <w:t>.</w:t>
            </w:r>
            <w:r>
              <w:rPr>
                <w:lang w:val="fr-FR"/>
              </w:rPr>
              <w:t>1</w:t>
            </w:r>
            <w:r w:rsidR="00F23DD5" w:rsidRPr="00F23DD5">
              <w:rPr>
                <w:lang w:val="fr-FR"/>
              </w:rPr>
              <w:t>.</w:t>
            </w:r>
            <w:r>
              <w:rPr>
                <w:lang w:val="fr-FR"/>
              </w:rPr>
              <w:t>5</w:t>
            </w:r>
            <w:r w:rsidR="00F23DD5" w:rsidRPr="00F23DD5">
              <w:rPr>
                <w:lang w:val="fr-FR"/>
              </w:rPr>
              <w:t>.</w:t>
            </w:r>
            <w:r>
              <w:rPr>
                <w:lang w:val="fr-FR"/>
              </w:rPr>
              <w:t>1 du Règlement type</w:t>
            </w:r>
          </w:p>
        </w:tc>
      </w:tr>
    </w:tbl>
    <w:p w14:paraId="2EC68ACE" w14:textId="7F193E5D" w:rsidR="00F756C1" w:rsidRDefault="00F756C1" w:rsidP="00F756C1">
      <w:pPr>
        <w:pStyle w:val="H23G"/>
      </w:pPr>
      <w:r>
        <w:rPr>
          <w:lang w:val="fr-FR"/>
        </w:rPr>
        <w:tab/>
      </w:r>
      <w:r>
        <w:rPr>
          <w:lang w:val="fr-FR"/>
        </w:rPr>
        <w:t>d)</w:t>
      </w:r>
      <w:r>
        <w:rPr>
          <w:lang w:val="fr-FR"/>
        </w:rPr>
        <w:tab/>
        <w:t>Autres propositions diverses</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4ADBB693" w14:textId="77777777" w:rsidTr="00277498">
        <w:tc>
          <w:tcPr>
            <w:tcW w:w="3402" w:type="dxa"/>
          </w:tcPr>
          <w:p w14:paraId="11C7D07D" w14:textId="00C0CDE8" w:rsidR="00F756C1" w:rsidRPr="00927822" w:rsidRDefault="00F756C1" w:rsidP="00513EEF">
            <w:pPr>
              <w:pStyle w:val="SingleTxtG"/>
              <w:keepNext/>
              <w:keepLines/>
              <w:spacing w:before="40"/>
              <w:ind w:left="0" w:right="0"/>
              <w:jc w:val="left"/>
            </w:pPr>
            <w:bookmarkStart w:id="3" w:name="_Hlk144478324"/>
            <w:r>
              <w:rPr>
                <w:lang w:val="fr-FR"/>
              </w:rPr>
              <w:t>ST/SG/AC</w:t>
            </w:r>
            <w:r w:rsidR="00F23DD5" w:rsidRPr="00F23DD5">
              <w:rPr>
                <w:lang w:val="fr-FR"/>
              </w:rPr>
              <w:t>.</w:t>
            </w:r>
            <w:r>
              <w:rPr>
                <w:lang w:val="fr-FR"/>
              </w:rPr>
              <w:t>10/C</w:t>
            </w:r>
            <w:r w:rsidR="00F23DD5" w:rsidRPr="00F23DD5">
              <w:rPr>
                <w:lang w:val="fr-FR"/>
              </w:rPr>
              <w:t>.</w:t>
            </w:r>
            <w:r>
              <w:rPr>
                <w:lang w:val="fr-FR"/>
              </w:rPr>
              <w:t>3/2024/3 (Royaume</w:t>
            </w:r>
            <w:r>
              <w:rPr>
                <w:lang w:val="fr-FR"/>
              </w:rPr>
              <w:noBreakHyphen/>
            </w:r>
            <w:r>
              <w:rPr>
                <w:lang w:val="fr-FR"/>
              </w:rPr>
              <w:t>Uni)</w:t>
            </w:r>
          </w:p>
        </w:tc>
        <w:tc>
          <w:tcPr>
            <w:tcW w:w="4821" w:type="dxa"/>
          </w:tcPr>
          <w:p w14:paraId="3996021C" w14:textId="089F34F8" w:rsidR="00F756C1" w:rsidRPr="00927822" w:rsidRDefault="00F756C1" w:rsidP="00513EEF">
            <w:pPr>
              <w:keepNext/>
              <w:keepLines/>
              <w:spacing w:before="40" w:after="120"/>
              <w:rPr>
                <w:bCs/>
              </w:rPr>
            </w:pPr>
            <w:r>
              <w:rPr>
                <w:lang w:val="fr-FR"/>
              </w:rPr>
              <w:t>Remplacement du terme « tons » par « tonnes » dans le texte anglais du 1</w:t>
            </w:r>
            <w:r w:rsidR="00F23DD5" w:rsidRPr="00F23DD5">
              <w:rPr>
                <w:lang w:val="fr-FR"/>
              </w:rPr>
              <w:t>.</w:t>
            </w:r>
            <w:r>
              <w:rPr>
                <w:lang w:val="fr-FR"/>
              </w:rPr>
              <w:t>2</w:t>
            </w:r>
            <w:r w:rsidR="00F23DD5" w:rsidRPr="00F23DD5">
              <w:rPr>
                <w:lang w:val="fr-FR"/>
              </w:rPr>
              <w:t>.</w:t>
            </w:r>
            <w:r>
              <w:rPr>
                <w:lang w:val="fr-FR"/>
              </w:rPr>
              <w:t>2</w:t>
            </w:r>
            <w:r w:rsidR="00F23DD5" w:rsidRPr="00F23DD5">
              <w:rPr>
                <w:lang w:val="fr-FR"/>
              </w:rPr>
              <w:t>.</w:t>
            </w:r>
            <w:r>
              <w:rPr>
                <w:lang w:val="fr-FR"/>
              </w:rPr>
              <w:t>1</w:t>
            </w:r>
          </w:p>
        </w:tc>
      </w:tr>
      <w:tr w:rsidR="00F756C1" w:rsidRPr="00927822" w14:paraId="303AE7E4" w14:textId="77777777" w:rsidTr="00277498">
        <w:tc>
          <w:tcPr>
            <w:tcW w:w="3402" w:type="dxa"/>
          </w:tcPr>
          <w:p w14:paraId="69F80D67" w14:textId="7284A54B" w:rsidR="00F756C1" w:rsidRPr="00BE68BE" w:rsidRDefault="00F756C1" w:rsidP="00513EEF">
            <w:pPr>
              <w:pStyle w:val="SingleTxtG"/>
              <w:keepNext/>
              <w:keepLines/>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3/2024/9 (Espagne)</w:t>
            </w:r>
          </w:p>
        </w:tc>
        <w:tc>
          <w:tcPr>
            <w:tcW w:w="4821" w:type="dxa"/>
          </w:tcPr>
          <w:p w14:paraId="6C2706C0" w14:textId="77777777" w:rsidR="00F756C1" w:rsidRPr="00927822" w:rsidRDefault="00F756C1" w:rsidP="00513EEF">
            <w:pPr>
              <w:keepNext/>
              <w:keepLines/>
              <w:spacing w:before="40" w:after="120"/>
            </w:pPr>
            <w:r>
              <w:rPr>
                <w:lang w:val="fr-FR"/>
              </w:rPr>
              <w:t>Amendements à la version espagnole</w:t>
            </w:r>
          </w:p>
        </w:tc>
      </w:tr>
      <w:tr w:rsidR="00F756C1" w:rsidRPr="00927822" w14:paraId="21950281" w14:textId="77777777" w:rsidTr="00277498">
        <w:tc>
          <w:tcPr>
            <w:tcW w:w="3402" w:type="dxa"/>
          </w:tcPr>
          <w:p w14:paraId="5EDEDE48" w14:textId="2411F170" w:rsidR="00F756C1" w:rsidRPr="00927822" w:rsidRDefault="00F756C1" w:rsidP="00513EEF">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3/2024/21 (Royaume</w:t>
            </w:r>
            <w:r>
              <w:rPr>
                <w:lang w:val="fr-FR"/>
              </w:rPr>
              <w:noBreakHyphen/>
            </w:r>
            <w:r>
              <w:rPr>
                <w:lang w:val="fr-FR"/>
              </w:rPr>
              <w:t>Uni)</w:t>
            </w:r>
          </w:p>
        </w:tc>
        <w:tc>
          <w:tcPr>
            <w:tcW w:w="4821" w:type="dxa"/>
          </w:tcPr>
          <w:p w14:paraId="270262CC" w14:textId="77777777" w:rsidR="00F756C1" w:rsidRPr="00927822" w:rsidRDefault="00F756C1" w:rsidP="00513EEF">
            <w:pPr>
              <w:keepNext/>
              <w:keepLines/>
              <w:spacing w:before="40" w:after="120"/>
            </w:pPr>
            <w:r>
              <w:rPr>
                <w:lang w:val="fr-FR"/>
              </w:rPr>
              <w:t>Mise à jour des renvois à certaines normes ISO</w:t>
            </w:r>
          </w:p>
        </w:tc>
      </w:tr>
      <w:tr w:rsidR="00F756C1" w:rsidRPr="00BE68BE" w14:paraId="1E4EC819" w14:textId="77777777" w:rsidTr="00277498">
        <w:tc>
          <w:tcPr>
            <w:tcW w:w="3402" w:type="dxa"/>
          </w:tcPr>
          <w:p w14:paraId="6C8DD2E5" w14:textId="2443ABA7" w:rsidR="00F756C1" w:rsidRDefault="00F756C1" w:rsidP="00513EEF">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3/2024/30 (Espagne)</w:t>
            </w:r>
          </w:p>
        </w:tc>
        <w:tc>
          <w:tcPr>
            <w:tcW w:w="4821" w:type="dxa"/>
          </w:tcPr>
          <w:p w14:paraId="17E098B3" w14:textId="77777777" w:rsidR="00F756C1" w:rsidRPr="00D4784C" w:rsidRDefault="00F756C1" w:rsidP="00513EEF">
            <w:pPr>
              <w:keepNext/>
              <w:keepLines/>
              <w:spacing w:before="40" w:after="120"/>
            </w:pPr>
            <w:r>
              <w:rPr>
                <w:lang w:val="fr-FR"/>
              </w:rPr>
              <w:t>No ONU 1790 Acide fluorhydrique</w:t>
            </w:r>
          </w:p>
        </w:tc>
      </w:tr>
      <w:tr w:rsidR="00F756C1" w:rsidRPr="00927822" w14:paraId="2906D613" w14:textId="77777777" w:rsidTr="00277498">
        <w:tc>
          <w:tcPr>
            <w:tcW w:w="3402" w:type="dxa"/>
          </w:tcPr>
          <w:p w14:paraId="4F5F1BFB" w14:textId="5445A235" w:rsidR="00F756C1" w:rsidRPr="00F756C1" w:rsidRDefault="00F756C1" w:rsidP="00513EEF">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3/2024/35 (Chine)</w:t>
            </w:r>
          </w:p>
        </w:tc>
        <w:tc>
          <w:tcPr>
            <w:tcW w:w="4821" w:type="dxa"/>
          </w:tcPr>
          <w:p w14:paraId="0EC14F2B" w14:textId="127F55C4" w:rsidR="00F756C1" w:rsidRPr="00927822" w:rsidRDefault="00F756C1" w:rsidP="00513EEF">
            <w:pPr>
              <w:keepNext/>
              <w:keepLines/>
              <w:spacing w:before="40" w:after="120"/>
            </w:pPr>
            <w:r>
              <w:rPr>
                <w:lang w:val="fr-FR"/>
              </w:rPr>
              <w:t>Cohérence entre les prescriptions du 2</w:t>
            </w:r>
            <w:r w:rsidR="00F23DD5" w:rsidRPr="00F23DD5">
              <w:rPr>
                <w:lang w:val="fr-FR"/>
              </w:rPr>
              <w:t>.</w:t>
            </w:r>
            <w:r>
              <w:rPr>
                <w:lang w:val="fr-FR"/>
              </w:rPr>
              <w:t>0</w:t>
            </w:r>
            <w:r w:rsidR="00F23DD5" w:rsidRPr="00F23DD5">
              <w:rPr>
                <w:lang w:val="fr-FR"/>
              </w:rPr>
              <w:t>.</w:t>
            </w:r>
            <w:r>
              <w:rPr>
                <w:lang w:val="fr-FR"/>
              </w:rPr>
              <w:t>5</w:t>
            </w:r>
            <w:r w:rsidR="00F23DD5" w:rsidRPr="00F23DD5">
              <w:rPr>
                <w:lang w:val="fr-FR"/>
              </w:rPr>
              <w:t>.</w:t>
            </w:r>
            <w:r>
              <w:rPr>
                <w:lang w:val="fr-FR"/>
              </w:rPr>
              <w:t>6 et de la disposition spéciale 301</w:t>
            </w:r>
          </w:p>
        </w:tc>
      </w:tr>
      <w:tr w:rsidR="00F756C1" w:rsidRPr="00927822" w14:paraId="6BB1869D" w14:textId="77777777" w:rsidTr="00277498">
        <w:tc>
          <w:tcPr>
            <w:tcW w:w="3402" w:type="dxa"/>
          </w:tcPr>
          <w:p w14:paraId="064F6C40" w14:textId="78EFB081" w:rsidR="00F756C1" w:rsidRPr="00927822" w:rsidRDefault="00F756C1" w:rsidP="00513EEF">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 xml:space="preserve">3/2024/43 </w:t>
            </w:r>
            <w:r>
              <w:rPr>
                <w:lang w:val="fr-FR"/>
              </w:rPr>
              <w:br/>
            </w:r>
            <w:r>
              <w:rPr>
                <w:lang w:val="fr-FR"/>
              </w:rPr>
              <w:t>(République de Corée)</w:t>
            </w:r>
          </w:p>
        </w:tc>
        <w:tc>
          <w:tcPr>
            <w:tcW w:w="4821" w:type="dxa"/>
          </w:tcPr>
          <w:p w14:paraId="2FF88275" w14:textId="3B6F47DF" w:rsidR="00F756C1" w:rsidRPr="00927822" w:rsidRDefault="00F756C1" w:rsidP="00513EEF">
            <w:pPr>
              <w:keepNext/>
              <w:keepLines/>
              <w:spacing w:before="40" w:after="120"/>
            </w:pPr>
            <w:r>
              <w:rPr>
                <w:lang w:val="fr-FR"/>
              </w:rPr>
              <w:t>Amendement au 4</w:t>
            </w:r>
            <w:r w:rsidR="00F23DD5" w:rsidRPr="00F23DD5">
              <w:rPr>
                <w:lang w:val="fr-FR"/>
              </w:rPr>
              <w:t>.</w:t>
            </w:r>
            <w:r>
              <w:rPr>
                <w:lang w:val="fr-FR"/>
              </w:rPr>
              <w:t>1</w:t>
            </w:r>
            <w:r w:rsidR="00F23DD5" w:rsidRPr="00F23DD5">
              <w:rPr>
                <w:lang w:val="fr-FR"/>
              </w:rPr>
              <w:t>.</w:t>
            </w:r>
            <w:r>
              <w:rPr>
                <w:lang w:val="fr-FR"/>
              </w:rPr>
              <w:t>3</w:t>
            </w:r>
            <w:r w:rsidR="00F23DD5" w:rsidRPr="00F23DD5">
              <w:rPr>
                <w:lang w:val="fr-FR"/>
              </w:rPr>
              <w:t>.</w:t>
            </w:r>
            <w:r>
              <w:rPr>
                <w:lang w:val="fr-FR"/>
              </w:rPr>
              <w:t>4 du Règlement type : emballages interdits pour les matières susceptibles de se liquéfier au cours du transport</w:t>
            </w:r>
          </w:p>
        </w:tc>
      </w:tr>
      <w:tr w:rsidR="00F756C1" w:rsidRPr="00927822" w14:paraId="72DF2E84" w14:textId="77777777" w:rsidTr="00277498">
        <w:tc>
          <w:tcPr>
            <w:tcW w:w="3402" w:type="dxa"/>
          </w:tcPr>
          <w:p w14:paraId="14861326" w14:textId="698D56D2" w:rsidR="00F756C1" w:rsidRPr="00927822" w:rsidRDefault="00F756C1" w:rsidP="00513EEF">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 xml:space="preserve">3/2024/44 </w:t>
            </w:r>
            <w:r>
              <w:rPr>
                <w:lang w:val="fr-FR"/>
              </w:rPr>
              <w:br/>
            </w:r>
            <w:r>
              <w:rPr>
                <w:lang w:val="fr-FR"/>
              </w:rPr>
              <w:t>(République de Corée)</w:t>
            </w:r>
          </w:p>
        </w:tc>
        <w:tc>
          <w:tcPr>
            <w:tcW w:w="4821" w:type="dxa"/>
          </w:tcPr>
          <w:p w14:paraId="769951AC" w14:textId="396ECF52" w:rsidR="00F756C1" w:rsidRPr="00927822" w:rsidRDefault="00F756C1" w:rsidP="00513EEF">
            <w:pPr>
              <w:keepNext/>
              <w:keepLines/>
              <w:spacing w:before="40" w:after="120"/>
              <w:rPr>
                <w:rFonts w:eastAsia="MS Mincho"/>
              </w:rPr>
            </w:pPr>
            <w:r>
              <w:rPr>
                <w:lang w:val="fr-FR"/>
              </w:rPr>
              <w:t>Amendement au 7</w:t>
            </w:r>
            <w:r w:rsidR="00F23DD5" w:rsidRPr="00F23DD5">
              <w:rPr>
                <w:lang w:val="fr-FR"/>
              </w:rPr>
              <w:t>.</w:t>
            </w:r>
            <w:r>
              <w:rPr>
                <w:lang w:val="fr-FR"/>
              </w:rPr>
              <w:t>1</w:t>
            </w:r>
            <w:r w:rsidR="00F23DD5" w:rsidRPr="00F23DD5">
              <w:rPr>
                <w:lang w:val="fr-FR"/>
              </w:rPr>
              <w:t>.</w:t>
            </w:r>
            <w:r>
              <w:rPr>
                <w:lang w:val="fr-FR"/>
              </w:rPr>
              <w:t>1</w:t>
            </w:r>
            <w:r w:rsidR="00F23DD5" w:rsidRPr="00F23DD5">
              <w:rPr>
                <w:lang w:val="fr-FR"/>
              </w:rPr>
              <w:t>.</w:t>
            </w:r>
            <w:r>
              <w:rPr>
                <w:lang w:val="fr-FR"/>
              </w:rPr>
              <w:t>9 du Règlement type − colis conçus pour être gerbés</w:t>
            </w:r>
          </w:p>
        </w:tc>
      </w:tr>
    </w:tbl>
    <w:bookmarkEnd w:id="3"/>
    <w:p w14:paraId="770861AE" w14:textId="03B9EDC8" w:rsidR="00F756C1" w:rsidRPr="00927822" w:rsidRDefault="00F756C1" w:rsidP="00F756C1">
      <w:pPr>
        <w:pStyle w:val="H1G"/>
      </w:pPr>
      <w:r>
        <w:rPr>
          <w:lang w:val="fr-FR"/>
        </w:rPr>
        <w:lastRenderedPageBreak/>
        <w:tab/>
      </w:r>
      <w:r>
        <w:rPr>
          <w:lang w:val="fr-FR"/>
        </w:rPr>
        <w:t>7</w:t>
      </w:r>
      <w:r w:rsidR="00F23DD5" w:rsidRPr="00F23DD5">
        <w:rPr>
          <w:lang w:val="fr-FR"/>
        </w:rPr>
        <w:t>.</w:t>
      </w:r>
      <w:r>
        <w:rPr>
          <w:lang w:val="fr-FR"/>
        </w:rPr>
        <w:tab/>
        <w:t xml:space="preserve">Harmonisation générale des Règlements relatifs au transport </w:t>
      </w:r>
      <w:r>
        <w:rPr>
          <w:lang w:val="fr-FR"/>
        </w:rPr>
        <w:br/>
      </w:r>
      <w:r>
        <w:rPr>
          <w:lang w:val="fr-FR"/>
        </w:rPr>
        <w:t>des marchandises dangereuses avec le Règlement type</w:t>
      </w:r>
    </w:p>
    <w:tbl>
      <w:tblPr>
        <w:tblW w:w="8223" w:type="dxa"/>
        <w:tblInd w:w="1134" w:type="dxa"/>
        <w:tblLayout w:type="fixed"/>
        <w:tblCellMar>
          <w:left w:w="0" w:type="dxa"/>
          <w:right w:w="113" w:type="dxa"/>
        </w:tblCellMar>
        <w:tblLook w:val="01E0" w:firstRow="1" w:lastRow="1" w:firstColumn="1" w:lastColumn="1" w:noHBand="0" w:noVBand="0"/>
      </w:tblPr>
      <w:tblGrid>
        <w:gridCol w:w="3402"/>
        <w:gridCol w:w="4821"/>
      </w:tblGrid>
      <w:tr w:rsidR="00F756C1" w:rsidRPr="00927822" w14:paraId="2FE12F18" w14:textId="77777777" w:rsidTr="00277498">
        <w:tc>
          <w:tcPr>
            <w:tcW w:w="3402" w:type="dxa"/>
          </w:tcPr>
          <w:p w14:paraId="1798476D" w14:textId="710EDAAE" w:rsidR="00F756C1" w:rsidRPr="00F756C1" w:rsidRDefault="00F756C1" w:rsidP="00277498">
            <w:pPr>
              <w:pStyle w:val="SingleTxtG"/>
              <w:keepNext/>
              <w:keepLines/>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3/2024/14 (OMI)</w:t>
            </w:r>
          </w:p>
        </w:tc>
        <w:tc>
          <w:tcPr>
            <w:tcW w:w="4821" w:type="dxa"/>
          </w:tcPr>
          <w:p w14:paraId="47F8D3C6" w14:textId="77777777" w:rsidR="00F756C1" w:rsidRPr="00927822" w:rsidRDefault="00F756C1" w:rsidP="00F756C1">
            <w:pPr>
              <w:keepNext/>
              <w:keepLines/>
              <w:spacing w:before="40" w:after="120"/>
            </w:pPr>
            <w:r>
              <w:rPr>
                <w:lang w:val="fr-FR"/>
              </w:rPr>
              <w:t>Proposition découlant des travaux de la trente-neuvième session du Groupe de rédaction et des questions techniques relatifs au Code maritime international des marchandises dangereuses</w:t>
            </w:r>
          </w:p>
        </w:tc>
      </w:tr>
    </w:tbl>
    <w:p w14:paraId="6CD86F3A" w14:textId="263D4AF2" w:rsidR="00F756C1" w:rsidRPr="00927822" w:rsidRDefault="00F756C1" w:rsidP="00F756C1">
      <w:pPr>
        <w:pStyle w:val="H1G"/>
      </w:pPr>
      <w:r>
        <w:rPr>
          <w:lang w:val="fr-FR"/>
        </w:rPr>
        <w:tab/>
      </w:r>
      <w:r>
        <w:rPr>
          <w:lang w:val="fr-FR"/>
        </w:rPr>
        <w:t>8</w:t>
      </w:r>
      <w:r w:rsidR="00F23DD5" w:rsidRPr="00F23DD5">
        <w:rPr>
          <w:lang w:val="fr-FR"/>
        </w:rPr>
        <w:t>.</w:t>
      </w:r>
      <w:r>
        <w:rPr>
          <w:lang w:val="fr-FR"/>
        </w:rPr>
        <w:tab/>
        <w:t>Coopération avec l’Agence internationale de l’énergie atomique</w:t>
      </w:r>
    </w:p>
    <w:p w14:paraId="462FF729" w14:textId="417807A4"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3929B9BC" w14:textId="417767A0" w:rsidR="00F756C1" w:rsidRPr="00927822" w:rsidRDefault="00F756C1" w:rsidP="00F756C1">
      <w:pPr>
        <w:pStyle w:val="H1G"/>
      </w:pPr>
      <w:r>
        <w:rPr>
          <w:lang w:val="fr-FR"/>
        </w:rPr>
        <w:tab/>
      </w:r>
      <w:r>
        <w:rPr>
          <w:lang w:val="fr-FR"/>
        </w:rPr>
        <w:t>9</w:t>
      </w:r>
      <w:r w:rsidR="00F23DD5" w:rsidRPr="00F23DD5">
        <w:rPr>
          <w:lang w:val="fr-FR"/>
        </w:rPr>
        <w:t>.</w:t>
      </w:r>
      <w:r>
        <w:rPr>
          <w:lang w:val="fr-FR"/>
        </w:rPr>
        <w:tab/>
        <w:t>Principes directeurs du Règlement type</w:t>
      </w:r>
    </w:p>
    <w:p w14:paraId="10C732F9" w14:textId="52CC9CA3"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44FB2D7C" w14:textId="7962EA4F" w:rsidR="00F756C1" w:rsidRPr="00927822" w:rsidRDefault="00F756C1" w:rsidP="00F756C1">
      <w:pPr>
        <w:pStyle w:val="H1G"/>
      </w:pPr>
      <w:r>
        <w:rPr>
          <w:lang w:val="fr-FR"/>
        </w:rPr>
        <w:tab/>
      </w:r>
      <w:r>
        <w:rPr>
          <w:lang w:val="fr-FR"/>
        </w:rPr>
        <w:t>10</w:t>
      </w:r>
      <w:r w:rsidR="00F23DD5" w:rsidRPr="00F23DD5">
        <w:rPr>
          <w:lang w:val="fr-FR"/>
        </w:rPr>
        <w:t>.</w:t>
      </w:r>
      <w:r>
        <w:rPr>
          <w:lang w:val="fr-FR"/>
        </w:rPr>
        <w:tab/>
        <w:t xml:space="preserve">Questions relatives au Système général harmonisé de classification </w:t>
      </w:r>
      <w:r>
        <w:rPr>
          <w:lang w:val="fr-FR"/>
        </w:rPr>
        <w:br/>
      </w:r>
      <w:r>
        <w:rPr>
          <w:lang w:val="fr-FR"/>
        </w:rPr>
        <w:t>et d’étiquetage des produits chimiques</w:t>
      </w:r>
    </w:p>
    <w:p w14:paraId="730CBC45" w14:textId="627A056C" w:rsidR="00F756C1" w:rsidRPr="00927822" w:rsidRDefault="00F756C1" w:rsidP="00F756C1">
      <w:pPr>
        <w:pStyle w:val="H23G"/>
      </w:pPr>
      <w:r>
        <w:rPr>
          <w:lang w:val="fr-FR"/>
        </w:rPr>
        <w:tab/>
      </w:r>
      <w:r>
        <w:rPr>
          <w:lang w:val="fr-FR"/>
        </w:rPr>
        <w:t>a)</w:t>
      </w:r>
      <w:r>
        <w:rPr>
          <w:lang w:val="fr-FR"/>
        </w:rPr>
        <w:tab/>
        <w:t>Épreuves relatives aux matières comburantes</w:t>
      </w:r>
    </w:p>
    <w:p w14:paraId="4A9F952F" w14:textId="0FAF78DF"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672AF820" w14:textId="677F106A" w:rsidR="00F756C1" w:rsidRPr="00927822" w:rsidRDefault="00F756C1" w:rsidP="00F756C1">
      <w:pPr>
        <w:pStyle w:val="H23G"/>
      </w:pPr>
      <w:r>
        <w:rPr>
          <w:lang w:val="fr-FR"/>
        </w:rPr>
        <w:tab/>
      </w:r>
      <w:r>
        <w:rPr>
          <w:lang w:val="fr-FR"/>
        </w:rPr>
        <w:t>b)</w:t>
      </w:r>
      <w:r>
        <w:rPr>
          <w:lang w:val="fr-FR"/>
        </w:rPr>
        <w:tab/>
        <w:t xml:space="preserve">Affectation à plusieurs classes de danger physique et éventuelle combinaison </w:t>
      </w:r>
      <w:r>
        <w:rPr>
          <w:lang w:val="fr-FR"/>
        </w:rPr>
        <w:br/>
      </w:r>
      <w:r>
        <w:rPr>
          <w:lang w:val="fr-FR"/>
        </w:rPr>
        <w:t>de dangers</w:t>
      </w:r>
    </w:p>
    <w:tbl>
      <w:tblPr>
        <w:tblW w:w="8223" w:type="dxa"/>
        <w:tblInd w:w="1134" w:type="dxa"/>
        <w:tblLayout w:type="fixed"/>
        <w:tblCellMar>
          <w:left w:w="0" w:type="dxa"/>
          <w:right w:w="113" w:type="dxa"/>
        </w:tblCellMar>
        <w:tblLook w:val="01E0" w:firstRow="1" w:lastRow="1" w:firstColumn="1" w:lastColumn="1" w:noHBand="0" w:noVBand="0"/>
      </w:tblPr>
      <w:tblGrid>
        <w:gridCol w:w="8223"/>
      </w:tblGrid>
      <w:tr w:rsidR="00F756C1" w:rsidRPr="00927822" w14:paraId="1B94DF98" w14:textId="77777777" w:rsidTr="00277498">
        <w:tc>
          <w:tcPr>
            <w:tcW w:w="3402" w:type="dxa"/>
          </w:tcPr>
          <w:tbl>
            <w:tblPr>
              <w:tblW w:w="9363" w:type="dxa"/>
              <w:tblLayout w:type="fixed"/>
              <w:tblCellMar>
                <w:left w:w="0" w:type="dxa"/>
                <w:right w:w="113" w:type="dxa"/>
              </w:tblCellMar>
              <w:tblLook w:val="01E0" w:firstRow="1" w:lastRow="1" w:firstColumn="1" w:lastColumn="1" w:noHBand="0" w:noVBand="0"/>
            </w:tblPr>
            <w:tblGrid>
              <w:gridCol w:w="3255"/>
              <w:gridCol w:w="6108"/>
            </w:tblGrid>
            <w:tr w:rsidR="00F756C1" w:rsidRPr="00927822" w14:paraId="6FA783EF" w14:textId="77777777" w:rsidTr="00277498">
              <w:tc>
                <w:tcPr>
                  <w:tcW w:w="3255" w:type="dxa"/>
                </w:tcPr>
                <w:p w14:paraId="767DCB79" w14:textId="472923D7" w:rsidR="00F756C1" w:rsidRPr="00927822" w:rsidRDefault="00F756C1" w:rsidP="00277498">
                  <w:pPr>
                    <w:pStyle w:val="SingleTxtG"/>
                    <w:spacing w:before="40"/>
                    <w:ind w:left="0" w:right="0"/>
                    <w:jc w:val="left"/>
                  </w:pPr>
                  <w:r>
                    <w:rPr>
                      <w:lang w:val="fr-FR"/>
                    </w:rPr>
                    <w:t>ST/SG/AC</w:t>
                  </w:r>
                  <w:r w:rsidR="00F23DD5" w:rsidRPr="00F23DD5">
                    <w:rPr>
                      <w:lang w:val="fr-FR"/>
                    </w:rPr>
                    <w:t>.</w:t>
                  </w:r>
                  <w:r>
                    <w:rPr>
                      <w:lang w:val="fr-FR"/>
                    </w:rPr>
                    <w:t>10/C</w:t>
                  </w:r>
                  <w:r w:rsidR="00F23DD5" w:rsidRPr="00F23DD5">
                    <w:rPr>
                      <w:lang w:val="fr-FR"/>
                    </w:rPr>
                    <w:t>.</w:t>
                  </w:r>
                  <w:r>
                    <w:rPr>
                      <w:lang w:val="fr-FR"/>
                    </w:rPr>
                    <w:t>3/2024/4 (Allemagne au nom du groupe de travail informel des combinaisons de dangers physiques)</w:t>
                  </w:r>
                </w:p>
              </w:tc>
              <w:tc>
                <w:tcPr>
                  <w:tcW w:w="6108" w:type="dxa"/>
                </w:tcPr>
                <w:p w14:paraId="52F3D7B8" w14:textId="77777777" w:rsidR="00F756C1" w:rsidRPr="00927822" w:rsidRDefault="00F756C1" w:rsidP="00F756C1">
                  <w:pPr>
                    <w:tabs>
                      <w:tab w:val="left" w:pos="1092"/>
                      <w:tab w:val="left" w:pos="3481"/>
                    </w:tabs>
                    <w:spacing w:before="40" w:after="120"/>
                    <w:ind w:right="1310"/>
                  </w:pPr>
                  <w:bookmarkStart w:id="4" w:name="_Hlk156568784"/>
                  <w:r>
                    <w:rPr>
                      <w:lang w:val="fr-FR"/>
                    </w:rPr>
                    <w:t>Proposition de clarification au sujet des combinaisons d’aérosols et de produits chimiques sous pression avec d’autres classes de danger dans le Système général harmonisé de classification et d’étiquetage des produits chimiques</w:t>
                  </w:r>
                  <w:bookmarkEnd w:id="4"/>
                </w:p>
              </w:tc>
            </w:tr>
            <w:tr w:rsidR="00F756C1" w:rsidRPr="00927822" w14:paraId="4AC8EFE1" w14:textId="77777777" w:rsidTr="00277498">
              <w:tc>
                <w:tcPr>
                  <w:tcW w:w="3255" w:type="dxa"/>
                </w:tcPr>
                <w:p w14:paraId="087D5CB7" w14:textId="6B2C0BBC" w:rsidR="00F756C1" w:rsidRPr="00F756C1" w:rsidRDefault="00F756C1" w:rsidP="00277498">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3/2024/5 (FEA)</w:t>
                  </w:r>
                </w:p>
              </w:tc>
              <w:tc>
                <w:tcPr>
                  <w:tcW w:w="6108" w:type="dxa"/>
                </w:tcPr>
                <w:p w14:paraId="4C5A99BE" w14:textId="6E69F22A" w:rsidR="00F756C1" w:rsidRPr="00927822" w:rsidRDefault="00F756C1" w:rsidP="00F756C1">
                  <w:pPr>
                    <w:tabs>
                      <w:tab w:val="left" w:pos="1092"/>
                      <w:tab w:val="left" w:pos="3481"/>
                    </w:tabs>
                    <w:spacing w:before="40" w:after="120"/>
                    <w:ind w:right="1310"/>
                  </w:pPr>
                  <w:r>
                    <w:rPr>
                      <w:lang w:val="fr-FR"/>
                    </w:rPr>
                    <w:t>Proposition de clarification de la classe de danger des «</w:t>
                  </w:r>
                  <w:r>
                    <w:rPr>
                      <w:lang w:val="fr-FR"/>
                    </w:rPr>
                    <w:t> </w:t>
                  </w:r>
                  <w:r>
                    <w:rPr>
                      <w:lang w:val="fr-FR"/>
                    </w:rPr>
                    <w:t>aérosols » dans le Système général harmonisé</w:t>
                  </w:r>
                </w:p>
              </w:tc>
            </w:tr>
            <w:tr w:rsidR="00F756C1" w:rsidRPr="00927822" w14:paraId="194AF09E" w14:textId="77777777" w:rsidTr="00277498">
              <w:tc>
                <w:tcPr>
                  <w:tcW w:w="3255" w:type="dxa"/>
                </w:tcPr>
                <w:p w14:paraId="19A76D1F" w14:textId="5E7DED08" w:rsidR="00F756C1" w:rsidRPr="00F756C1" w:rsidRDefault="00F756C1" w:rsidP="00277498">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3/2024/6 (FEA)</w:t>
                  </w:r>
                </w:p>
              </w:tc>
              <w:tc>
                <w:tcPr>
                  <w:tcW w:w="6108" w:type="dxa"/>
                </w:tcPr>
                <w:p w14:paraId="471204B2" w14:textId="77777777" w:rsidR="00F756C1" w:rsidRPr="00927822" w:rsidRDefault="00F756C1" w:rsidP="00F756C1">
                  <w:pPr>
                    <w:tabs>
                      <w:tab w:val="left" w:pos="1092"/>
                      <w:tab w:val="left" w:pos="3481"/>
                    </w:tabs>
                    <w:spacing w:before="40" w:after="120"/>
                    <w:ind w:right="1310"/>
                    <w:rPr>
                      <w:rFonts w:eastAsia="MS Mincho"/>
                    </w:rPr>
                  </w:pPr>
                  <w:r>
                    <w:rPr>
                      <w:lang w:val="fr-FR"/>
                    </w:rPr>
                    <w:t>Aérosols : harmonisation de la disposition spéciale 63 avec la disposition spéciale 362</w:t>
                  </w:r>
                </w:p>
              </w:tc>
            </w:tr>
          </w:tbl>
          <w:p w14:paraId="6AFD899B" w14:textId="77777777" w:rsidR="00F756C1" w:rsidRPr="00927822" w:rsidRDefault="00F756C1" w:rsidP="00277498">
            <w:pPr>
              <w:pStyle w:val="SingleTxtG"/>
              <w:spacing w:before="40"/>
              <w:ind w:left="0" w:right="0"/>
              <w:jc w:val="left"/>
            </w:pPr>
          </w:p>
        </w:tc>
      </w:tr>
    </w:tbl>
    <w:p w14:paraId="39528D6E" w14:textId="014111E6" w:rsidR="00F756C1" w:rsidRDefault="00F756C1" w:rsidP="00F756C1">
      <w:pPr>
        <w:pStyle w:val="H23G"/>
      </w:pPr>
      <w:r>
        <w:rPr>
          <w:lang w:val="fr-FR"/>
        </w:rPr>
        <w:tab/>
      </w:r>
      <w:r>
        <w:rPr>
          <w:lang w:val="fr-FR"/>
        </w:rPr>
        <w:t>c)</w:t>
      </w:r>
      <w:r>
        <w:rPr>
          <w:lang w:val="fr-FR"/>
        </w:rPr>
        <w:tab/>
        <w:t>Questions diverses</w:t>
      </w:r>
    </w:p>
    <w:tbl>
      <w:tblPr>
        <w:tblW w:w="8082" w:type="dxa"/>
        <w:tblInd w:w="1134" w:type="dxa"/>
        <w:tblLayout w:type="fixed"/>
        <w:tblCellMar>
          <w:left w:w="0" w:type="dxa"/>
          <w:right w:w="113" w:type="dxa"/>
        </w:tblCellMar>
        <w:tblLook w:val="01E0" w:firstRow="1" w:lastRow="1" w:firstColumn="1" w:lastColumn="1" w:noHBand="0" w:noVBand="0"/>
      </w:tblPr>
      <w:tblGrid>
        <w:gridCol w:w="3261"/>
        <w:gridCol w:w="4821"/>
      </w:tblGrid>
      <w:tr w:rsidR="00F756C1" w:rsidRPr="00927822" w14:paraId="0D4C8AA9" w14:textId="77777777" w:rsidTr="00277498">
        <w:tc>
          <w:tcPr>
            <w:tcW w:w="3261" w:type="dxa"/>
          </w:tcPr>
          <w:p w14:paraId="2F088C2E" w14:textId="4F28D9A4" w:rsidR="00F756C1" w:rsidRPr="00F756C1" w:rsidRDefault="00F756C1" w:rsidP="00277498">
            <w:pPr>
              <w:pStyle w:val="SingleTxtG"/>
              <w:keepNext/>
              <w:keepLines/>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3/2024/24 (AEISG)</w:t>
            </w:r>
          </w:p>
        </w:tc>
        <w:tc>
          <w:tcPr>
            <w:tcW w:w="4821" w:type="dxa"/>
          </w:tcPr>
          <w:p w14:paraId="75F684AB" w14:textId="3BF2C707" w:rsidR="00F756C1" w:rsidRPr="00927822" w:rsidRDefault="00F756C1" w:rsidP="00F756C1">
            <w:pPr>
              <w:keepNext/>
              <w:keepLines/>
              <w:spacing w:before="40" w:after="120"/>
            </w:pPr>
            <w:r>
              <w:rPr>
                <w:lang w:val="fr-FR"/>
              </w:rPr>
              <w:t>Prise en compte des mélanges de nitrocellulose au chapitre 2</w:t>
            </w:r>
            <w:r w:rsidR="00F23DD5" w:rsidRPr="00F23DD5">
              <w:rPr>
                <w:lang w:val="fr-FR"/>
              </w:rPr>
              <w:t>.</w:t>
            </w:r>
            <w:r>
              <w:rPr>
                <w:lang w:val="fr-FR"/>
              </w:rPr>
              <w:t>17 du Système général harmonisé (Matières explosibles désensibilisées), à la section 51 du Manuel d’épreuves et de critères et dans la disposition spéciale</w:t>
            </w:r>
            <w:r>
              <w:rPr>
                <w:lang w:val="fr-FR"/>
              </w:rPr>
              <w:t> </w:t>
            </w:r>
            <w:r>
              <w:rPr>
                <w:lang w:val="fr-FR"/>
              </w:rPr>
              <w:t>393 du Règlement type</w:t>
            </w:r>
          </w:p>
        </w:tc>
      </w:tr>
      <w:tr w:rsidR="00F756C1" w:rsidRPr="00927822" w14:paraId="440E62D9" w14:textId="77777777" w:rsidTr="00277498">
        <w:tc>
          <w:tcPr>
            <w:tcW w:w="3261" w:type="dxa"/>
          </w:tcPr>
          <w:p w14:paraId="4C7036A8" w14:textId="264F4172" w:rsidR="00F756C1" w:rsidRPr="00F756C1" w:rsidRDefault="00F756C1" w:rsidP="00277498">
            <w:pPr>
              <w:pStyle w:val="SingleTxtG"/>
              <w:spacing w:before="40"/>
              <w:ind w:left="0" w:right="0"/>
              <w:jc w:val="left"/>
              <w:rPr>
                <w:lang w:val="en-US"/>
              </w:rPr>
            </w:pPr>
            <w:r w:rsidRPr="00927822">
              <w:rPr>
                <w:lang w:val="en-US"/>
              </w:rPr>
              <w:t>ST/SG/AC</w:t>
            </w:r>
            <w:r w:rsidR="00F23DD5" w:rsidRPr="00F23DD5">
              <w:rPr>
                <w:lang w:val="en-US"/>
              </w:rPr>
              <w:t>.</w:t>
            </w:r>
            <w:r w:rsidRPr="00927822">
              <w:rPr>
                <w:lang w:val="en-US"/>
              </w:rPr>
              <w:t>10/C</w:t>
            </w:r>
            <w:r w:rsidR="00F23DD5" w:rsidRPr="00F23DD5">
              <w:rPr>
                <w:lang w:val="en-US"/>
              </w:rPr>
              <w:t>.</w:t>
            </w:r>
            <w:r w:rsidRPr="00927822">
              <w:rPr>
                <w:lang w:val="en-US"/>
              </w:rPr>
              <w:t>3/2024/25 (AEISG)</w:t>
            </w:r>
          </w:p>
        </w:tc>
        <w:tc>
          <w:tcPr>
            <w:tcW w:w="4821" w:type="dxa"/>
          </w:tcPr>
          <w:p w14:paraId="07EDACE4" w14:textId="7B6B3982" w:rsidR="00F756C1" w:rsidRPr="00927822" w:rsidRDefault="00F756C1" w:rsidP="00F756C1">
            <w:pPr>
              <w:spacing w:before="40" w:after="120"/>
            </w:pPr>
            <w:r>
              <w:rPr>
                <w:lang w:val="fr-FR"/>
              </w:rPr>
              <w:t>Réflexion concernant les modifications apportées au chapitre 2</w:t>
            </w:r>
            <w:r w:rsidR="00F23DD5" w:rsidRPr="00F23DD5">
              <w:rPr>
                <w:lang w:val="fr-FR"/>
              </w:rPr>
              <w:t>.</w:t>
            </w:r>
            <w:r>
              <w:rPr>
                <w:lang w:val="fr-FR"/>
              </w:rPr>
              <w:t>17 (Matières explosibles désensibilisées) du Système général harmonisé et à la section 51 du Manuel d’épreuves et de critères</w:t>
            </w:r>
          </w:p>
        </w:tc>
      </w:tr>
    </w:tbl>
    <w:p w14:paraId="76F2E543" w14:textId="5E514AA4" w:rsidR="00F756C1" w:rsidRPr="00927822" w:rsidRDefault="00F756C1" w:rsidP="00F756C1">
      <w:pPr>
        <w:pStyle w:val="H1G"/>
      </w:pPr>
      <w:r>
        <w:rPr>
          <w:lang w:val="fr-FR"/>
        </w:rPr>
        <w:lastRenderedPageBreak/>
        <w:tab/>
      </w:r>
      <w:r>
        <w:rPr>
          <w:lang w:val="fr-FR"/>
        </w:rPr>
        <w:t>11</w:t>
      </w:r>
      <w:r w:rsidR="00F23DD5" w:rsidRPr="00F23DD5">
        <w:rPr>
          <w:lang w:val="fr-FR"/>
        </w:rPr>
        <w:t>.</w:t>
      </w:r>
      <w:r>
        <w:rPr>
          <w:lang w:val="fr-FR"/>
        </w:rPr>
        <w:tab/>
        <w:t>Uniformisation des interprétations du Règlement type</w:t>
      </w:r>
    </w:p>
    <w:p w14:paraId="5F5231A6" w14:textId="4CD7335D"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6F47A650" w14:textId="2F512770" w:rsidR="00F756C1" w:rsidRPr="00927822" w:rsidRDefault="00F756C1" w:rsidP="00F756C1">
      <w:pPr>
        <w:pStyle w:val="H1G"/>
      </w:pPr>
      <w:r>
        <w:rPr>
          <w:lang w:val="fr-FR"/>
        </w:rPr>
        <w:tab/>
      </w:r>
      <w:r>
        <w:rPr>
          <w:lang w:val="fr-FR"/>
        </w:rPr>
        <w:t>12</w:t>
      </w:r>
      <w:r w:rsidR="00F23DD5" w:rsidRPr="00F23DD5">
        <w:rPr>
          <w:lang w:val="fr-FR"/>
        </w:rPr>
        <w:t>.</w:t>
      </w:r>
      <w:r>
        <w:rPr>
          <w:lang w:val="fr-FR"/>
        </w:rPr>
        <w:tab/>
        <w:t>Application du Règlement type</w:t>
      </w:r>
    </w:p>
    <w:p w14:paraId="2AC43251" w14:textId="02799C7B"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43CB0C97" w14:textId="317A938E" w:rsidR="00F756C1" w:rsidRPr="00927822" w:rsidRDefault="00F756C1" w:rsidP="00F756C1">
      <w:pPr>
        <w:pStyle w:val="H1G"/>
      </w:pPr>
      <w:r>
        <w:rPr>
          <w:lang w:val="fr-FR"/>
        </w:rPr>
        <w:tab/>
      </w:r>
      <w:r>
        <w:rPr>
          <w:lang w:val="fr-FR"/>
        </w:rPr>
        <w:t>13</w:t>
      </w:r>
      <w:r w:rsidR="00F23DD5" w:rsidRPr="00F23DD5">
        <w:rPr>
          <w:lang w:val="fr-FR"/>
        </w:rPr>
        <w:t>.</w:t>
      </w:r>
      <w:r>
        <w:rPr>
          <w:lang w:val="fr-FR"/>
        </w:rPr>
        <w:tab/>
        <w:t xml:space="preserve">Formation à la sécurité et renforcement des capacités </w:t>
      </w:r>
      <w:r w:rsidR="00513EEF">
        <w:rPr>
          <w:lang w:val="fr-FR"/>
        </w:rPr>
        <w:br/>
      </w:r>
      <w:r>
        <w:rPr>
          <w:lang w:val="fr-FR"/>
        </w:rPr>
        <w:t>en ce qui concerne les marchandises dangereuses</w:t>
      </w:r>
    </w:p>
    <w:p w14:paraId="5FAEDB6A" w14:textId="08A9D7C1"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52245430" w14:textId="3EB4FE43" w:rsidR="00F756C1" w:rsidRPr="00927822" w:rsidRDefault="00F756C1" w:rsidP="00F756C1">
      <w:pPr>
        <w:pStyle w:val="H1G"/>
      </w:pPr>
      <w:r>
        <w:rPr>
          <w:lang w:val="fr-FR"/>
        </w:rPr>
        <w:tab/>
      </w:r>
      <w:r>
        <w:rPr>
          <w:lang w:val="fr-FR"/>
        </w:rPr>
        <w:t>14</w:t>
      </w:r>
      <w:r w:rsidR="00F23DD5" w:rsidRPr="00F23DD5">
        <w:rPr>
          <w:lang w:val="fr-FR"/>
        </w:rPr>
        <w:t>.</w:t>
      </w:r>
      <w:r>
        <w:rPr>
          <w:lang w:val="fr-FR"/>
        </w:rPr>
        <w:tab/>
        <w:t>Programme de développement durable à l’horizon 2030</w:t>
      </w:r>
    </w:p>
    <w:p w14:paraId="56BE97BE" w14:textId="37FA6012"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68D039D9" w14:textId="29CDE49F" w:rsidR="00F756C1" w:rsidRPr="00927822" w:rsidRDefault="00F756C1" w:rsidP="00F756C1">
      <w:pPr>
        <w:pStyle w:val="H1G"/>
      </w:pPr>
      <w:r>
        <w:rPr>
          <w:lang w:val="fr-FR"/>
        </w:rPr>
        <w:tab/>
      </w:r>
      <w:r>
        <w:rPr>
          <w:lang w:val="fr-FR"/>
        </w:rPr>
        <w:t>15</w:t>
      </w:r>
      <w:r w:rsidR="00F23DD5" w:rsidRPr="00F23DD5">
        <w:rPr>
          <w:lang w:val="fr-FR"/>
        </w:rPr>
        <w:t>.</w:t>
      </w:r>
      <w:r>
        <w:rPr>
          <w:lang w:val="fr-FR"/>
        </w:rPr>
        <w:tab/>
        <w:t xml:space="preserve">Possibilités de rendre le fonctionnement du Sous-Comité plus efficace </w:t>
      </w:r>
      <w:r>
        <w:rPr>
          <w:lang w:val="fr-FR"/>
        </w:rPr>
        <w:br/>
      </w:r>
      <w:r>
        <w:rPr>
          <w:lang w:val="fr-FR"/>
        </w:rPr>
        <w:t>et plus ouvert à tous les acteurs concernés</w:t>
      </w:r>
    </w:p>
    <w:p w14:paraId="17483445" w14:textId="5588EC00"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4809E6E6" w14:textId="2BE1D2B9" w:rsidR="00F756C1" w:rsidRPr="00927822" w:rsidRDefault="00F756C1" w:rsidP="00F756C1">
      <w:pPr>
        <w:pStyle w:val="H1G"/>
      </w:pPr>
      <w:r>
        <w:rPr>
          <w:lang w:val="fr-FR"/>
        </w:rPr>
        <w:tab/>
      </w:r>
      <w:r>
        <w:rPr>
          <w:lang w:val="fr-FR"/>
        </w:rPr>
        <w:t>16</w:t>
      </w:r>
      <w:r w:rsidR="00F23DD5" w:rsidRPr="00F23DD5">
        <w:rPr>
          <w:lang w:val="fr-FR"/>
        </w:rPr>
        <w:t>.</w:t>
      </w:r>
      <w:r>
        <w:rPr>
          <w:lang w:val="fr-FR"/>
        </w:rPr>
        <w:tab/>
        <w:t>Questions diverses</w:t>
      </w:r>
    </w:p>
    <w:p w14:paraId="3EEBE95C" w14:textId="59017204" w:rsidR="00F756C1" w:rsidRPr="00927822" w:rsidRDefault="00F756C1" w:rsidP="00F756C1">
      <w:pPr>
        <w:pStyle w:val="SingleTxtG"/>
        <w:ind w:firstLine="567"/>
      </w:pPr>
      <w:r>
        <w:rPr>
          <w:lang w:val="fr-FR"/>
        </w:rPr>
        <w:t>Aucun document n’avait été soumis au titre de ce point de l’ordre du jour au moment de la rédaction du présent document</w:t>
      </w:r>
      <w:r w:rsidR="00F23DD5" w:rsidRPr="00F23DD5">
        <w:rPr>
          <w:lang w:val="fr-FR"/>
        </w:rPr>
        <w:t>.</w:t>
      </w:r>
    </w:p>
    <w:p w14:paraId="7B644629" w14:textId="6F01ABE6" w:rsidR="00F756C1" w:rsidRPr="00927822" w:rsidRDefault="00F756C1" w:rsidP="00F756C1">
      <w:pPr>
        <w:pStyle w:val="H1G"/>
      </w:pPr>
      <w:r>
        <w:rPr>
          <w:lang w:val="fr-FR"/>
        </w:rPr>
        <w:tab/>
      </w:r>
      <w:r>
        <w:rPr>
          <w:lang w:val="fr-FR"/>
        </w:rPr>
        <w:t>17</w:t>
      </w:r>
      <w:r w:rsidR="00F23DD5" w:rsidRPr="00F23DD5">
        <w:rPr>
          <w:lang w:val="fr-FR"/>
        </w:rPr>
        <w:t>.</w:t>
      </w:r>
      <w:r>
        <w:rPr>
          <w:lang w:val="fr-FR"/>
        </w:rPr>
        <w:tab/>
        <w:t>Adoption du rapport</w:t>
      </w:r>
    </w:p>
    <w:p w14:paraId="6216FBAC" w14:textId="415BACCF" w:rsidR="00F756C1" w:rsidRDefault="00F756C1" w:rsidP="00F756C1">
      <w:pPr>
        <w:pStyle w:val="SingleTxtG"/>
        <w:ind w:firstLine="567"/>
        <w:rPr>
          <w:lang w:val="fr-FR"/>
        </w:rPr>
      </w:pPr>
      <w:r>
        <w:rPr>
          <w:lang w:val="fr-FR"/>
        </w:rPr>
        <w:t>Conformément à l’usage, le Sous-Comité voudra bien adopter le rapport de sa soixante-quatrième session, y compris les annexes, sur la base d’un projet établi par le secrétariat</w:t>
      </w:r>
      <w:r w:rsidR="00F23DD5" w:rsidRPr="00F23DD5">
        <w:rPr>
          <w:lang w:val="fr-FR"/>
        </w:rPr>
        <w:t>.</w:t>
      </w:r>
    </w:p>
    <w:p w14:paraId="5EB8F8AA" w14:textId="284638D7" w:rsidR="00446FE5" w:rsidRPr="00F756C1" w:rsidRDefault="00F756C1" w:rsidP="00F756C1">
      <w:pPr>
        <w:pStyle w:val="SingleTxtG"/>
        <w:spacing w:before="240" w:after="0"/>
        <w:jc w:val="center"/>
        <w:rPr>
          <w:u w:val="single"/>
        </w:rPr>
      </w:pPr>
      <w:r>
        <w:rPr>
          <w:u w:val="single"/>
        </w:rPr>
        <w:tab/>
      </w:r>
      <w:r>
        <w:rPr>
          <w:u w:val="single"/>
        </w:rPr>
        <w:tab/>
      </w:r>
      <w:r>
        <w:rPr>
          <w:u w:val="single"/>
        </w:rPr>
        <w:tab/>
      </w:r>
    </w:p>
    <w:sectPr w:rsidR="00446FE5" w:rsidRPr="00F756C1" w:rsidSect="00F756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6AE7" w14:textId="77777777" w:rsidR="00B47520" w:rsidRDefault="00B47520" w:rsidP="00F95C08">
      <w:pPr>
        <w:spacing w:line="240" w:lineRule="auto"/>
      </w:pPr>
    </w:p>
  </w:endnote>
  <w:endnote w:type="continuationSeparator" w:id="0">
    <w:p w14:paraId="1D1BD6C1" w14:textId="77777777" w:rsidR="00B47520" w:rsidRPr="00AC3823" w:rsidRDefault="00B47520" w:rsidP="00AC3823">
      <w:pPr>
        <w:pStyle w:val="Pieddepage"/>
      </w:pPr>
    </w:p>
  </w:endnote>
  <w:endnote w:type="continuationNotice" w:id="1">
    <w:p w14:paraId="38731E81" w14:textId="77777777" w:rsidR="00B47520" w:rsidRDefault="00B47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96C7" w14:textId="1A70066E" w:rsidR="00F756C1" w:rsidRPr="00F756C1" w:rsidRDefault="00F756C1" w:rsidP="00F756C1">
    <w:pPr>
      <w:pStyle w:val="Pieddepage"/>
      <w:tabs>
        <w:tab w:val="right" w:pos="9638"/>
      </w:tabs>
    </w:pPr>
    <w:r w:rsidRPr="00F756C1">
      <w:rPr>
        <w:b/>
        <w:sz w:val="18"/>
      </w:rPr>
      <w:fldChar w:fldCharType="begin"/>
    </w:r>
    <w:r w:rsidRPr="00F756C1">
      <w:rPr>
        <w:b/>
        <w:sz w:val="18"/>
      </w:rPr>
      <w:instrText xml:space="preserve"> PAGE  \* MERGEFORMAT </w:instrText>
    </w:r>
    <w:r w:rsidRPr="00F756C1">
      <w:rPr>
        <w:b/>
        <w:sz w:val="18"/>
      </w:rPr>
      <w:fldChar w:fldCharType="separate"/>
    </w:r>
    <w:r w:rsidRPr="00F756C1">
      <w:rPr>
        <w:b/>
        <w:noProof/>
        <w:sz w:val="18"/>
      </w:rPr>
      <w:t>2</w:t>
    </w:r>
    <w:r w:rsidRPr="00F756C1">
      <w:rPr>
        <w:b/>
        <w:sz w:val="18"/>
      </w:rPr>
      <w:fldChar w:fldCharType="end"/>
    </w:r>
    <w:r>
      <w:rPr>
        <w:b/>
        <w:sz w:val="18"/>
      </w:rPr>
      <w:tab/>
    </w:r>
    <w:r>
      <w:t>GE</w:t>
    </w:r>
    <w:r w:rsidR="00F23DD5" w:rsidRPr="00F23DD5">
      <w:t>.</w:t>
    </w:r>
    <w:r>
      <w:t>24-06789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9B6" w14:textId="3E97EF5F" w:rsidR="00F756C1" w:rsidRPr="00F756C1" w:rsidRDefault="00F756C1" w:rsidP="00F756C1">
    <w:pPr>
      <w:pStyle w:val="Pieddepage"/>
      <w:tabs>
        <w:tab w:val="right" w:pos="9638"/>
      </w:tabs>
      <w:rPr>
        <w:b/>
        <w:sz w:val="18"/>
      </w:rPr>
    </w:pPr>
    <w:r>
      <w:t>GE</w:t>
    </w:r>
    <w:r w:rsidR="00F23DD5" w:rsidRPr="00F23DD5">
      <w:t>.</w:t>
    </w:r>
    <w:r>
      <w:t>24-06789</w:t>
    </w:r>
    <w:r>
      <w:tab/>
    </w:r>
    <w:r w:rsidRPr="00F756C1">
      <w:rPr>
        <w:b/>
        <w:sz w:val="18"/>
      </w:rPr>
      <w:fldChar w:fldCharType="begin"/>
    </w:r>
    <w:r w:rsidRPr="00F756C1">
      <w:rPr>
        <w:b/>
        <w:sz w:val="18"/>
      </w:rPr>
      <w:instrText xml:space="preserve"> PAGE  \* MERGEFORMAT </w:instrText>
    </w:r>
    <w:r w:rsidRPr="00F756C1">
      <w:rPr>
        <w:b/>
        <w:sz w:val="18"/>
      </w:rPr>
      <w:fldChar w:fldCharType="separate"/>
    </w:r>
    <w:r w:rsidRPr="00F756C1">
      <w:rPr>
        <w:b/>
        <w:noProof/>
        <w:sz w:val="18"/>
      </w:rPr>
      <w:t>3</w:t>
    </w:r>
    <w:r w:rsidRPr="00F756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D2E2" w14:textId="19D3804D" w:rsidR="0068456F" w:rsidRPr="00F756C1" w:rsidRDefault="00F756C1" w:rsidP="00F756C1">
    <w:pPr>
      <w:pStyle w:val="Pieddepage"/>
      <w:spacing w:before="120"/>
      <w:rPr>
        <w:sz w:val="20"/>
      </w:rPr>
    </w:pPr>
    <w:r>
      <w:rPr>
        <w:sz w:val="20"/>
      </w:rPr>
      <w:t>GE</w:t>
    </w:r>
    <w:r w:rsidR="00F23DD5" w:rsidRPr="00F23DD5">
      <w:rPr>
        <w:sz w:val="20"/>
      </w:rPr>
      <w:t>.</w:t>
    </w:r>
    <w:r w:rsidR="0068456F">
      <w:rPr>
        <w:noProof/>
        <w:lang w:eastAsia="fr-CH"/>
      </w:rPr>
      <w:drawing>
        <wp:anchor distT="0" distB="0" distL="114300" distR="114300" simplePos="0" relativeHeight="251659264" behindDoc="0" locked="0" layoutInCell="1" allowOverlap="0" wp14:anchorId="4D769870" wp14:editId="3624BA7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24-06789  (F)</w:t>
    </w:r>
    <w:r>
      <w:rPr>
        <w:noProof/>
        <w:sz w:val="20"/>
      </w:rPr>
      <w:drawing>
        <wp:anchor distT="0" distB="0" distL="114300" distR="114300" simplePos="0" relativeHeight="251660288" behindDoc="0" locked="0" layoutInCell="1" allowOverlap="1" wp14:anchorId="51D1BA81" wp14:editId="5B75F35C">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030524    060524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0BBB" w14:textId="77777777" w:rsidR="00B47520" w:rsidRPr="00AC3823" w:rsidRDefault="00B47520" w:rsidP="00AC3823">
      <w:pPr>
        <w:pStyle w:val="Pieddepage"/>
        <w:tabs>
          <w:tab w:val="right" w:pos="2155"/>
        </w:tabs>
        <w:spacing w:after="80" w:line="240" w:lineRule="atLeast"/>
        <w:ind w:left="680"/>
        <w:rPr>
          <w:u w:val="single"/>
        </w:rPr>
      </w:pPr>
      <w:r>
        <w:rPr>
          <w:u w:val="single"/>
        </w:rPr>
        <w:tab/>
      </w:r>
    </w:p>
  </w:footnote>
  <w:footnote w:type="continuationSeparator" w:id="0">
    <w:p w14:paraId="129BC661" w14:textId="77777777" w:rsidR="00B47520" w:rsidRPr="00AC3823" w:rsidRDefault="00B47520" w:rsidP="00AC3823">
      <w:pPr>
        <w:pStyle w:val="Pieddepage"/>
        <w:tabs>
          <w:tab w:val="right" w:pos="2155"/>
        </w:tabs>
        <w:spacing w:after="80" w:line="240" w:lineRule="atLeast"/>
        <w:ind w:left="680"/>
        <w:rPr>
          <w:u w:val="single"/>
        </w:rPr>
      </w:pPr>
      <w:r>
        <w:rPr>
          <w:u w:val="single"/>
        </w:rPr>
        <w:tab/>
      </w:r>
    </w:p>
  </w:footnote>
  <w:footnote w:type="continuationNotice" w:id="1">
    <w:p w14:paraId="54C8134B" w14:textId="77777777" w:rsidR="00B47520" w:rsidRPr="00AC3823" w:rsidRDefault="00B4752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0BE2" w14:textId="0B246D5B" w:rsidR="00F756C1" w:rsidRPr="00F756C1" w:rsidRDefault="00F756C1">
    <w:pPr>
      <w:pStyle w:val="En-tte"/>
    </w:pPr>
    <w:fldSimple w:instr=" TITLE  \* MERGEFORMAT ">
      <w:r w:rsidR="00212378">
        <w:t>ST/SG/AC.10/C.3/127/Add.1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8BA2" w14:textId="52D134B8" w:rsidR="00F756C1" w:rsidRPr="00F756C1" w:rsidRDefault="00F756C1" w:rsidP="00F756C1">
    <w:pPr>
      <w:pStyle w:val="En-tte"/>
      <w:jc w:val="right"/>
    </w:pPr>
    <w:fldSimple w:instr=" TITLE  \* MERGEFORMAT ">
      <w:r w:rsidR="00212378">
        <w:t>ST/SG/AC.10/C.3/127/Add.1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27664286">
    <w:abstractNumId w:val="12"/>
  </w:num>
  <w:num w:numId="2" w16cid:durableId="836730365">
    <w:abstractNumId w:val="11"/>
  </w:num>
  <w:num w:numId="3" w16cid:durableId="1280603486">
    <w:abstractNumId w:val="10"/>
  </w:num>
  <w:num w:numId="4" w16cid:durableId="1179126923">
    <w:abstractNumId w:val="8"/>
  </w:num>
  <w:num w:numId="5" w16cid:durableId="1226452609">
    <w:abstractNumId w:val="3"/>
  </w:num>
  <w:num w:numId="6" w16cid:durableId="2092314008">
    <w:abstractNumId w:val="2"/>
  </w:num>
  <w:num w:numId="7" w16cid:durableId="1724863189">
    <w:abstractNumId w:val="1"/>
  </w:num>
  <w:num w:numId="8" w16cid:durableId="1595632620">
    <w:abstractNumId w:val="0"/>
  </w:num>
  <w:num w:numId="9" w16cid:durableId="1149053951">
    <w:abstractNumId w:val="9"/>
  </w:num>
  <w:num w:numId="10" w16cid:durableId="2026130758">
    <w:abstractNumId w:val="7"/>
  </w:num>
  <w:num w:numId="11" w16cid:durableId="1847862196">
    <w:abstractNumId w:val="6"/>
  </w:num>
  <w:num w:numId="12" w16cid:durableId="44570848">
    <w:abstractNumId w:val="5"/>
  </w:num>
  <w:num w:numId="13" w16cid:durableId="117115343">
    <w:abstractNumId w:val="4"/>
  </w:num>
  <w:num w:numId="14" w16cid:durableId="1814329593">
    <w:abstractNumId w:val="12"/>
  </w:num>
  <w:num w:numId="15" w16cid:durableId="109017454">
    <w:abstractNumId w:val="11"/>
  </w:num>
  <w:num w:numId="16" w16cid:durableId="305816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20"/>
    <w:rsid w:val="00017F94"/>
    <w:rsid w:val="00023842"/>
    <w:rsid w:val="000305D3"/>
    <w:rsid w:val="000334F9"/>
    <w:rsid w:val="0007796D"/>
    <w:rsid w:val="000A56C7"/>
    <w:rsid w:val="000B7790"/>
    <w:rsid w:val="00111F2F"/>
    <w:rsid w:val="00132EA9"/>
    <w:rsid w:val="0014365E"/>
    <w:rsid w:val="00172E49"/>
    <w:rsid w:val="00176178"/>
    <w:rsid w:val="001F525A"/>
    <w:rsid w:val="00212378"/>
    <w:rsid w:val="00223272"/>
    <w:rsid w:val="0024779E"/>
    <w:rsid w:val="00283190"/>
    <w:rsid w:val="002832AC"/>
    <w:rsid w:val="002D7C93"/>
    <w:rsid w:val="00441C3B"/>
    <w:rsid w:val="00446FE5"/>
    <w:rsid w:val="00452396"/>
    <w:rsid w:val="004E468C"/>
    <w:rsid w:val="00513EEF"/>
    <w:rsid w:val="005505B7"/>
    <w:rsid w:val="00573BE5"/>
    <w:rsid w:val="00584DC4"/>
    <w:rsid w:val="00586ED3"/>
    <w:rsid w:val="00596AA9"/>
    <w:rsid w:val="0068456F"/>
    <w:rsid w:val="0071601D"/>
    <w:rsid w:val="007A62E6"/>
    <w:rsid w:val="0080684C"/>
    <w:rsid w:val="008123E0"/>
    <w:rsid w:val="0082486D"/>
    <w:rsid w:val="00871C75"/>
    <w:rsid w:val="008776DC"/>
    <w:rsid w:val="008B40CD"/>
    <w:rsid w:val="009705C8"/>
    <w:rsid w:val="009C1CF4"/>
    <w:rsid w:val="00A30353"/>
    <w:rsid w:val="00A81281"/>
    <w:rsid w:val="00AC3823"/>
    <w:rsid w:val="00AE323C"/>
    <w:rsid w:val="00B00181"/>
    <w:rsid w:val="00B00B0D"/>
    <w:rsid w:val="00B306EA"/>
    <w:rsid w:val="00B47520"/>
    <w:rsid w:val="00B765F7"/>
    <w:rsid w:val="00BA0CA9"/>
    <w:rsid w:val="00C02897"/>
    <w:rsid w:val="00D3439C"/>
    <w:rsid w:val="00DB1831"/>
    <w:rsid w:val="00DD3BFD"/>
    <w:rsid w:val="00DF6678"/>
    <w:rsid w:val="00EF2E22"/>
    <w:rsid w:val="00F01738"/>
    <w:rsid w:val="00F23DD5"/>
    <w:rsid w:val="00F660DF"/>
    <w:rsid w:val="00F730C8"/>
    <w:rsid w:val="00F756C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D507A"/>
  <w15:docId w15:val="{43DF3BC1-824A-4CEE-972E-817BA491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F756C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DC0D5-4D08-4BBB-96A4-F38BFC662268}"/>
</file>

<file path=customXml/itemProps2.xml><?xml version="1.0" encoding="utf-8"?>
<ds:datastoreItem xmlns:ds="http://schemas.openxmlformats.org/officeDocument/2006/customXml" ds:itemID="{A177CDB8-99CC-499E-A8AE-1754E2A44C9A}"/>
</file>

<file path=docProps/app.xml><?xml version="1.0" encoding="utf-8"?>
<Properties xmlns="http://schemas.openxmlformats.org/officeDocument/2006/extended-properties" xmlns:vt="http://schemas.openxmlformats.org/officeDocument/2006/docPropsVTypes">
  <Template>ST.dotm</Template>
  <TotalTime>0</TotalTime>
  <Pages>7</Pages>
  <Words>1650</Words>
  <Characters>12644</Characters>
  <Application>Microsoft Office Word</Application>
  <DocSecurity>0</DocSecurity>
  <Lines>4214</Lines>
  <Paragraphs>1191</Paragraphs>
  <ScaleCrop>false</ScaleCrop>
  <HeadingPairs>
    <vt:vector size="2" baseType="variant">
      <vt:variant>
        <vt:lpstr>Titre</vt:lpstr>
      </vt:variant>
      <vt:variant>
        <vt:i4>1</vt:i4>
      </vt:variant>
    </vt:vector>
  </HeadingPairs>
  <TitlesOfParts>
    <vt:vector size="1" baseType="lpstr">
      <vt:lpstr>ST/SG/AC.10/C.3/127/Add.1</vt:lpstr>
    </vt:vector>
  </TitlesOfParts>
  <Company>DCM</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ST/SG/AC.10/C.3/127/Add.1</dc:title>
  <dc:subject/>
  <dc:creator>Maud DARICHE</dc:creator>
  <cp:keywords/>
  <cp:lastModifiedBy>Maud Dariche</cp:lastModifiedBy>
  <cp:revision>3</cp:revision>
  <cp:lastPrinted>2024-05-06T07:22:00Z</cp:lastPrinted>
  <dcterms:created xsi:type="dcterms:W3CDTF">2024-05-06T07:22:00Z</dcterms:created>
  <dcterms:modified xsi:type="dcterms:W3CDTF">2024-05-06T07:22:00Z</dcterms:modified>
</cp:coreProperties>
</file>