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6221F5" w14:paraId="7071D3EF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457D3BF4" w14:textId="77777777" w:rsidR="00E9100F" w:rsidRPr="006221F5" w:rsidRDefault="006221F5" w:rsidP="006221F5">
            <w:pPr>
              <w:jc w:val="right"/>
              <w:rPr>
                <w:lang w:val="en-US"/>
              </w:rPr>
            </w:pPr>
            <w:r w:rsidRPr="006221F5">
              <w:rPr>
                <w:sz w:val="40"/>
                <w:lang w:val="en-US"/>
              </w:rPr>
              <w:t>E</w:t>
            </w:r>
            <w:r w:rsidRPr="006221F5">
              <w:rPr>
                <w:lang w:val="en-US"/>
              </w:rPr>
              <w:t>/ECE/TRANS/505/Rev.3/Add.161/Amend.2</w:t>
            </w:r>
          </w:p>
        </w:tc>
      </w:tr>
      <w:tr w:rsidR="00E9100F" w:rsidRPr="006221F5" w14:paraId="0AA06400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59DC5EED" w14:textId="77777777" w:rsidR="00E9100F" w:rsidRPr="006221F5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328189" w14:textId="6BD31483" w:rsidR="00E9100F" w:rsidRPr="00245734" w:rsidRDefault="006221F5" w:rsidP="00E9100F">
            <w:pPr>
              <w:spacing w:before="480"/>
              <w:rPr>
                <w:lang w:val="en-US"/>
              </w:rPr>
            </w:pPr>
            <w:r w:rsidRPr="006221F5">
              <w:rPr>
                <w:rFonts w:eastAsia="Times New Roman" w:cs="Times New Roman"/>
                <w:szCs w:val="20"/>
                <w:lang w:val="en-GB" w:eastAsia="fr-FR"/>
              </w:rPr>
              <w:t>20 March 2022</w:t>
            </w:r>
          </w:p>
        </w:tc>
      </w:tr>
    </w:tbl>
    <w:p w14:paraId="462917F6" w14:textId="4357EF4D" w:rsidR="00B63271" w:rsidRPr="00B63271" w:rsidRDefault="00B63271" w:rsidP="006221F5">
      <w:pPr>
        <w:pStyle w:val="HChG"/>
        <w:spacing w:after="120"/>
      </w:pPr>
      <w:r w:rsidRPr="006221F5">
        <w:rPr>
          <w:lang w:val="en-US"/>
        </w:rPr>
        <w:tab/>
      </w:r>
      <w:r w:rsidRPr="006221F5">
        <w:rPr>
          <w:lang w:val="en-US"/>
        </w:rPr>
        <w:tab/>
      </w:r>
      <w:r w:rsidR="006221F5" w:rsidRPr="006221F5">
        <w:rPr>
          <w:bCs/>
        </w:rPr>
        <w:t>Соглашение</w:t>
      </w:r>
    </w:p>
    <w:p w14:paraId="3189088B" w14:textId="1680B1BE" w:rsidR="00B63271" w:rsidRDefault="00B63271" w:rsidP="006221F5">
      <w:pPr>
        <w:pStyle w:val="H1G"/>
        <w:spacing w:before="240" w:after="120"/>
        <w:rPr>
          <w:sz w:val="28"/>
          <w:szCs w:val="28"/>
        </w:rPr>
      </w:pPr>
      <w:r w:rsidRPr="001F7702">
        <w:tab/>
      </w:r>
      <w:r w:rsidRPr="001F7702">
        <w:tab/>
      </w:r>
      <w:r w:rsidR="006221F5" w:rsidRPr="006221F5">
        <w:rPr>
          <w:szCs w:val="24"/>
        </w:rPr>
        <w:t>О принятии единообразных технических предписаний</w:t>
      </w:r>
      <w:r w:rsidR="006221F5">
        <w:rPr>
          <w:szCs w:val="24"/>
        </w:rPr>
        <w:br/>
      </w:r>
      <w:r w:rsidR="006221F5" w:rsidRPr="006221F5">
        <w:rPr>
          <w:szCs w:val="24"/>
        </w:rPr>
        <w:t>для колесных транспортных средств, предметов оборудования</w:t>
      </w:r>
      <w:r w:rsidR="006221F5">
        <w:rPr>
          <w:szCs w:val="24"/>
        </w:rPr>
        <w:br/>
      </w:r>
      <w:r w:rsidR="006221F5" w:rsidRPr="006221F5">
        <w:rPr>
          <w:szCs w:val="24"/>
        </w:rPr>
        <w:t>и частей, которые могут быть установлены и/или использованы</w:t>
      </w:r>
      <w:r w:rsidR="006221F5">
        <w:rPr>
          <w:szCs w:val="24"/>
        </w:rPr>
        <w:br/>
      </w:r>
      <w:r w:rsidR="006221F5" w:rsidRPr="006221F5">
        <w:rPr>
          <w:szCs w:val="24"/>
        </w:rPr>
        <w:t>на колесных транспортных средствах, и об условиях взаимного признания официальных утверждений, выдаваемых</w:t>
      </w:r>
      <w:r w:rsidR="006221F5" w:rsidRPr="006221F5">
        <w:rPr>
          <w:szCs w:val="24"/>
        </w:rPr>
        <w:br/>
      </w:r>
      <w:r w:rsidR="006221F5" w:rsidRPr="006221F5">
        <w:rPr>
          <w:szCs w:val="24"/>
        </w:rPr>
        <w:t>на основе этих предписаний</w:t>
      </w:r>
      <w:r w:rsidR="006221F5" w:rsidRPr="006221F5">
        <w:rPr>
          <w:rStyle w:val="aa"/>
          <w:b w:val="0"/>
          <w:bCs/>
          <w:position w:val="4"/>
          <w:sz w:val="20"/>
          <w:szCs w:val="28"/>
          <w:vertAlign w:val="baseline"/>
        </w:rPr>
        <w:footnoteReference w:customMarkFollows="1" w:id="1"/>
        <w:t>*</w:t>
      </w:r>
    </w:p>
    <w:p w14:paraId="7413273E" w14:textId="77E60111" w:rsidR="006221F5" w:rsidRPr="006221F5" w:rsidRDefault="006221F5" w:rsidP="008C273C">
      <w:pPr>
        <w:keepNext/>
        <w:keepLines/>
        <w:tabs>
          <w:tab w:val="right" w:pos="851"/>
        </w:tabs>
        <w:spacing w:before="240" w:line="270" w:lineRule="exact"/>
        <w:ind w:left="1134" w:right="1134" w:hanging="1134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6221F5">
        <w:rPr>
          <w:rFonts w:eastAsia="Times New Roman" w:cs="Times New Roman"/>
          <w:szCs w:val="20"/>
          <w:lang w:eastAsia="fr-FR"/>
        </w:rPr>
        <w:t>(Пересмотр 3, включающий поправки, вступившие в силу 14 сентября 2017 года)</w:t>
      </w:r>
    </w:p>
    <w:p w14:paraId="67622EA2" w14:textId="018670E5" w:rsidR="006221F5" w:rsidRPr="00CC338E" w:rsidRDefault="006221F5" w:rsidP="008C273C">
      <w:pPr>
        <w:keepNext/>
        <w:keepLines/>
        <w:tabs>
          <w:tab w:val="right" w:pos="851"/>
        </w:tabs>
        <w:spacing w:after="120" w:line="270" w:lineRule="exact"/>
        <w:jc w:val="center"/>
        <w:rPr>
          <w:b/>
          <w:sz w:val="24"/>
        </w:rPr>
      </w:pPr>
      <w:r>
        <w:t>_______________</w:t>
      </w:r>
    </w:p>
    <w:p w14:paraId="18909E79" w14:textId="44951BFA" w:rsidR="006221F5" w:rsidRPr="006221F5" w:rsidRDefault="006221F5" w:rsidP="008C273C">
      <w:pPr>
        <w:pStyle w:val="H1G"/>
        <w:spacing w:before="240" w:after="120"/>
      </w:pPr>
      <w:r>
        <w:tab/>
      </w:r>
      <w:r>
        <w:tab/>
      </w:r>
      <w:r w:rsidRPr="006221F5">
        <w:t>Добавление 161 — Правила № 162 ООН</w:t>
      </w:r>
    </w:p>
    <w:p w14:paraId="79F49D97" w14:textId="44F9F1ED" w:rsidR="00B63271" w:rsidRDefault="006221F5" w:rsidP="008C08E3">
      <w:pPr>
        <w:pStyle w:val="H1G"/>
        <w:spacing w:before="240" w:after="120"/>
      </w:pPr>
      <w:r>
        <w:tab/>
      </w:r>
      <w:r>
        <w:tab/>
      </w:r>
      <w:r w:rsidRPr="006221F5">
        <w:t>Поправка 2</w:t>
      </w:r>
    </w:p>
    <w:p w14:paraId="384E947B" w14:textId="158A9B4E" w:rsidR="00B63271" w:rsidRPr="006221F5" w:rsidRDefault="00B63271" w:rsidP="008C08E3">
      <w:pPr>
        <w:pStyle w:val="H23G"/>
        <w:spacing w:before="120"/>
      </w:pPr>
      <w:r w:rsidRPr="000F3DA5">
        <w:rPr>
          <w:color w:val="000000"/>
        </w:rPr>
        <w:tab/>
      </w:r>
      <w:r w:rsidRPr="000F3DA5">
        <w:rPr>
          <w:color w:val="000000"/>
        </w:rPr>
        <w:tab/>
      </w:r>
      <w:r w:rsidR="006221F5" w:rsidRPr="006221F5">
        <w:rPr>
          <w:b w:val="0"/>
          <w:lang w:eastAsia="fr-FR"/>
        </w:rPr>
        <w:t>Дополнение 2 к первоначальному варианту Правил — Дата вступления в силу:</w:t>
      </w:r>
      <w:r w:rsidR="006221F5">
        <w:rPr>
          <w:b w:val="0"/>
          <w:lang w:eastAsia="fr-FR"/>
        </w:rPr>
        <w:br/>
      </w:r>
      <w:r w:rsidR="006221F5" w:rsidRPr="006221F5">
        <w:rPr>
          <w:b w:val="0"/>
          <w:lang w:eastAsia="fr-FR"/>
        </w:rPr>
        <w:t>8 октября 2022 года</w:t>
      </w:r>
    </w:p>
    <w:p w14:paraId="39A2F871" w14:textId="53165629" w:rsidR="006221F5" w:rsidRDefault="006221F5" w:rsidP="008C08E3">
      <w:pPr>
        <w:pStyle w:val="H1G"/>
        <w:spacing w:before="240"/>
      </w:pPr>
      <w:r>
        <w:tab/>
      </w:r>
      <w:r>
        <w:tab/>
      </w:r>
      <w:r w:rsidRPr="006221F5">
        <w:t>Единообразные технические предписания, касающиеся официального утверждения иммобилизаторов</w:t>
      </w:r>
      <w:r>
        <w:t xml:space="preserve"> </w:t>
      </w:r>
      <w:r w:rsidRPr="006221F5">
        <w:t>и официального утверждения транспортного средства</w:t>
      </w:r>
      <w:r>
        <w:t xml:space="preserve"> </w:t>
      </w:r>
      <w:r w:rsidRPr="006221F5">
        <w:t>в отношении</w:t>
      </w:r>
      <w:r>
        <w:br/>
      </w:r>
      <w:r w:rsidRPr="006221F5">
        <w:t>его иммобилизатора</w:t>
      </w:r>
    </w:p>
    <w:p w14:paraId="3C21E503" w14:textId="0174CD57" w:rsidR="00F12933" w:rsidRDefault="008C08E3" w:rsidP="006221F5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7562" wp14:editId="22580443">
                <wp:simplePos x="0" y="0"/>
                <wp:positionH relativeFrom="margin">
                  <wp:posOffset>10065</wp:posOffset>
                </wp:positionH>
                <wp:positionV relativeFrom="margin">
                  <wp:posOffset>6271469</wp:posOffset>
                </wp:positionV>
                <wp:extent cx="6120000" cy="1323832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2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CF8B" w14:textId="77777777" w:rsidR="00E9100F" w:rsidRPr="0029791D" w:rsidRDefault="00E9100F" w:rsidP="008C273C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D280980" w14:textId="77777777" w:rsidR="00E9100F" w:rsidRDefault="00E9100F" w:rsidP="005675A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361DDB5" wp14:editId="6C835A9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12CAB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756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8pt;margin-top:493.8pt;width:481.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" stroked="f">
                <v:textbox inset="0,0,0,0">
                  <w:txbxContent>
                    <w:p w14:paraId="6CF5CF8B" w14:textId="77777777" w:rsidR="00E9100F" w:rsidRPr="0029791D" w:rsidRDefault="00E9100F" w:rsidP="008C273C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D280980" w14:textId="77777777" w:rsidR="00E9100F" w:rsidRDefault="00E9100F" w:rsidP="005675A5">
                      <w:pPr>
                        <w:spacing w:after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361DDB5" wp14:editId="6C835A9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12CAB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21F5"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6221F5">
        <w:t xml:space="preserve"> </w:t>
      </w:r>
      <w:r w:rsidR="006221F5">
        <w:t>WP.29/2022/30.</w:t>
      </w:r>
    </w:p>
    <w:p w14:paraId="6BD23CCC" w14:textId="77777777" w:rsidR="008C08E3" w:rsidRPr="008C08E3" w:rsidRDefault="008C08E3" w:rsidP="00D802A1">
      <w:pPr>
        <w:pageBreakBefore/>
        <w:spacing w:before="120"/>
        <w:ind w:left="1134" w:right="1140"/>
        <w:jc w:val="both"/>
        <w:rPr>
          <w:rFonts w:eastAsia="DengXian" w:cs="Times New Roman"/>
          <w:szCs w:val="20"/>
          <w:lang w:eastAsia="fr-FR"/>
        </w:rPr>
      </w:pPr>
      <w:r w:rsidRPr="008C08E3">
        <w:rPr>
          <w:rFonts w:eastAsia="Times New Roman" w:cs="Times New Roman"/>
          <w:i/>
          <w:iCs/>
          <w:szCs w:val="20"/>
          <w:lang w:eastAsia="fr-FR"/>
        </w:rPr>
        <w:lastRenderedPageBreak/>
        <w:t xml:space="preserve">Пункт 5.2.1.1 </w:t>
      </w:r>
      <w:r w:rsidRPr="008C08E3">
        <w:rPr>
          <w:rFonts w:eastAsia="Times New Roman" w:cs="Times New Roman"/>
          <w:szCs w:val="20"/>
          <w:lang w:eastAsia="fr-FR"/>
        </w:rPr>
        <w:t>изменить следующим образом:</w:t>
      </w:r>
    </w:p>
    <w:p w14:paraId="7B73486E" w14:textId="77777777" w:rsidR="008C08E3" w:rsidRPr="008C08E3" w:rsidRDefault="008C08E3" w:rsidP="00D802A1">
      <w:pPr>
        <w:spacing w:before="120"/>
        <w:ind w:left="2268" w:right="1140" w:hanging="1134"/>
        <w:jc w:val="both"/>
        <w:rPr>
          <w:rFonts w:eastAsia="DengXian" w:cs="Times New Roman"/>
          <w:iCs/>
          <w:szCs w:val="20"/>
          <w:lang w:eastAsia="fr-FR"/>
        </w:rPr>
      </w:pPr>
      <w:r w:rsidRPr="008C08E3">
        <w:rPr>
          <w:rFonts w:eastAsia="Times New Roman" w:cs="Times New Roman"/>
          <w:szCs w:val="20"/>
          <w:lang w:eastAsia="fr-FR"/>
        </w:rPr>
        <w:t>«5.2.1.1</w:t>
      </w:r>
      <w:r w:rsidRPr="008C08E3">
        <w:rPr>
          <w:rFonts w:eastAsia="Times New Roman" w:cs="Times New Roman"/>
          <w:szCs w:val="20"/>
          <w:lang w:eastAsia="fr-FR"/>
        </w:rPr>
        <w:tab/>
        <w:t>Иммобилизатор должен быть сконструирован таким образом, чтобы он препятствовал эксплуатации транспортного средства с использованием его собственного источника двигательной энергии по меньшей мере одним из следующих способов:</w:t>
      </w:r>
    </w:p>
    <w:p w14:paraId="10AE9A93" w14:textId="77777777" w:rsidR="008C08E3" w:rsidRPr="008C08E3" w:rsidRDefault="008C08E3" w:rsidP="008C08E3">
      <w:pPr>
        <w:spacing w:before="120" w:line="240" w:lineRule="auto"/>
        <w:ind w:left="2268" w:right="1140"/>
        <w:jc w:val="both"/>
        <w:rPr>
          <w:rFonts w:eastAsia="DengXian" w:cs="Times New Roman"/>
          <w:szCs w:val="20"/>
          <w:lang w:val="en-GB" w:eastAsia="fr-FR"/>
        </w:rPr>
      </w:pPr>
      <w:r w:rsidRPr="008C08E3">
        <w:rPr>
          <w:rFonts w:eastAsia="Times New Roman" w:cs="Times New Roman"/>
          <w:szCs w:val="20"/>
          <w:lang w:eastAsia="fr-FR"/>
        </w:rPr>
        <w:t>...»</w:t>
      </w:r>
    </w:p>
    <w:p w14:paraId="084A61B8" w14:textId="77777777" w:rsidR="008C08E3" w:rsidRPr="008C08E3" w:rsidRDefault="008C08E3" w:rsidP="008C08E3">
      <w:pPr>
        <w:spacing w:before="240"/>
        <w:jc w:val="center"/>
        <w:rPr>
          <w:rFonts w:eastAsia="Times New Roman" w:cs="Times New Roman"/>
          <w:szCs w:val="20"/>
          <w:u w:val="single"/>
          <w:lang w:val="en-GB" w:eastAsia="fr-FR"/>
        </w:rPr>
      </w:pPr>
      <w:r w:rsidRPr="008C08E3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8C08E3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8C08E3">
        <w:rPr>
          <w:rFonts w:eastAsia="Times New Roman" w:cs="Times New Roman"/>
          <w:szCs w:val="20"/>
          <w:u w:val="single"/>
          <w:lang w:val="en-GB" w:eastAsia="fr-FR"/>
        </w:rPr>
        <w:tab/>
      </w:r>
    </w:p>
    <w:sectPr w:rsidR="008C08E3" w:rsidRPr="008C08E3" w:rsidSect="006221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72F" w14:textId="77777777" w:rsidR="00B35C73" w:rsidRPr="00A312BC" w:rsidRDefault="00B35C73" w:rsidP="00A312BC"/>
  </w:endnote>
  <w:endnote w:type="continuationSeparator" w:id="0">
    <w:p w14:paraId="0D62C257" w14:textId="77777777" w:rsidR="00B35C73" w:rsidRPr="00A312BC" w:rsidRDefault="00B35C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C3A" w14:textId="77777777" w:rsidR="006221F5" w:rsidRPr="006221F5" w:rsidRDefault="006221F5">
    <w:pPr>
      <w:pStyle w:val="a8"/>
    </w:pPr>
    <w:r w:rsidRPr="006221F5">
      <w:rPr>
        <w:b/>
        <w:sz w:val="18"/>
      </w:rPr>
      <w:fldChar w:fldCharType="begin"/>
    </w:r>
    <w:r w:rsidRPr="006221F5">
      <w:rPr>
        <w:b/>
        <w:sz w:val="18"/>
      </w:rPr>
      <w:instrText xml:space="preserve"> PAGE  \* MERGEFORMAT </w:instrText>
    </w:r>
    <w:r w:rsidRPr="006221F5">
      <w:rPr>
        <w:b/>
        <w:sz w:val="18"/>
      </w:rPr>
      <w:fldChar w:fldCharType="separate"/>
    </w:r>
    <w:r w:rsidRPr="006221F5">
      <w:rPr>
        <w:b/>
        <w:noProof/>
        <w:sz w:val="18"/>
      </w:rPr>
      <w:t>2</w:t>
    </w:r>
    <w:r w:rsidRPr="006221F5">
      <w:rPr>
        <w:b/>
        <w:sz w:val="18"/>
      </w:rPr>
      <w:fldChar w:fldCharType="end"/>
    </w:r>
    <w:r>
      <w:rPr>
        <w:b/>
        <w:sz w:val="18"/>
      </w:rPr>
      <w:tab/>
    </w:r>
    <w:r>
      <w:t>GE.23-05012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3674" w14:textId="77777777" w:rsidR="006221F5" w:rsidRPr="006221F5" w:rsidRDefault="006221F5" w:rsidP="006221F5">
    <w:pPr>
      <w:pStyle w:val="a8"/>
      <w:tabs>
        <w:tab w:val="clear" w:pos="9639"/>
        <w:tab w:val="right" w:pos="9638"/>
      </w:tabs>
      <w:rPr>
        <w:b/>
        <w:sz w:val="18"/>
      </w:rPr>
    </w:pPr>
    <w:r>
      <w:t>GE.23-05012</w:t>
    </w:r>
    <w:r>
      <w:tab/>
    </w:r>
    <w:r w:rsidRPr="006221F5">
      <w:rPr>
        <w:b/>
        <w:sz w:val="18"/>
      </w:rPr>
      <w:fldChar w:fldCharType="begin"/>
    </w:r>
    <w:r w:rsidRPr="006221F5">
      <w:rPr>
        <w:b/>
        <w:sz w:val="18"/>
      </w:rPr>
      <w:instrText xml:space="preserve"> PAGE  \* MERGEFORMAT </w:instrText>
    </w:r>
    <w:r w:rsidRPr="006221F5">
      <w:rPr>
        <w:b/>
        <w:sz w:val="18"/>
      </w:rPr>
      <w:fldChar w:fldCharType="separate"/>
    </w:r>
    <w:r w:rsidRPr="006221F5">
      <w:rPr>
        <w:b/>
        <w:noProof/>
        <w:sz w:val="18"/>
      </w:rPr>
      <w:t>3</w:t>
    </w:r>
    <w:r w:rsidRPr="006221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27DD" w14:textId="4E99DFE4" w:rsidR="00042B72" w:rsidRPr="00D802A1" w:rsidRDefault="006221F5" w:rsidP="006221F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B6EC38" wp14:editId="7390F9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23-05012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42FCF9" wp14:editId="67EF93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2A1">
      <w:t xml:space="preserve">  </w:t>
    </w:r>
    <w:r w:rsidR="00D802A1">
      <w:rPr>
        <w:lang w:val="fr-CH"/>
      </w:rPr>
      <w:t>260623  250823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07" w14:textId="77777777" w:rsidR="00B35C73" w:rsidRPr="001075E9" w:rsidRDefault="00B35C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FA0A4A" w14:textId="77777777" w:rsidR="00B35C73" w:rsidRDefault="00B35C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48C82F" w14:textId="77777777" w:rsidR="006221F5" w:rsidRPr="00156A06" w:rsidRDefault="006221F5" w:rsidP="006221F5">
      <w:pPr>
        <w:pStyle w:val="ad"/>
      </w:pPr>
      <w:r>
        <w:tab/>
      </w:r>
      <w:r w:rsidRPr="006221F5">
        <w:rPr>
          <w:rStyle w:val="aa"/>
          <w:sz w:val="20"/>
          <w:vertAlign w:val="baseline"/>
        </w:rPr>
        <w:t>*</w:t>
      </w:r>
      <w:r w:rsidRPr="006221F5">
        <w:rPr>
          <w:rStyle w:val="aa"/>
          <w:vertAlign w:val="baseline"/>
        </w:rPr>
        <w:tab/>
      </w:r>
      <w:r>
        <w:t>Прежние названия Соглашения:</w:t>
      </w:r>
    </w:p>
    <w:p w14:paraId="3F349E47" w14:textId="77777777" w:rsidR="006221F5" w:rsidRPr="00156A06" w:rsidRDefault="006221F5" w:rsidP="006221F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E34781A" w14:textId="3C670881" w:rsidR="006221F5" w:rsidRPr="006221F5" w:rsidRDefault="006221F5" w:rsidP="006221F5">
      <w:pPr>
        <w:pStyle w:val="ad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 w:rsidR="008C08E3">
        <w:br/>
      </w:r>
      <w:r>
        <w:t>5 октября 1995 года (</w:t>
      </w:r>
      <w:r w:rsidR="008C08E3">
        <w:t>п</w:t>
      </w:r>
      <w:r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BAB" w14:textId="020F6D83" w:rsidR="006221F5" w:rsidRPr="006221F5" w:rsidRDefault="006221F5">
    <w:pPr>
      <w:pStyle w:val="a5"/>
    </w:pPr>
    <w:fldSimple w:instr=" TITLE  \* MERGEFORMAT ">
      <w:r w:rsidR="00526414">
        <w:t>E/ECE/TRANS/505/Rev.3/Add.161/Amend.2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8A7E" w14:textId="19633870" w:rsidR="006221F5" w:rsidRPr="006221F5" w:rsidRDefault="006221F5" w:rsidP="006221F5">
    <w:pPr>
      <w:pStyle w:val="a5"/>
      <w:jc w:val="right"/>
    </w:pPr>
    <w:fldSimple w:instr=" TITLE  \* MERGEFORMAT ">
      <w:r w:rsidR="00526414">
        <w:t>E/ECE/TRANS/505/Rev.3/Add.161/Amend.2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746887">
    <w:abstractNumId w:val="17"/>
  </w:num>
  <w:num w:numId="2" w16cid:durableId="1215849320">
    <w:abstractNumId w:val="11"/>
  </w:num>
  <w:num w:numId="3" w16cid:durableId="1251770034">
    <w:abstractNumId w:val="14"/>
  </w:num>
  <w:num w:numId="4" w16cid:durableId="4981522">
    <w:abstractNumId w:val="10"/>
  </w:num>
  <w:num w:numId="5" w16cid:durableId="1666086132">
    <w:abstractNumId w:val="15"/>
  </w:num>
  <w:num w:numId="6" w16cid:durableId="943422258">
    <w:abstractNumId w:val="8"/>
  </w:num>
  <w:num w:numId="7" w16cid:durableId="1190413856">
    <w:abstractNumId w:val="3"/>
  </w:num>
  <w:num w:numId="8" w16cid:durableId="197208438">
    <w:abstractNumId w:val="2"/>
  </w:num>
  <w:num w:numId="9" w16cid:durableId="2048408883">
    <w:abstractNumId w:val="1"/>
  </w:num>
  <w:num w:numId="10" w16cid:durableId="467212251">
    <w:abstractNumId w:val="0"/>
  </w:num>
  <w:num w:numId="11" w16cid:durableId="2103254226">
    <w:abstractNumId w:val="9"/>
  </w:num>
  <w:num w:numId="12" w16cid:durableId="2028671065">
    <w:abstractNumId w:val="7"/>
  </w:num>
  <w:num w:numId="13" w16cid:durableId="434710514">
    <w:abstractNumId w:val="6"/>
  </w:num>
  <w:num w:numId="14" w16cid:durableId="447354655">
    <w:abstractNumId w:val="5"/>
  </w:num>
  <w:num w:numId="15" w16cid:durableId="1270970608">
    <w:abstractNumId w:val="4"/>
  </w:num>
  <w:num w:numId="16" w16cid:durableId="1617131202">
    <w:abstractNumId w:val="16"/>
  </w:num>
  <w:num w:numId="17" w16cid:durableId="847184367">
    <w:abstractNumId w:val="12"/>
  </w:num>
  <w:num w:numId="18" w16cid:durableId="292054714">
    <w:abstractNumId w:val="13"/>
  </w:num>
  <w:num w:numId="19" w16cid:durableId="895241278">
    <w:abstractNumId w:val="16"/>
  </w:num>
  <w:num w:numId="20" w16cid:durableId="1421370933">
    <w:abstractNumId w:val="12"/>
  </w:num>
  <w:num w:numId="21" w16cid:durableId="979531114">
    <w:abstractNumId w:val="13"/>
  </w:num>
  <w:num w:numId="22" w16cid:durableId="2002391429">
    <w:abstractNumId w:val="16"/>
  </w:num>
  <w:num w:numId="23" w16cid:durableId="1908148590">
    <w:abstractNumId w:val="12"/>
  </w:num>
  <w:num w:numId="24" w16cid:durableId="86247308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3"/>
    <w:rsid w:val="00033EE1"/>
    <w:rsid w:val="00042B72"/>
    <w:rsid w:val="000558BD"/>
    <w:rsid w:val="0006057C"/>
    <w:rsid w:val="00074247"/>
    <w:rsid w:val="000B57E7"/>
    <w:rsid w:val="000B6373"/>
    <w:rsid w:val="000F09DF"/>
    <w:rsid w:val="000F172B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B00E5"/>
    <w:rsid w:val="003D59FF"/>
    <w:rsid w:val="0040448D"/>
    <w:rsid w:val="00407B78"/>
    <w:rsid w:val="00424203"/>
    <w:rsid w:val="00426D27"/>
    <w:rsid w:val="00452493"/>
    <w:rsid w:val="00454E07"/>
    <w:rsid w:val="00472C5C"/>
    <w:rsid w:val="00481AF7"/>
    <w:rsid w:val="004C697C"/>
    <w:rsid w:val="0050108D"/>
    <w:rsid w:val="00513081"/>
    <w:rsid w:val="00517901"/>
    <w:rsid w:val="00526414"/>
    <w:rsid w:val="00526683"/>
    <w:rsid w:val="005660F1"/>
    <w:rsid w:val="005675A5"/>
    <w:rsid w:val="005709E0"/>
    <w:rsid w:val="00572E19"/>
    <w:rsid w:val="00593FAC"/>
    <w:rsid w:val="005961C8"/>
    <w:rsid w:val="005D3991"/>
    <w:rsid w:val="005D6E72"/>
    <w:rsid w:val="005D7726"/>
    <w:rsid w:val="005D7914"/>
    <w:rsid w:val="005E2B41"/>
    <w:rsid w:val="005F0B42"/>
    <w:rsid w:val="00605EA7"/>
    <w:rsid w:val="006221F5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C08E3"/>
    <w:rsid w:val="008C273C"/>
    <w:rsid w:val="008E2921"/>
    <w:rsid w:val="008F19E2"/>
    <w:rsid w:val="00906890"/>
    <w:rsid w:val="00911BE4"/>
    <w:rsid w:val="00951972"/>
    <w:rsid w:val="009608F3"/>
    <w:rsid w:val="00963B49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35C73"/>
    <w:rsid w:val="00B539E7"/>
    <w:rsid w:val="00B62458"/>
    <w:rsid w:val="00B63271"/>
    <w:rsid w:val="00BA3008"/>
    <w:rsid w:val="00BB1C63"/>
    <w:rsid w:val="00BC18B2"/>
    <w:rsid w:val="00BC25B7"/>
    <w:rsid w:val="00BD33EE"/>
    <w:rsid w:val="00BE3A57"/>
    <w:rsid w:val="00BF75E0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802A1"/>
    <w:rsid w:val="00D86A33"/>
    <w:rsid w:val="00D90028"/>
    <w:rsid w:val="00D90138"/>
    <w:rsid w:val="00DF0DB0"/>
    <w:rsid w:val="00DF71B9"/>
    <w:rsid w:val="00E273F0"/>
    <w:rsid w:val="00E73F76"/>
    <w:rsid w:val="00E9100F"/>
    <w:rsid w:val="00EA2C9F"/>
    <w:rsid w:val="00ED0BDA"/>
    <w:rsid w:val="00EF1360"/>
    <w:rsid w:val="00EF3220"/>
    <w:rsid w:val="00F024DB"/>
    <w:rsid w:val="00F12933"/>
    <w:rsid w:val="00F94155"/>
    <w:rsid w:val="00F9783F"/>
    <w:rsid w:val="00FD2EF7"/>
    <w:rsid w:val="00FE447E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2F44"/>
  <w15:docId w15:val="{BAB221B4-CC95-4E75-A936-F48A23B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BA300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D3B57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A3008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B63271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_180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9B77E-7049-4BD2-9092-6B82D1161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AEFAE-353D-4155-9B12-5E7FFA0B816C}"/>
</file>

<file path=customXml/itemProps3.xml><?xml version="1.0" encoding="utf-8"?>
<ds:datastoreItem xmlns:ds="http://schemas.openxmlformats.org/officeDocument/2006/customXml" ds:itemID="{7850493D-F868-4861-877D-9B2A8AD7A610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3</TotalTime>
  <Pages>2</Pages>
  <Words>139</Words>
  <Characters>1066</Characters>
  <Application>Microsoft Office Word</Application>
  <DocSecurity>0</DocSecurity>
  <Lines>30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E/ECE/TRANS/505/Rev.3/Add.161/Amend.2</vt:lpstr>
      <vt:lpstr>A/</vt:lpstr>
      <vt:lpstr>A/</vt:lpstr>
    </vt:vector>
  </TitlesOfParts>
  <Company>DCM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E/ECE/TRANS/505/Rev.3/Add.161/Amend.2</dc:title>
  <dc:subject/>
  <dc:creator>Anna KISSELEVA</dc:creator>
  <cp:keywords/>
  <cp:lastModifiedBy>Anna Kisseleva</cp:lastModifiedBy>
  <cp:revision>3</cp:revision>
  <cp:lastPrinted>2023-08-25T06:29:00Z</cp:lastPrinted>
  <dcterms:created xsi:type="dcterms:W3CDTF">2023-08-25T06:29:00Z</dcterms:created>
  <dcterms:modified xsi:type="dcterms:W3CDTF">2023-08-25T06:31:00Z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