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07CD67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F8B301" w14:textId="77777777" w:rsidR="00132EA9" w:rsidRPr="00DB58B5" w:rsidRDefault="00132EA9" w:rsidP="0070024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F7E675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510015" w14:textId="3112CD7D" w:rsidR="00132EA9" w:rsidRPr="00DB58B5" w:rsidRDefault="0070024B" w:rsidP="0070024B">
            <w:pPr>
              <w:jc w:val="right"/>
            </w:pPr>
            <w:r w:rsidRPr="0070024B">
              <w:rPr>
                <w:sz w:val="40"/>
              </w:rPr>
              <w:t>ST</w:t>
            </w:r>
            <w:r>
              <w:t>/SG/AC.10/C.3/2024/22</w:t>
            </w:r>
          </w:p>
        </w:tc>
      </w:tr>
      <w:tr w:rsidR="00132EA9" w:rsidRPr="00DB58B5" w14:paraId="727DF8D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3D170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9AE68E" wp14:editId="688B8D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A877E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53FCAE8" w14:textId="77777777" w:rsidR="00132EA9" w:rsidRDefault="0070024B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2428E12" w14:textId="77777777" w:rsidR="0070024B" w:rsidRDefault="0070024B" w:rsidP="0070024B">
            <w:pPr>
              <w:spacing w:line="240" w:lineRule="exact"/>
            </w:pPr>
            <w:r>
              <w:t>11 avril 2024</w:t>
            </w:r>
          </w:p>
          <w:p w14:paraId="6010F06B" w14:textId="77777777" w:rsidR="0070024B" w:rsidRDefault="0070024B" w:rsidP="0070024B">
            <w:pPr>
              <w:spacing w:line="240" w:lineRule="exact"/>
            </w:pPr>
            <w:r>
              <w:t>Français</w:t>
            </w:r>
          </w:p>
          <w:p w14:paraId="040C9A09" w14:textId="36E68ADE" w:rsidR="0070024B" w:rsidRPr="00DB58B5" w:rsidRDefault="0070024B" w:rsidP="0070024B">
            <w:pPr>
              <w:spacing w:line="240" w:lineRule="exact"/>
            </w:pPr>
            <w:r>
              <w:t>Original : anglais</w:t>
            </w:r>
          </w:p>
        </w:tc>
      </w:tr>
    </w:tbl>
    <w:p w14:paraId="220525E4" w14:textId="556F4377" w:rsidR="0070024B" w:rsidRPr="0070024B" w:rsidRDefault="0070024B" w:rsidP="0070024B">
      <w:pPr>
        <w:spacing w:before="120"/>
        <w:rPr>
          <w:b/>
          <w:bCs/>
          <w:sz w:val="24"/>
          <w:szCs w:val="24"/>
          <w:lang w:val="fr-FR"/>
        </w:rPr>
      </w:pPr>
      <w:r w:rsidRPr="0070024B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Pr="0070024B">
        <w:rPr>
          <w:b/>
          <w:bCs/>
          <w:sz w:val="24"/>
          <w:szCs w:val="24"/>
          <w:lang w:val="fr-FR"/>
        </w:rPr>
        <w:br/>
        <w:t xml:space="preserve">et du Système général harmonisé de classification </w:t>
      </w:r>
      <w:r w:rsidRPr="0070024B">
        <w:rPr>
          <w:b/>
          <w:bCs/>
          <w:sz w:val="24"/>
          <w:szCs w:val="24"/>
          <w:lang w:val="fr-FR"/>
        </w:rPr>
        <w:br/>
        <w:t>et d’étiquetage des produits chimiques</w:t>
      </w:r>
    </w:p>
    <w:p w14:paraId="3A8B68EE" w14:textId="77777777" w:rsidR="0070024B" w:rsidRPr="00431470" w:rsidRDefault="0070024B" w:rsidP="0070024B">
      <w:pPr>
        <w:spacing w:before="120"/>
        <w:rPr>
          <w:rFonts w:ascii="Helv" w:hAnsi="Helv" w:cs="Helv"/>
          <w:b/>
          <w:color w:val="000000"/>
          <w:lang w:val="fr-FR"/>
        </w:rPr>
      </w:pPr>
      <w:r w:rsidRPr="00431470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431470">
        <w:rPr>
          <w:b/>
          <w:bCs/>
          <w:lang w:val="fr-FR"/>
        </w:rPr>
        <w:t>experts du transport des marchandises dangereuses</w:t>
      </w:r>
    </w:p>
    <w:p w14:paraId="114548C8" w14:textId="77777777" w:rsidR="0070024B" w:rsidRPr="00431470" w:rsidRDefault="0070024B" w:rsidP="0070024B">
      <w:pPr>
        <w:spacing w:before="120"/>
        <w:rPr>
          <w:b/>
          <w:lang w:val="fr-FR"/>
        </w:rPr>
      </w:pPr>
      <w:r w:rsidRPr="00431470">
        <w:rPr>
          <w:b/>
          <w:bCs/>
          <w:lang w:val="fr-FR"/>
        </w:rPr>
        <w:t>Soixante-quatrième session</w:t>
      </w:r>
    </w:p>
    <w:p w14:paraId="2A05DDB9" w14:textId="542632AC" w:rsidR="0070024B" w:rsidRPr="00431470" w:rsidRDefault="0070024B" w:rsidP="0070024B">
      <w:pPr>
        <w:rPr>
          <w:lang w:val="fr-FR"/>
        </w:rPr>
      </w:pPr>
      <w:r w:rsidRPr="00431470">
        <w:rPr>
          <w:lang w:val="fr-FR"/>
        </w:rPr>
        <w:t>Genève, 24 juin</w:t>
      </w:r>
      <w:r>
        <w:rPr>
          <w:lang w:val="fr-FR"/>
        </w:rPr>
        <w:noBreakHyphen/>
      </w:r>
      <w:r w:rsidRPr="00431470">
        <w:rPr>
          <w:lang w:val="fr-FR"/>
        </w:rPr>
        <w:t>3 juillet 2024</w:t>
      </w:r>
    </w:p>
    <w:p w14:paraId="3E17DD78" w14:textId="3ED24677" w:rsidR="0070024B" w:rsidRPr="00431470" w:rsidRDefault="0070024B" w:rsidP="0070024B">
      <w:pPr>
        <w:rPr>
          <w:lang w:val="fr-FR"/>
        </w:rPr>
      </w:pPr>
      <w:r w:rsidRPr="00431470">
        <w:rPr>
          <w:lang w:val="fr-FR"/>
        </w:rPr>
        <w:t>Point</w:t>
      </w:r>
      <w:r w:rsidR="00377D48">
        <w:rPr>
          <w:lang w:val="fr-FR"/>
        </w:rPr>
        <w:t> </w:t>
      </w:r>
      <w:r w:rsidRPr="00431470">
        <w:rPr>
          <w:lang w:val="fr-FR"/>
        </w:rPr>
        <w:t>3 de l</w:t>
      </w:r>
      <w:r>
        <w:rPr>
          <w:lang w:val="fr-FR"/>
        </w:rPr>
        <w:t>’</w:t>
      </w:r>
      <w:r w:rsidRPr="00431470">
        <w:rPr>
          <w:lang w:val="fr-FR"/>
        </w:rPr>
        <w:t>ordre du jour provisoire</w:t>
      </w:r>
    </w:p>
    <w:p w14:paraId="34982793" w14:textId="77777777" w:rsidR="0070024B" w:rsidRPr="00431470" w:rsidRDefault="0070024B" w:rsidP="0070024B">
      <w:pPr>
        <w:rPr>
          <w:b/>
          <w:bCs/>
          <w:lang w:val="fr-FR"/>
        </w:rPr>
      </w:pPr>
      <w:r w:rsidRPr="00431470">
        <w:rPr>
          <w:b/>
          <w:bCs/>
          <w:lang w:val="fr-FR"/>
        </w:rPr>
        <w:t>Inscription, classement et emballage</w:t>
      </w:r>
    </w:p>
    <w:p w14:paraId="4C330A38" w14:textId="5B87FABD" w:rsidR="0070024B" w:rsidRPr="00431470" w:rsidRDefault="0070024B" w:rsidP="0070024B">
      <w:pPr>
        <w:pStyle w:val="HChG"/>
        <w:rPr>
          <w:rFonts w:eastAsia="MS Mincho"/>
          <w:iCs/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  <w:t xml:space="preserve">Modification de la quantité limitée pour le </w:t>
      </w:r>
      <w:r>
        <w:rPr>
          <w:lang w:val="fr-FR"/>
        </w:rPr>
        <w:t>No ONU </w:t>
      </w:r>
      <w:r w:rsidRPr="00431470">
        <w:rPr>
          <w:lang w:val="fr-FR"/>
        </w:rPr>
        <w:t>2956 (MUSC-XYLÈNE)</w:t>
      </w:r>
    </w:p>
    <w:p w14:paraId="5D1BDBB0" w14:textId="77777777" w:rsidR="0070024B" w:rsidRPr="00431470" w:rsidRDefault="0070024B" w:rsidP="0070024B">
      <w:pPr>
        <w:pStyle w:val="H1G"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  <w:t>Communication de l</w:t>
      </w:r>
      <w:r>
        <w:rPr>
          <w:lang w:val="fr-FR"/>
        </w:rPr>
        <w:t>’</w:t>
      </w:r>
      <w:r w:rsidRPr="00431470">
        <w:rPr>
          <w:lang w:val="fr-FR"/>
        </w:rPr>
        <w:t>expert de l</w:t>
      </w:r>
      <w:r>
        <w:rPr>
          <w:lang w:val="fr-FR"/>
        </w:rPr>
        <w:t>’</w:t>
      </w:r>
      <w:r w:rsidRPr="00431470">
        <w:rPr>
          <w:lang w:val="fr-FR"/>
        </w:rPr>
        <w:t>Allemagne</w:t>
      </w:r>
      <w:r w:rsidRPr="0070024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10C7C482" w14:textId="5872C334" w:rsidR="0070024B" w:rsidRPr="00431470" w:rsidRDefault="0070024B" w:rsidP="0070024B">
      <w:pPr>
        <w:pStyle w:val="HChG"/>
        <w:rPr>
          <w:lang w:val="fr-FR"/>
        </w:rPr>
      </w:pPr>
      <w:r>
        <w:rPr>
          <w:lang w:val="fr-FR"/>
        </w:rPr>
        <w:tab/>
      </w:r>
      <w:r w:rsidRPr="00431470">
        <w:rPr>
          <w:lang w:val="fr-FR"/>
        </w:rPr>
        <w:t>I.</w:t>
      </w:r>
      <w:r w:rsidRPr="00431470">
        <w:rPr>
          <w:lang w:val="fr-FR"/>
        </w:rPr>
        <w:tab/>
        <w:t>Introduction</w:t>
      </w:r>
    </w:p>
    <w:p w14:paraId="5ACA7356" w14:textId="3D5A505D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1.</w:t>
      </w:r>
      <w:r w:rsidRPr="00431470">
        <w:rPr>
          <w:lang w:val="fr-FR"/>
        </w:rPr>
        <w:tab/>
        <w:t>À sa trente-huitième session, en mars 2023, le Groupe de rédaction et des questions techniques (Groupe E&amp;T) du Sous-comité du transport des cargaisons et des conteneurs (Sous</w:t>
      </w:r>
      <w:r w:rsidR="00377D48">
        <w:rPr>
          <w:lang w:val="fr-FR"/>
        </w:rPr>
        <w:noBreakHyphen/>
      </w:r>
      <w:r w:rsidRPr="00431470">
        <w:rPr>
          <w:lang w:val="fr-FR"/>
        </w:rPr>
        <w:t xml:space="preserve">Comité CCC) a détecté une divergence entre le Code maritime international des marchandises dangereuses (Code IMDG) et le Règlement type en ce qui concerne les quantités limitées pour le </w:t>
      </w:r>
      <w:r>
        <w:rPr>
          <w:lang w:val="fr-FR"/>
        </w:rPr>
        <w:t>No ONU</w:t>
      </w:r>
      <w:r w:rsidR="00377D48">
        <w:rPr>
          <w:lang w:val="fr-FR"/>
        </w:rPr>
        <w:t> </w:t>
      </w:r>
      <w:r w:rsidRPr="00431470">
        <w:rPr>
          <w:lang w:val="fr-FR"/>
        </w:rPr>
        <w:t>2956 (MUSC-XYLÈNE) (document</w:t>
      </w:r>
      <w:r w:rsidR="00377D48">
        <w:rPr>
          <w:lang w:val="fr-FR"/>
        </w:rPr>
        <w:t> </w:t>
      </w:r>
      <w:r w:rsidRPr="00431470">
        <w:rPr>
          <w:lang w:val="fr-FR"/>
        </w:rPr>
        <w:t>CCC</w:t>
      </w:r>
      <w:r>
        <w:rPr>
          <w:lang w:val="fr-FR"/>
        </w:rPr>
        <w:t> </w:t>
      </w:r>
      <w:r w:rsidRPr="00431470">
        <w:rPr>
          <w:lang w:val="fr-FR"/>
        </w:rPr>
        <w:t xml:space="preserve">8/6/8 et </w:t>
      </w:r>
      <w:r>
        <w:rPr>
          <w:lang w:val="fr-FR"/>
        </w:rPr>
        <w:t>paragraphe </w:t>
      </w:r>
      <w:r w:rsidRPr="00431470">
        <w:rPr>
          <w:lang w:val="fr-FR"/>
        </w:rPr>
        <w:t>3.60 du rapport du Groupe E&amp;T). L</w:t>
      </w:r>
      <w:r>
        <w:rPr>
          <w:lang w:val="fr-FR"/>
        </w:rPr>
        <w:t>’</w:t>
      </w:r>
      <w:r w:rsidRPr="00431470">
        <w:rPr>
          <w:lang w:val="fr-FR"/>
        </w:rPr>
        <w:t>Organisation maritime internationale (OMI) a informé le Sous-Comité d</w:t>
      </w:r>
      <w:r>
        <w:rPr>
          <w:lang w:val="fr-FR"/>
        </w:rPr>
        <w:t>’</w:t>
      </w:r>
      <w:r w:rsidRPr="00431470">
        <w:rPr>
          <w:lang w:val="fr-FR"/>
        </w:rPr>
        <w:t>experts du transport des marchandises dangereuses (dans le document informel INF.17 de la soixante-deuxième session) du résultat de ces discussions.</w:t>
      </w:r>
    </w:p>
    <w:p w14:paraId="23B7885B" w14:textId="45B7901C" w:rsidR="0070024B" w:rsidRPr="00431470" w:rsidRDefault="0070024B" w:rsidP="0070024B">
      <w:pPr>
        <w:pStyle w:val="HChG"/>
        <w:rPr>
          <w:lang w:val="fr-FR"/>
        </w:rPr>
      </w:pPr>
      <w:r>
        <w:rPr>
          <w:bCs/>
          <w:lang w:val="fr-FR"/>
        </w:rPr>
        <w:tab/>
      </w:r>
      <w:r w:rsidRPr="00431470">
        <w:rPr>
          <w:bCs/>
          <w:lang w:val="fr-FR"/>
        </w:rPr>
        <w:t>II.</w:t>
      </w:r>
      <w:r w:rsidRPr="00431470">
        <w:rPr>
          <w:lang w:val="fr-FR"/>
        </w:rPr>
        <w:tab/>
      </w:r>
      <w:r w:rsidRPr="00431470">
        <w:rPr>
          <w:bCs/>
          <w:lang w:val="fr-FR"/>
        </w:rPr>
        <w:t>Examen</w:t>
      </w:r>
    </w:p>
    <w:p w14:paraId="52F6C3EE" w14:textId="21FECEA9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2.</w:t>
      </w:r>
      <w:r w:rsidRPr="00431470">
        <w:rPr>
          <w:lang w:val="fr-FR"/>
        </w:rPr>
        <w:tab/>
        <w:t>Dans la Liste des marchandises dangereuses du chapitre</w:t>
      </w:r>
      <w:r w:rsidR="00377D48">
        <w:rPr>
          <w:lang w:val="fr-FR"/>
        </w:rPr>
        <w:t> </w:t>
      </w:r>
      <w:r w:rsidRPr="00431470">
        <w:rPr>
          <w:lang w:val="fr-FR"/>
        </w:rPr>
        <w:t xml:space="preserve">3.2 du Règlement type, le </w:t>
      </w:r>
      <w:r>
        <w:rPr>
          <w:lang w:val="fr-FR"/>
        </w:rPr>
        <w:t>No ONU</w:t>
      </w:r>
      <w:r w:rsidR="00377D48">
        <w:rPr>
          <w:lang w:val="fr-FR"/>
        </w:rPr>
        <w:t> </w:t>
      </w:r>
      <w:r w:rsidRPr="00431470">
        <w:rPr>
          <w:lang w:val="fr-FR"/>
        </w:rPr>
        <w:t xml:space="preserve">2956 (MUSC-XYLÈNE) est affecté à la classe 4.1 et son transport relève des dispositions spéciales 132 et 133. En outre, le Règlement type autorise le transport du </w:t>
      </w:r>
      <w:r>
        <w:rPr>
          <w:lang w:val="fr-FR"/>
        </w:rPr>
        <w:t>No ONU</w:t>
      </w:r>
      <w:r w:rsidR="00377D48">
        <w:rPr>
          <w:lang w:val="fr-FR"/>
        </w:rPr>
        <w:t> </w:t>
      </w:r>
      <w:r w:rsidRPr="00431470">
        <w:rPr>
          <w:lang w:val="fr-FR"/>
        </w:rPr>
        <w:t>2956 en quantités limitées, lorsque la quantité contenue dans l</w:t>
      </w:r>
      <w:r>
        <w:rPr>
          <w:lang w:val="fr-FR"/>
        </w:rPr>
        <w:t>’</w:t>
      </w:r>
      <w:r w:rsidRPr="00431470">
        <w:rPr>
          <w:lang w:val="fr-FR"/>
        </w:rPr>
        <w:t>emballage intérieur ne dépasse pas 5</w:t>
      </w:r>
      <w:r w:rsidR="00377D48">
        <w:rPr>
          <w:lang w:val="fr-FR"/>
        </w:rPr>
        <w:t> </w:t>
      </w:r>
      <w:r w:rsidRPr="00431470">
        <w:rPr>
          <w:lang w:val="fr-FR"/>
        </w:rPr>
        <w:t>kg</w:t>
      </w:r>
      <w:r>
        <w:rPr>
          <w:lang w:val="fr-FR"/>
        </w:rPr>
        <w:t> ;</w:t>
      </w:r>
      <w:r w:rsidRPr="00431470">
        <w:rPr>
          <w:lang w:val="fr-FR"/>
        </w:rPr>
        <w:t xml:space="preserve"> toutefois, le transport en quantités exceptées n</w:t>
      </w:r>
      <w:r>
        <w:rPr>
          <w:lang w:val="fr-FR"/>
        </w:rPr>
        <w:t>’</w:t>
      </w:r>
      <w:r w:rsidRPr="00431470">
        <w:rPr>
          <w:lang w:val="fr-FR"/>
        </w:rPr>
        <w:t>est pas autorisé.</w:t>
      </w:r>
    </w:p>
    <w:p w14:paraId="5FC75621" w14:textId="4598522D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3.</w:t>
      </w:r>
      <w:r w:rsidRPr="00431470">
        <w:rPr>
          <w:lang w:val="fr-FR"/>
        </w:rPr>
        <w:tab/>
        <w:t>Actuellement, la disposition spéciale</w:t>
      </w:r>
      <w:r>
        <w:rPr>
          <w:lang w:val="fr-FR"/>
        </w:rPr>
        <w:t> </w:t>
      </w:r>
      <w:r w:rsidRPr="00431470">
        <w:rPr>
          <w:lang w:val="fr-FR"/>
        </w:rPr>
        <w:t xml:space="preserve">133 est exclusivement affectée au </w:t>
      </w:r>
      <w:r>
        <w:rPr>
          <w:lang w:val="fr-FR"/>
        </w:rPr>
        <w:t>No ONU </w:t>
      </w:r>
      <w:r w:rsidRPr="00431470">
        <w:rPr>
          <w:lang w:val="fr-FR"/>
        </w:rPr>
        <w:t>2956 dans le Règlement type, car cette matière peut avoir un comportement explosif si elle est trop confinée dans des emballages. Dans ce contexte, la disposition spéciale 133 fait référence à l</w:t>
      </w:r>
      <w:r>
        <w:rPr>
          <w:lang w:val="fr-FR"/>
        </w:rPr>
        <w:t>’</w:t>
      </w:r>
      <w:r w:rsidRPr="00431470">
        <w:rPr>
          <w:lang w:val="fr-FR"/>
        </w:rPr>
        <w:t>instruction d</w:t>
      </w:r>
      <w:r>
        <w:rPr>
          <w:lang w:val="fr-FR"/>
        </w:rPr>
        <w:t>’</w:t>
      </w:r>
      <w:r w:rsidRPr="00431470">
        <w:rPr>
          <w:lang w:val="fr-FR"/>
        </w:rPr>
        <w:t>emballage P409, car les emballages autorisés en vertu de cette instruction sont destinés pour éviter tout confinement excessif. Toutefois, l</w:t>
      </w:r>
      <w:r>
        <w:rPr>
          <w:lang w:val="fr-FR"/>
        </w:rPr>
        <w:t>’</w:t>
      </w:r>
      <w:r w:rsidRPr="00431470">
        <w:rPr>
          <w:lang w:val="fr-FR"/>
        </w:rPr>
        <w:t>instruction d</w:t>
      </w:r>
      <w:r>
        <w:rPr>
          <w:lang w:val="fr-FR"/>
        </w:rPr>
        <w:t>’</w:t>
      </w:r>
      <w:r w:rsidRPr="00431470">
        <w:rPr>
          <w:lang w:val="fr-FR"/>
        </w:rPr>
        <w:t>emballage P409 ne s</w:t>
      </w:r>
      <w:r>
        <w:rPr>
          <w:lang w:val="fr-FR"/>
        </w:rPr>
        <w:t>’</w:t>
      </w:r>
      <w:r w:rsidRPr="00431470">
        <w:rPr>
          <w:lang w:val="fr-FR"/>
        </w:rPr>
        <w:t xml:space="preserve">applique pas aux marchandises dangereuses emballées en quantités limitées, étant donné que les quantités limitées sont généralement exemptées des prescriptions relatives aux caractéristiques fonctionnelles des emballages et peuvent être </w:t>
      </w:r>
      <w:r w:rsidRPr="00431470">
        <w:rPr>
          <w:lang w:val="fr-FR"/>
        </w:rPr>
        <w:lastRenderedPageBreak/>
        <w:t xml:space="preserve">inférieures à celles autorisées par le Règlement type (voir les </w:t>
      </w:r>
      <w:proofErr w:type="spellStart"/>
      <w:r w:rsidRPr="00431470">
        <w:rPr>
          <w:lang w:val="fr-FR"/>
        </w:rPr>
        <w:t>Guiding</w:t>
      </w:r>
      <w:proofErr w:type="spellEnd"/>
      <w:r w:rsidRPr="00431470">
        <w:rPr>
          <w:lang w:val="fr-FR"/>
        </w:rPr>
        <w:t xml:space="preserve"> Principles for the </w:t>
      </w:r>
      <w:proofErr w:type="spellStart"/>
      <w:r w:rsidRPr="00431470">
        <w:rPr>
          <w:lang w:val="fr-FR"/>
        </w:rPr>
        <w:t>development</w:t>
      </w:r>
      <w:proofErr w:type="spellEnd"/>
      <w:r w:rsidRPr="00431470">
        <w:rPr>
          <w:lang w:val="fr-FR"/>
        </w:rPr>
        <w:t xml:space="preserve"> of the UN Model </w:t>
      </w:r>
      <w:proofErr w:type="spellStart"/>
      <w:r w:rsidRPr="00431470">
        <w:rPr>
          <w:lang w:val="fr-FR"/>
        </w:rPr>
        <w:t>Regulations</w:t>
      </w:r>
      <w:proofErr w:type="spellEnd"/>
      <w:r w:rsidRPr="00431470">
        <w:rPr>
          <w:lang w:val="fr-FR"/>
        </w:rPr>
        <w:t xml:space="preserve"> (Principes directeurs pour l</w:t>
      </w:r>
      <w:r>
        <w:rPr>
          <w:lang w:val="fr-FR"/>
        </w:rPr>
        <w:t>’</w:t>
      </w:r>
      <w:r w:rsidRPr="00431470">
        <w:rPr>
          <w:lang w:val="fr-FR"/>
        </w:rPr>
        <w:t>élaboration du Règlement type de l</w:t>
      </w:r>
      <w:r>
        <w:rPr>
          <w:lang w:val="fr-FR"/>
        </w:rPr>
        <w:t>’</w:t>
      </w:r>
      <w:r w:rsidRPr="00431470">
        <w:rPr>
          <w:lang w:val="fr-FR"/>
        </w:rPr>
        <w:t>ONU)</w:t>
      </w:r>
      <w:r w:rsidRPr="008D2AC6">
        <w:rPr>
          <w:rStyle w:val="Appelnotedebasdep"/>
        </w:rPr>
        <w:footnoteReference w:id="3"/>
      </w:r>
      <w:r w:rsidRPr="00431470">
        <w:rPr>
          <w:lang w:val="fr-FR"/>
        </w:rPr>
        <w:t>, chapitre 3.4). Étant d</w:t>
      </w:r>
      <w:r>
        <w:rPr>
          <w:lang w:val="fr-FR"/>
        </w:rPr>
        <w:t>’</w:t>
      </w:r>
      <w:r w:rsidRPr="00431470">
        <w:rPr>
          <w:lang w:val="fr-FR"/>
        </w:rPr>
        <w:t>avis que l</w:t>
      </w:r>
      <w:r>
        <w:rPr>
          <w:lang w:val="fr-FR"/>
        </w:rPr>
        <w:t>’</w:t>
      </w:r>
      <w:r w:rsidRPr="00431470">
        <w:rPr>
          <w:lang w:val="fr-FR"/>
        </w:rPr>
        <w:t>application de l</w:t>
      </w:r>
      <w:r>
        <w:rPr>
          <w:lang w:val="fr-FR"/>
        </w:rPr>
        <w:t>’</w:t>
      </w:r>
      <w:r w:rsidRPr="00431470">
        <w:rPr>
          <w:lang w:val="fr-FR"/>
        </w:rPr>
        <w:t>instruction d</w:t>
      </w:r>
      <w:r>
        <w:rPr>
          <w:lang w:val="fr-FR"/>
        </w:rPr>
        <w:t>’</w:t>
      </w:r>
      <w:r w:rsidRPr="00431470">
        <w:rPr>
          <w:lang w:val="fr-FR"/>
        </w:rPr>
        <w:t xml:space="preserve">emballage P409 est nécessaire pour assurer la sécurité du transport du </w:t>
      </w:r>
      <w:r>
        <w:rPr>
          <w:lang w:val="fr-FR"/>
        </w:rPr>
        <w:t>No ONU </w:t>
      </w:r>
      <w:r w:rsidRPr="00431470">
        <w:rPr>
          <w:lang w:val="fr-FR"/>
        </w:rPr>
        <w:t>2956 en évitant tout confinement excessif, puisque cette matière peut avoir un comportement explosif, l</w:t>
      </w:r>
      <w:r>
        <w:rPr>
          <w:lang w:val="fr-FR"/>
        </w:rPr>
        <w:t>’</w:t>
      </w:r>
      <w:r w:rsidRPr="00431470">
        <w:rPr>
          <w:lang w:val="fr-FR"/>
        </w:rPr>
        <w:t xml:space="preserve">Allemagne estime que le transport du </w:t>
      </w:r>
      <w:r>
        <w:rPr>
          <w:lang w:val="fr-FR"/>
        </w:rPr>
        <w:t>No ONU </w:t>
      </w:r>
      <w:r w:rsidRPr="00431470">
        <w:rPr>
          <w:lang w:val="fr-FR"/>
        </w:rPr>
        <w:t>2956 en quantités limitées ne devrait pas être autorisé.</w:t>
      </w:r>
    </w:p>
    <w:p w14:paraId="7D401391" w14:textId="2BDDB48D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4.</w:t>
      </w:r>
      <w:r w:rsidRPr="00431470">
        <w:rPr>
          <w:lang w:val="fr-FR"/>
        </w:rPr>
        <w:tab/>
        <w:t>Conformément aux Principes directeurs, les matières de la classe</w:t>
      </w:r>
      <w:r>
        <w:rPr>
          <w:lang w:val="fr-FR"/>
        </w:rPr>
        <w:t> </w:t>
      </w:r>
      <w:r w:rsidRPr="00431470">
        <w:rPr>
          <w:lang w:val="fr-FR"/>
        </w:rPr>
        <w:t>1 et les matières explosibles désensibilisées ne peuvent pas être transportées en quantités limitées ou exceptées. Bien que le musc-xylène ne soit que provisoirement accepté dans la classe</w:t>
      </w:r>
      <w:r w:rsidR="00377D48">
        <w:rPr>
          <w:lang w:val="fr-FR"/>
        </w:rPr>
        <w:t> </w:t>
      </w:r>
      <w:r w:rsidRPr="00431470">
        <w:rPr>
          <w:lang w:val="fr-FR"/>
        </w:rPr>
        <w:t>1 selon les résultats des séries d</w:t>
      </w:r>
      <w:r>
        <w:rPr>
          <w:lang w:val="fr-FR"/>
        </w:rPr>
        <w:t>’</w:t>
      </w:r>
      <w:r w:rsidRPr="00431470">
        <w:rPr>
          <w:lang w:val="fr-FR"/>
        </w:rPr>
        <w:t>épreuves</w:t>
      </w:r>
      <w:r w:rsidR="00B86091">
        <w:rPr>
          <w:lang w:val="fr-FR"/>
        </w:rPr>
        <w:t xml:space="preserve"> </w:t>
      </w:r>
      <w:r w:rsidRPr="00431470">
        <w:rPr>
          <w:lang w:val="fr-FR"/>
        </w:rPr>
        <w:t>1 et 2, puis exempté de la classe 1 par les résultats de la série d</w:t>
      </w:r>
      <w:r>
        <w:rPr>
          <w:lang w:val="fr-FR"/>
        </w:rPr>
        <w:t>’</w:t>
      </w:r>
      <w:r w:rsidRPr="00431470">
        <w:rPr>
          <w:lang w:val="fr-FR"/>
        </w:rPr>
        <w:t>épreuve</w:t>
      </w:r>
      <w:r w:rsidR="00377D48">
        <w:rPr>
          <w:lang w:val="fr-FR"/>
        </w:rPr>
        <w:t> </w:t>
      </w:r>
      <w:r w:rsidRPr="00431470">
        <w:rPr>
          <w:lang w:val="fr-FR"/>
        </w:rPr>
        <w:t>6 (2.4.2.4.2), il possède certaines propriétés explosives. En outre, bien qu</w:t>
      </w:r>
      <w:r>
        <w:rPr>
          <w:lang w:val="fr-FR"/>
        </w:rPr>
        <w:t>’</w:t>
      </w:r>
      <w:r w:rsidRPr="00431470">
        <w:rPr>
          <w:lang w:val="fr-FR"/>
        </w:rPr>
        <w:t>il ne s</w:t>
      </w:r>
      <w:r>
        <w:rPr>
          <w:lang w:val="fr-FR"/>
        </w:rPr>
        <w:t>’</w:t>
      </w:r>
      <w:r w:rsidRPr="00431470">
        <w:rPr>
          <w:lang w:val="fr-FR"/>
        </w:rPr>
        <w:t>agisse pas d</w:t>
      </w:r>
      <w:r>
        <w:rPr>
          <w:lang w:val="fr-FR"/>
        </w:rPr>
        <w:t>’</w:t>
      </w:r>
      <w:r w:rsidRPr="00431470">
        <w:rPr>
          <w:lang w:val="fr-FR"/>
        </w:rPr>
        <w:t>une matière explosible désensibilisée, le musc-xylène est classé dans la division</w:t>
      </w:r>
      <w:r w:rsidR="00377D48">
        <w:rPr>
          <w:lang w:val="fr-FR"/>
        </w:rPr>
        <w:t> </w:t>
      </w:r>
      <w:r w:rsidRPr="00431470">
        <w:rPr>
          <w:lang w:val="fr-FR"/>
        </w:rPr>
        <w:t>4.1 parce qu</w:t>
      </w:r>
      <w:r>
        <w:rPr>
          <w:lang w:val="fr-FR"/>
        </w:rPr>
        <w:t>’</w:t>
      </w:r>
      <w:r w:rsidRPr="00431470">
        <w:rPr>
          <w:lang w:val="fr-FR"/>
        </w:rPr>
        <w:t>il présente des caractéristiques similaires. Compte tenu de ce qui précède, le musc-xylène ne devrait pas être transporté en quantités limitées.</w:t>
      </w:r>
    </w:p>
    <w:p w14:paraId="1E3B8AE1" w14:textId="6F68C7A2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5.</w:t>
      </w:r>
      <w:r w:rsidRPr="00431470">
        <w:rPr>
          <w:lang w:val="fr-FR"/>
        </w:rPr>
        <w:tab/>
        <w:t>La rubrique ONU</w:t>
      </w:r>
      <w:r w:rsidR="00377D48">
        <w:rPr>
          <w:lang w:val="fr-FR"/>
        </w:rPr>
        <w:t> </w:t>
      </w:r>
      <w:r w:rsidRPr="00431470">
        <w:rPr>
          <w:lang w:val="fr-FR"/>
        </w:rPr>
        <w:t>2956 du Code IMDG semble tenir compte de ces considérations. Le Règlement type et le Code IMDG n</w:t>
      </w:r>
      <w:r>
        <w:rPr>
          <w:lang w:val="fr-FR"/>
        </w:rPr>
        <w:t>’</w:t>
      </w:r>
      <w:r w:rsidRPr="00431470">
        <w:rPr>
          <w:lang w:val="fr-FR"/>
        </w:rPr>
        <w:t>autorisent ni l</w:t>
      </w:r>
      <w:r>
        <w:rPr>
          <w:lang w:val="fr-FR"/>
        </w:rPr>
        <w:t>’</w:t>
      </w:r>
      <w:r w:rsidRPr="00431470">
        <w:rPr>
          <w:lang w:val="fr-FR"/>
        </w:rPr>
        <w:t>un ni l</w:t>
      </w:r>
      <w:r>
        <w:rPr>
          <w:lang w:val="fr-FR"/>
        </w:rPr>
        <w:t>’</w:t>
      </w:r>
      <w:r w:rsidRPr="00431470">
        <w:rPr>
          <w:lang w:val="fr-FR"/>
        </w:rPr>
        <w:t>autre le transport de cette matière en quantités exceptées, mais le Règlement type, contrairement au Code IMDG, autorise son transport en quantités limitées. Le fait d</w:t>
      </w:r>
      <w:r>
        <w:rPr>
          <w:lang w:val="fr-FR"/>
        </w:rPr>
        <w:t>’</w:t>
      </w:r>
      <w:r w:rsidRPr="00431470">
        <w:rPr>
          <w:lang w:val="fr-FR"/>
        </w:rPr>
        <w:t>autoriser le transport en quantités limitées tout en interdisant le transport dans le cadre plus strict des quantités exceptées mérite au minimum d</w:t>
      </w:r>
      <w:r>
        <w:rPr>
          <w:lang w:val="fr-FR"/>
        </w:rPr>
        <w:t>’</w:t>
      </w:r>
      <w:r w:rsidRPr="00431470">
        <w:rPr>
          <w:lang w:val="fr-FR"/>
        </w:rPr>
        <w:t>être noté, car cela déroge aux principes généraux qui régissent les quantités limitées et exceptées dans le Règlement type. C</w:t>
      </w:r>
      <w:r>
        <w:rPr>
          <w:lang w:val="fr-FR"/>
        </w:rPr>
        <w:t>’</w:t>
      </w:r>
      <w:r w:rsidRPr="00431470">
        <w:rPr>
          <w:lang w:val="fr-FR"/>
        </w:rPr>
        <w:t>est pourquoi l</w:t>
      </w:r>
      <w:r>
        <w:rPr>
          <w:lang w:val="fr-FR"/>
        </w:rPr>
        <w:t>’</w:t>
      </w:r>
      <w:r w:rsidRPr="00431470">
        <w:rPr>
          <w:lang w:val="fr-FR"/>
        </w:rPr>
        <w:t>Allemagne propose de supprimer la mention des quantités limitées et d</w:t>
      </w:r>
      <w:r>
        <w:rPr>
          <w:lang w:val="fr-FR"/>
        </w:rPr>
        <w:t>’</w:t>
      </w:r>
      <w:r w:rsidRPr="00431470">
        <w:rPr>
          <w:lang w:val="fr-FR"/>
        </w:rPr>
        <w:t>aligner le Règlement type sur le Code IMDG.</w:t>
      </w:r>
    </w:p>
    <w:p w14:paraId="6D4B8E1C" w14:textId="19EDF7FC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6.</w:t>
      </w:r>
      <w:r w:rsidRPr="00431470">
        <w:rPr>
          <w:lang w:val="fr-FR"/>
        </w:rPr>
        <w:tab/>
        <w:t>La proposition ci-après concourt à la réalisation de l</w:t>
      </w:r>
      <w:r>
        <w:rPr>
          <w:lang w:val="fr-FR"/>
        </w:rPr>
        <w:t>’</w:t>
      </w:r>
      <w:r w:rsidRPr="00431470">
        <w:rPr>
          <w:lang w:val="fr-FR"/>
        </w:rPr>
        <w:t>objectif</w:t>
      </w:r>
      <w:r w:rsidR="002651E4">
        <w:rPr>
          <w:lang w:val="fr-FR"/>
        </w:rPr>
        <w:t> </w:t>
      </w:r>
      <w:r w:rsidRPr="00431470">
        <w:rPr>
          <w:lang w:val="fr-FR"/>
        </w:rPr>
        <w:t>3 (Bonne santé et bien</w:t>
      </w:r>
      <w:r w:rsidR="002651E4">
        <w:rPr>
          <w:lang w:val="fr-FR"/>
        </w:rPr>
        <w:noBreakHyphen/>
      </w:r>
      <w:r w:rsidRPr="00431470">
        <w:rPr>
          <w:lang w:val="fr-FR"/>
        </w:rPr>
        <w:t>être) du Programme de développement durable à l</w:t>
      </w:r>
      <w:r>
        <w:rPr>
          <w:lang w:val="fr-FR"/>
        </w:rPr>
        <w:t>’</w:t>
      </w:r>
      <w:r w:rsidRPr="00431470">
        <w:rPr>
          <w:lang w:val="fr-FR"/>
        </w:rPr>
        <w:t xml:space="preserve">horizon 2030 en favorisant le transport en toute sécurité du </w:t>
      </w:r>
      <w:r>
        <w:rPr>
          <w:lang w:val="fr-FR"/>
        </w:rPr>
        <w:t>No ONU </w:t>
      </w:r>
      <w:r w:rsidRPr="00431470">
        <w:rPr>
          <w:lang w:val="fr-FR"/>
        </w:rPr>
        <w:t>2956, et à celle de l</w:t>
      </w:r>
      <w:r>
        <w:rPr>
          <w:lang w:val="fr-FR"/>
        </w:rPr>
        <w:t>’</w:t>
      </w:r>
      <w:r w:rsidRPr="00431470">
        <w:rPr>
          <w:lang w:val="fr-FR"/>
        </w:rPr>
        <w:t>objectif</w:t>
      </w:r>
      <w:r w:rsidR="002651E4">
        <w:rPr>
          <w:lang w:val="fr-FR"/>
        </w:rPr>
        <w:t> </w:t>
      </w:r>
      <w:r w:rsidRPr="00431470">
        <w:rPr>
          <w:lang w:val="fr-FR"/>
        </w:rPr>
        <w:t>16 (Paix, justice et institutions efficaces) en promouvant la cohérence de la réglementation relative à la sécurité du transport des marchandises dangereuses.</w:t>
      </w:r>
    </w:p>
    <w:p w14:paraId="0697C71B" w14:textId="1F2ED96B" w:rsidR="0070024B" w:rsidRPr="00431470" w:rsidRDefault="0070024B" w:rsidP="0070024B">
      <w:pPr>
        <w:pStyle w:val="HChG"/>
        <w:rPr>
          <w:lang w:val="fr-FR"/>
        </w:rPr>
      </w:pPr>
      <w:r>
        <w:rPr>
          <w:lang w:val="fr-FR"/>
        </w:rPr>
        <w:tab/>
      </w:r>
      <w:r w:rsidRPr="00431470">
        <w:rPr>
          <w:lang w:val="fr-FR"/>
        </w:rPr>
        <w:t>III.</w:t>
      </w:r>
      <w:r w:rsidRPr="00431470">
        <w:rPr>
          <w:lang w:val="fr-FR"/>
        </w:rPr>
        <w:tab/>
        <w:t>Proposition</w:t>
      </w:r>
    </w:p>
    <w:p w14:paraId="1EE877DA" w14:textId="6357A7C0" w:rsidR="0070024B" w:rsidRPr="00431470" w:rsidRDefault="0070024B" w:rsidP="0070024B">
      <w:pPr>
        <w:pStyle w:val="SingleTxtG"/>
        <w:rPr>
          <w:lang w:val="fr-FR"/>
        </w:rPr>
      </w:pPr>
      <w:r w:rsidRPr="00431470">
        <w:rPr>
          <w:lang w:val="fr-FR"/>
        </w:rPr>
        <w:t>7.</w:t>
      </w:r>
      <w:r w:rsidRPr="00431470">
        <w:rPr>
          <w:lang w:val="fr-FR"/>
        </w:rPr>
        <w:tab/>
        <w:t xml:space="preserve">Modifier comme la rubrique ONU 2956 </w:t>
      </w:r>
      <w:r w:rsidRPr="00431470">
        <w:rPr>
          <w:i/>
          <w:iCs/>
          <w:lang w:val="fr-FR"/>
        </w:rPr>
        <w:t xml:space="preserve">tert-BUTYL-5 TRINITRO-2,4,6 m-XYLÈNE (MUSC-XYLÈNE) </w:t>
      </w:r>
      <w:r w:rsidRPr="00431470">
        <w:rPr>
          <w:lang w:val="fr-FR"/>
        </w:rPr>
        <w:t>dans la Liste des marchandises dangereuses du chapitre 3.2 (les ajouts figurent en caractères soulignés, les suppressions en caractères biffés)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441"/>
        <w:gridCol w:w="771"/>
        <w:gridCol w:w="742"/>
        <w:gridCol w:w="811"/>
        <w:gridCol w:w="794"/>
        <w:gridCol w:w="393"/>
        <w:gridCol w:w="445"/>
        <w:gridCol w:w="890"/>
        <w:gridCol w:w="889"/>
        <w:gridCol w:w="803"/>
        <w:gridCol w:w="977"/>
      </w:tblGrid>
      <w:tr w:rsidR="0070024B" w:rsidRPr="008D2AC6" w14:paraId="7144E2AD" w14:textId="77777777" w:rsidTr="002651E4">
        <w:trPr>
          <w:trHeight w:val="33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A5CF" w14:textId="22880538" w:rsidR="0070024B" w:rsidRPr="0070024B" w:rsidRDefault="0070024B" w:rsidP="002651E4">
            <w:pPr>
              <w:spacing w:after="120"/>
              <w:jc w:val="center"/>
              <w:rPr>
                <w:spacing w:val="-3"/>
                <w:sz w:val="16"/>
                <w:szCs w:val="16"/>
                <w:lang w:val="fr-FR"/>
              </w:rPr>
            </w:pPr>
            <w:r w:rsidRPr="0070024B">
              <w:rPr>
                <w:spacing w:val="-3"/>
                <w:sz w:val="16"/>
                <w:szCs w:val="16"/>
                <w:lang w:val="fr-FR"/>
              </w:rPr>
              <w:t>No ONU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834" w14:textId="77777777" w:rsidR="0070024B" w:rsidRPr="0070024B" w:rsidRDefault="0070024B" w:rsidP="002651E4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3335" w14:textId="77777777" w:rsidR="0070024B" w:rsidRPr="0070024B" w:rsidRDefault="0070024B" w:rsidP="002651E4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CCF" w14:textId="17EB33F5" w:rsidR="0070024B" w:rsidRPr="0070024B" w:rsidRDefault="0070024B" w:rsidP="002651E4">
            <w:pPr>
              <w:tabs>
                <w:tab w:val="left" w:pos="0"/>
              </w:tabs>
              <w:spacing w:after="120"/>
              <w:jc w:val="center"/>
              <w:rPr>
                <w:spacing w:val="-3"/>
                <w:sz w:val="16"/>
                <w:szCs w:val="16"/>
                <w:lang w:val="fr-FR"/>
              </w:rPr>
            </w:pPr>
            <w:r w:rsidRPr="0070024B">
              <w:rPr>
                <w:spacing w:val="-3"/>
                <w:sz w:val="16"/>
                <w:szCs w:val="16"/>
                <w:lang w:val="fr-FR"/>
              </w:rPr>
              <w:t>Danger subsidiaire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41E6" w14:textId="77777777" w:rsidR="0070024B" w:rsidRPr="0070024B" w:rsidRDefault="0070024B" w:rsidP="002651E4">
            <w:pPr>
              <w:spacing w:after="120"/>
              <w:jc w:val="center"/>
              <w:rPr>
                <w:spacing w:val="-2"/>
                <w:sz w:val="16"/>
                <w:szCs w:val="16"/>
                <w:lang w:val="fr-FR"/>
              </w:rPr>
            </w:pPr>
            <w:r w:rsidRPr="0070024B">
              <w:rPr>
                <w:spacing w:val="-2"/>
                <w:sz w:val="16"/>
                <w:szCs w:val="16"/>
                <w:lang w:val="fr-FR"/>
              </w:rPr>
              <w:t>Groupe d’emballage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015" w14:textId="77777777" w:rsidR="0070024B" w:rsidRPr="0070024B" w:rsidRDefault="0070024B" w:rsidP="002651E4">
            <w:pPr>
              <w:spacing w:after="120"/>
              <w:jc w:val="center"/>
              <w:rPr>
                <w:spacing w:val="-3"/>
                <w:sz w:val="16"/>
                <w:szCs w:val="16"/>
                <w:lang w:val="fr-FR"/>
              </w:rPr>
            </w:pPr>
            <w:r w:rsidRPr="0070024B">
              <w:rPr>
                <w:spacing w:val="-3"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311" w14:textId="741F0D49" w:rsidR="0070024B" w:rsidRPr="0070024B" w:rsidRDefault="0070024B" w:rsidP="002651E4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 xml:space="preserve">Quantités limitées </w:t>
            </w:r>
            <w:r>
              <w:rPr>
                <w:sz w:val="16"/>
                <w:szCs w:val="16"/>
                <w:lang w:val="fr-FR"/>
              </w:rPr>
              <w:br/>
            </w:r>
            <w:r w:rsidRPr="0070024B">
              <w:rPr>
                <w:sz w:val="16"/>
                <w:szCs w:val="16"/>
                <w:lang w:val="fr-FR"/>
              </w:rPr>
              <w:t>et quantités exceptées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A0E" w14:textId="77777777" w:rsidR="0070024B" w:rsidRPr="0070024B" w:rsidRDefault="0070024B" w:rsidP="002651E4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Emballages et GRV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4D7" w14:textId="10546033" w:rsidR="0070024B" w:rsidRPr="0070024B" w:rsidRDefault="0070024B" w:rsidP="002651E4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 xml:space="preserve">Citernes mobiles </w:t>
            </w:r>
            <w:r>
              <w:rPr>
                <w:sz w:val="16"/>
                <w:szCs w:val="16"/>
                <w:lang w:val="fr-FR"/>
              </w:rPr>
              <w:br/>
            </w:r>
            <w:r w:rsidRPr="0070024B">
              <w:rPr>
                <w:sz w:val="16"/>
                <w:szCs w:val="16"/>
                <w:lang w:val="fr-FR"/>
              </w:rPr>
              <w:t>et conteneurs pour vrac</w:t>
            </w:r>
          </w:p>
        </w:tc>
      </w:tr>
      <w:tr w:rsidR="0070024B" w:rsidRPr="00431470" w14:paraId="2A9782A5" w14:textId="77777777" w:rsidTr="002651E4">
        <w:trPr>
          <w:trHeight w:val="33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E960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02AF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C253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C053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DF49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0A8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259F" w14:textId="77777777" w:rsidR="0070024B" w:rsidRPr="0070024B" w:rsidRDefault="0070024B" w:rsidP="002E3B1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4A0F" w14:textId="77777777" w:rsidR="0070024B" w:rsidRPr="0070024B" w:rsidRDefault="0070024B" w:rsidP="002651E4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Instructions d’emballage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00AF" w14:textId="77777777" w:rsidR="0070024B" w:rsidRPr="0070024B" w:rsidRDefault="0070024B" w:rsidP="002E3B1F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0E3E" w14:textId="77777777" w:rsidR="0070024B" w:rsidRPr="0070024B" w:rsidRDefault="0070024B" w:rsidP="002E3B1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Instructions de transport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41A" w14:textId="77777777" w:rsidR="0070024B" w:rsidRPr="0070024B" w:rsidRDefault="0070024B" w:rsidP="002E3B1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 w:rsidRPr="0070024B">
              <w:rPr>
                <w:sz w:val="16"/>
                <w:szCs w:val="16"/>
                <w:lang w:val="fr-FR"/>
              </w:rPr>
              <w:t>Dispositions spéciales</w:t>
            </w:r>
          </w:p>
        </w:tc>
      </w:tr>
      <w:tr w:rsidR="0070024B" w:rsidRPr="002651E4" w14:paraId="4AA1B287" w14:textId="77777777" w:rsidTr="002651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EAF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C1C6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D99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(3)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42F1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DF68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A0B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A2A2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(7a)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1E4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(7b)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CBC6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4179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90EE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95C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6"/>
                <w:szCs w:val="16"/>
                <w:lang w:val="fr-FR"/>
              </w:rPr>
            </w:pPr>
            <w:r w:rsidRPr="002651E4">
              <w:rPr>
                <w:sz w:val="16"/>
                <w:szCs w:val="16"/>
                <w:lang w:val="fr-FR"/>
              </w:rPr>
              <w:t>(11)</w:t>
            </w:r>
          </w:p>
        </w:tc>
      </w:tr>
      <w:tr w:rsidR="0070024B" w:rsidRPr="00431470" w14:paraId="529BE350" w14:textId="77777777" w:rsidTr="002651E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24B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2956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CB81" w14:textId="12F86DDA" w:rsidR="0070024B" w:rsidRPr="002651E4" w:rsidRDefault="0070024B" w:rsidP="002E3B1F">
            <w:pPr>
              <w:spacing w:after="120"/>
              <w:ind w:right="19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tert-BUTYL-5 TRINITRO-2,4,6</w:t>
            </w:r>
            <w:r w:rsidR="002651E4">
              <w:rPr>
                <w:sz w:val="18"/>
                <w:szCs w:val="18"/>
                <w:lang w:val="fr-FR"/>
              </w:rPr>
              <w:t> </w:t>
            </w:r>
            <w:r w:rsidRPr="002651E4">
              <w:rPr>
                <w:sz w:val="18"/>
                <w:szCs w:val="18"/>
                <w:lang w:val="fr-FR"/>
              </w:rPr>
              <w:t>m-XYLÈNE (MUSC-XYLÈNE)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C8B0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4.1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3F4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BD37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BF2" w14:textId="77777777" w:rsidR="0070024B" w:rsidRPr="002651E4" w:rsidRDefault="0070024B" w:rsidP="002E3B1F">
            <w:pPr>
              <w:spacing w:after="120"/>
              <w:ind w:right="17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132</w:t>
            </w:r>
          </w:p>
          <w:p w14:paraId="6403325D" w14:textId="77777777" w:rsidR="0070024B" w:rsidRPr="002651E4" w:rsidRDefault="0070024B" w:rsidP="002E3B1F">
            <w:pPr>
              <w:spacing w:after="120"/>
              <w:ind w:right="17"/>
              <w:contextualSpacing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133</w:t>
            </w:r>
          </w:p>
          <w:p w14:paraId="69B018F0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9265" w14:textId="77777777" w:rsidR="0070024B" w:rsidRPr="002651E4" w:rsidRDefault="0070024B" w:rsidP="002E3B1F">
            <w:pPr>
              <w:spacing w:after="120"/>
              <w:ind w:right="17"/>
              <w:contextualSpacing/>
              <w:jc w:val="center"/>
              <w:rPr>
                <w:strike/>
                <w:sz w:val="18"/>
                <w:szCs w:val="18"/>
                <w:lang w:val="fr-FR"/>
              </w:rPr>
            </w:pPr>
            <w:r w:rsidRPr="002651E4">
              <w:rPr>
                <w:strike/>
                <w:sz w:val="18"/>
                <w:szCs w:val="18"/>
                <w:lang w:val="fr-FR"/>
              </w:rPr>
              <w:t>5 kg</w:t>
            </w:r>
          </w:p>
          <w:p w14:paraId="2131F30D" w14:textId="77777777" w:rsidR="0070024B" w:rsidRPr="002651E4" w:rsidRDefault="0070024B" w:rsidP="002E3B1F">
            <w:pPr>
              <w:spacing w:after="120"/>
              <w:ind w:right="17"/>
              <w:contextualSpacing/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2651E4">
              <w:rPr>
                <w:sz w:val="18"/>
                <w:szCs w:val="18"/>
                <w:u w:val="single"/>
                <w:lang w:val="fr-FR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02B5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E0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A15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lang w:val="fr-FR"/>
              </w:rPr>
            </w:pPr>
            <w:r w:rsidRPr="002651E4">
              <w:rPr>
                <w:sz w:val="18"/>
                <w:szCs w:val="18"/>
                <w:lang w:val="fr-FR"/>
              </w:rPr>
              <w:t>P409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789" w14:textId="77777777" w:rsidR="0070024B" w:rsidRPr="002651E4" w:rsidRDefault="0070024B" w:rsidP="002E3B1F">
            <w:pPr>
              <w:spacing w:after="120"/>
              <w:ind w:right="19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FCA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D50" w14:textId="77777777" w:rsidR="0070024B" w:rsidRPr="002651E4" w:rsidRDefault="0070024B" w:rsidP="002E3B1F">
            <w:pPr>
              <w:spacing w:after="120"/>
              <w:ind w:right="19"/>
              <w:jc w:val="center"/>
              <w:rPr>
                <w:sz w:val="18"/>
                <w:szCs w:val="18"/>
                <w:u w:val="single"/>
                <w:lang w:val="fr-FR"/>
              </w:rPr>
            </w:pPr>
          </w:p>
        </w:tc>
      </w:tr>
    </w:tbl>
    <w:p w14:paraId="7484F69C" w14:textId="77777777" w:rsidR="0070024B" w:rsidRPr="00431470" w:rsidRDefault="0070024B" w:rsidP="0070024B">
      <w:pPr>
        <w:rPr>
          <w:lang w:val="fr-FR"/>
        </w:rPr>
      </w:pPr>
      <w:r w:rsidRPr="00431470">
        <w:rPr>
          <w:lang w:val="fr-FR"/>
        </w:rPr>
        <w:br w:type="page"/>
      </w:r>
    </w:p>
    <w:p w14:paraId="2BF5C10C" w14:textId="77777777" w:rsidR="0070024B" w:rsidRPr="00431470" w:rsidRDefault="0070024B" w:rsidP="003C7EED">
      <w:pPr>
        <w:pStyle w:val="HChG"/>
        <w:spacing w:before="240"/>
        <w:rPr>
          <w:lang w:val="fr-FR"/>
        </w:rPr>
      </w:pPr>
      <w:r w:rsidRPr="00431470">
        <w:rPr>
          <w:lang w:val="fr-FR"/>
        </w:rPr>
        <w:lastRenderedPageBreak/>
        <w:t>Annexe</w:t>
      </w:r>
    </w:p>
    <w:p w14:paraId="0DFBC54D" w14:textId="664DAE11" w:rsidR="0070024B" w:rsidRPr="00431470" w:rsidRDefault="0070024B" w:rsidP="00453625">
      <w:pPr>
        <w:pStyle w:val="HChG"/>
        <w:spacing w:before="240"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  <w:t>Formule de renseignements à communiquer à l</w:t>
      </w:r>
      <w:r>
        <w:rPr>
          <w:lang w:val="fr-FR"/>
        </w:rPr>
        <w:t>’</w:t>
      </w:r>
      <w:r w:rsidRPr="00431470">
        <w:rPr>
          <w:lang w:val="fr-FR"/>
        </w:rPr>
        <w:t xml:space="preserve">ONU </w:t>
      </w:r>
      <w:r>
        <w:rPr>
          <w:lang w:val="fr-FR"/>
        </w:rPr>
        <w:br/>
      </w:r>
      <w:r w:rsidRPr="00431470">
        <w:rPr>
          <w:lang w:val="fr-FR"/>
        </w:rPr>
        <w:t>en vue du classement ou du reclassement d</w:t>
      </w:r>
      <w:r>
        <w:rPr>
          <w:lang w:val="fr-FR"/>
        </w:rPr>
        <w:t>’</w:t>
      </w:r>
      <w:r w:rsidRPr="00431470">
        <w:rPr>
          <w:lang w:val="fr-FR"/>
        </w:rPr>
        <w:t>une matière</w:t>
      </w:r>
    </w:p>
    <w:p w14:paraId="0ECCC995" w14:textId="4D1BA874" w:rsidR="0070024B" w:rsidRDefault="0070024B" w:rsidP="00B86091">
      <w:pPr>
        <w:pStyle w:val="SingleTxtG"/>
        <w:spacing w:after="240"/>
        <w:contextualSpacing/>
        <w:rPr>
          <w:lang w:val="fr-FR"/>
        </w:rPr>
      </w:pPr>
      <w:r w:rsidRPr="00431470">
        <w:rPr>
          <w:lang w:val="fr-FR"/>
        </w:rPr>
        <w:t>Soumise par l</w:t>
      </w:r>
      <w:r>
        <w:rPr>
          <w:lang w:val="fr-FR"/>
        </w:rPr>
        <w:t>’</w:t>
      </w:r>
      <w:r w:rsidRPr="00431470">
        <w:rPr>
          <w:lang w:val="fr-FR"/>
        </w:rPr>
        <w:t>Allemagne</w:t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  <w:t>Date 20.03.2023</w:t>
      </w:r>
    </w:p>
    <w:p w14:paraId="16981358" w14:textId="77777777" w:rsidR="00B86091" w:rsidRDefault="00B86091" w:rsidP="00B86091">
      <w:pPr>
        <w:pStyle w:val="SingleTxtG"/>
        <w:spacing w:after="240"/>
        <w:contextualSpacing/>
        <w:rPr>
          <w:lang w:val="fr-FR"/>
        </w:rPr>
      </w:pPr>
    </w:p>
    <w:p w14:paraId="615E0BDB" w14:textId="400DB444" w:rsidR="0070024B" w:rsidRPr="00431470" w:rsidRDefault="0070024B" w:rsidP="00B86091">
      <w:pPr>
        <w:pStyle w:val="SingleTxtG"/>
        <w:spacing w:before="240"/>
        <w:rPr>
          <w:lang w:val="fr-FR"/>
        </w:rPr>
      </w:pPr>
      <w:r w:rsidRPr="00431470">
        <w:rPr>
          <w:lang w:val="fr-FR"/>
        </w:rPr>
        <w:t>Fournir tous les renseignements pertinents, y</w:t>
      </w:r>
      <w:r w:rsidR="002651E4">
        <w:rPr>
          <w:lang w:val="fr-FR"/>
        </w:rPr>
        <w:t> </w:t>
      </w:r>
      <w:r w:rsidRPr="00431470">
        <w:rPr>
          <w:lang w:val="fr-FR"/>
        </w:rPr>
        <w:t>compris les sources des principales données relatives au classement. Les données doivent se rapporter au produit tel qu</w:t>
      </w:r>
      <w:r>
        <w:rPr>
          <w:lang w:val="fr-FR"/>
        </w:rPr>
        <w:t>’</w:t>
      </w:r>
      <w:r w:rsidRPr="00431470">
        <w:rPr>
          <w:lang w:val="fr-FR"/>
        </w:rPr>
        <w:t>il est présenté au transport. Indiquer les méthodes d</w:t>
      </w:r>
      <w:r>
        <w:rPr>
          <w:lang w:val="fr-FR"/>
        </w:rPr>
        <w:t>’</w:t>
      </w:r>
      <w:r w:rsidRPr="00431470">
        <w:rPr>
          <w:lang w:val="fr-FR"/>
        </w:rPr>
        <w:t>essai. Répondre à toutes les questions</w:t>
      </w:r>
      <w:r w:rsidR="002651E4">
        <w:rPr>
          <w:lang w:val="fr-FR"/>
        </w:rPr>
        <w:t> </w:t>
      </w:r>
      <w:r>
        <w:rPr>
          <w:lang w:val="fr-FR"/>
        </w:rPr>
        <w:t>−</w:t>
      </w:r>
      <w:r w:rsidR="002651E4">
        <w:rPr>
          <w:lang w:val="fr-FR"/>
        </w:rPr>
        <w:t> </w:t>
      </w:r>
      <w:r w:rsidRPr="00431470">
        <w:rPr>
          <w:lang w:val="fr-FR"/>
        </w:rPr>
        <w:t xml:space="preserve">le cas échéant, répondre </w:t>
      </w:r>
      <w:r>
        <w:rPr>
          <w:lang w:val="fr-FR"/>
        </w:rPr>
        <w:t>« </w:t>
      </w:r>
      <w:r w:rsidRPr="00431470">
        <w:rPr>
          <w:lang w:val="fr-FR"/>
        </w:rPr>
        <w:t>non connu</w:t>
      </w:r>
      <w:r>
        <w:rPr>
          <w:lang w:val="fr-FR"/>
        </w:rPr>
        <w:t> »</w:t>
      </w:r>
      <w:r w:rsidRPr="00431470">
        <w:rPr>
          <w:lang w:val="fr-FR"/>
        </w:rPr>
        <w:t xml:space="preserve"> ou </w:t>
      </w:r>
      <w:r>
        <w:rPr>
          <w:lang w:val="fr-FR"/>
        </w:rPr>
        <w:t>« </w:t>
      </w:r>
      <w:r w:rsidRPr="00431470">
        <w:rPr>
          <w:lang w:val="fr-FR"/>
        </w:rPr>
        <w:t>sans objet</w:t>
      </w:r>
      <w:r>
        <w:rPr>
          <w:lang w:val="fr-FR"/>
        </w:rPr>
        <w:t> »</w:t>
      </w:r>
      <w:r w:rsidRPr="00431470">
        <w:rPr>
          <w:lang w:val="fr-FR"/>
        </w:rPr>
        <w:t xml:space="preserve">. Si les renseignements ne sont pas disponibles sous la forme requise, fournir toute autre information dont on dispose, avec les commentaires nécessaires. Biffer les mentions inutiles. </w:t>
      </w:r>
    </w:p>
    <w:p w14:paraId="6FF9A945" w14:textId="77777777" w:rsidR="0070024B" w:rsidRPr="00431470" w:rsidRDefault="0070024B" w:rsidP="00453625">
      <w:pPr>
        <w:pStyle w:val="H1G"/>
        <w:spacing w:before="0" w:after="10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1.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IDENTIFICATION DE LA MATIÈRE</w:t>
      </w:r>
      <w:r w:rsidRPr="00431470">
        <w:rPr>
          <w:lang w:val="fr-FR"/>
        </w:rPr>
        <w:t xml:space="preserve"> </w:t>
      </w:r>
    </w:p>
    <w:p w14:paraId="57DFBEAA" w14:textId="5FD62C3C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1.1</w:t>
      </w:r>
      <w:r w:rsidRPr="00431470">
        <w:rPr>
          <w:lang w:val="fr-FR"/>
        </w:rPr>
        <w:tab/>
        <w:t>Nom chimique</w:t>
      </w:r>
      <w:r>
        <w:rPr>
          <w:lang w:val="fr-FR"/>
        </w:rPr>
        <w:t> :</w:t>
      </w:r>
      <w:r w:rsidRPr="00431470">
        <w:rPr>
          <w:lang w:val="fr-FR"/>
        </w:rPr>
        <w:t xml:space="preserve"> musc-xylène </w:t>
      </w:r>
    </w:p>
    <w:p w14:paraId="3DA270AD" w14:textId="366BD91B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1.2</w:t>
      </w:r>
      <w:r w:rsidRPr="00431470">
        <w:rPr>
          <w:lang w:val="fr-FR"/>
        </w:rPr>
        <w:tab/>
        <w:t>Formule chimique</w:t>
      </w:r>
      <w:r>
        <w:rPr>
          <w:lang w:val="fr-FR"/>
        </w:rPr>
        <w:t> :</w:t>
      </w:r>
      <w:r w:rsidRPr="00431470">
        <w:rPr>
          <w:lang w:val="fr-FR"/>
        </w:rPr>
        <w:t xml:space="preserve"> C</w:t>
      </w:r>
      <w:r w:rsidRPr="00431470">
        <w:rPr>
          <w:vertAlign w:val="subscript"/>
          <w:lang w:val="fr-FR"/>
        </w:rPr>
        <w:t>12</w:t>
      </w:r>
      <w:r w:rsidRPr="00431470">
        <w:rPr>
          <w:lang w:val="fr-FR"/>
        </w:rPr>
        <w:t>H</w:t>
      </w:r>
      <w:r w:rsidRPr="00431470">
        <w:rPr>
          <w:vertAlign w:val="subscript"/>
          <w:lang w:val="fr-FR"/>
        </w:rPr>
        <w:t>15</w:t>
      </w:r>
      <w:r w:rsidRPr="00431470">
        <w:rPr>
          <w:lang w:val="fr-FR"/>
        </w:rPr>
        <w:t>N</w:t>
      </w:r>
      <w:r w:rsidRPr="00431470">
        <w:rPr>
          <w:vertAlign w:val="subscript"/>
          <w:lang w:val="fr-FR"/>
        </w:rPr>
        <w:t>3</w:t>
      </w:r>
      <w:r w:rsidRPr="00431470">
        <w:rPr>
          <w:lang w:val="fr-FR"/>
        </w:rPr>
        <w:t>O</w:t>
      </w:r>
      <w:r w:rsidRPr="00431470">
        <w:rPr>
          <w:vertAlign w:val="subscript"/>
          <w:lang w:val="fr-FR"/>
        </w:rPr>
        <w:t>6</w:t>
      </w:r>
    </w:p>
    <w:p w14:paraId="1BC96C6D" w14:textId="6274BC72" w:rsidR="0070024B" w:rsidRPr="00431470" w:rsidRDefault="0070024B" w:rsidP="002651E4">
      <w:pPr>
        <w:pStyle w:val="SingleTxtG"/>
        <w:ind w:left="2127" w:hanging="993"/>
        <w:contextualSpacing/>
        <w:jc w:val="left"/>
        <w:rPr>
          <w:lang w:val="fr-FR"/>
        </w:rPr>
      </w:pPr>
      <w:r w:rsidRPr="00431470">
        <w:rPr>
          <w:lang w:val="fr-FR"/>
        </w:rPr>
        <w:t>1.3</w:t>
      </w:r>
      <w:r w:rsidRPr="00431470">
        <w:rPr>
          <w:lang w:val="fr-FR"/>
        </w:rPr>
        <w:tab/>
        <w:t>Autres noms/synonymes</w:t>
      </w:r>
      <w:r>
        <w:rPr>
          <w:lang w:val="fr-FR"/>
        </w:rPr>
        <w:t> :</w:t>
      </w:r>
      <w:r w:rsidRPr="00431470">
        <w:rPr>
          <w:lang w:val="fr-FR"/>
        </w:rPr>
        <w:t xml:space="preserve"> tert-butyl-1 diméthyl-3,5 trinitro-2,4,6-benzène, tert</w:t>
      </w:r>
      <w:r>
        <w:rPr>
          <w:lang w:val="fr-FR"/>
        </w:rPr>
        <w:noBreakHyphen/>
      </w:r>
      <w:r w:rsidRPr="00431470">
        <w:rPr>
          <w:lang w:val="fr-FR"/>
        </w:rPr>
        <w:t>butyl</w:t>
      </w:r>
      <w:r>
        <w:rPr>
          <w:lang w:val="fr-FR"/>
        </w:rPr>
        <w:noBreakHyphen/>
      </w:r>
      <w:r w:rsidRPr="00431470">
        <w:rPr>
          <w:lang w:val="fr-FR"/>
        </w:rPr>
        <w:t>5 trinitro-2,4,6 m-xylène, musc-xylol</w:t>
      </w:r>
    </w:p>
    <w:p w14:paraId="19514154" w14:textId="336E40E0" w:rsidR="0070024B" w:rsidRPr="00431470" w:rsidRDefault="0070024B" w:rsidP="0070024B">
      <w:pPr>
        <w:pStyle w:val="SingleTxtG"/>
        <w:ind w:left="2127" w:hanging="993"/>
        <w:contextualSpacing/>
        <w:rPr>
          <w:strike/>
          <w:lang w:val="fr-FR"/>
        </w:rPr>
      </w:pPr>
      <w:r w:rsidRPr="00431470">
        <w:rPr>
          <w:lang w:val="fr-FR"/>
        </w:rPr>
        <w:t>1.4.1</w:t>
      </w:r>
      <w:r w:rsidRPr="00431470">
        <w:rPr>
          <w:lang w:val="fr-FR"/>
        </w:rPr>
        <w:tab/>
        <w:t>Numéro ONU</w:t>
      </w:r>
      <w:r>
        <w:rPr>
          <w:lang w:val="fr-FR"/>
        </w:rPr>
        <w:t> :</w:t>
      </w:r>
      <w:r w:rsidRPr="00431470">
        <w:rPr>
          <w:lang w:val="fr-FR"/>
        </w:rPr>
        <w:t xml:space="preserve"> 2956 </w:t>
      </w:r>
    </w:p>
    <w:p w14:paraId="5D44020A" w14:textId="3BA2DFB0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1.4.2</w:t>
      </w:r>
      <w:r w:rsidRPr="00431470">
        <w:rPr>
          <w:lang w:val="fr-FR"/>
        </w:rPr>
        <w:tab/>
        <w:t>Numéro CAS</w:t>
      </w:r>
      <w:r>
        <w:rPr>
          <w:lang w:val="fr-FR"/>
        </w:rPr>
        <w:t> :</w:t>
      </w:r>
      <w:r w:rsidRPr="00431470">
        <w:rPr>
          <w:lang w:val="fr-FR"/>
        </w:rPr>
        <w:t xml:space="preserve"> 81-15-2</w:t>
      </w:r>
    </w:p>
    <w:p w14:paraId="150F2143" w14:textId="27BB9496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1.5</w:t>
      </w:r>
      <w:r w:rsidRPr="00431470">
        <w:rPr>
          <w:lang w:val="fr-FR"/>
        </w:rPr>
        <w:tab/>
        <w:t xml:space="preserve">Classement proposé dans les Recommandations </w:t>
      </w:r>
    </w:p>
    <w:p w14:paraId="007BC2D6" w14:textId="77777777" w:rsidR="0070024B" w:rsidRPr="00431470" w:rsidRDefault="0070024B" w:rsidP="0070024B">
      <w:pPr>
        <w:pStyle w:val="SingleTxtG"/>
        <w:ind w:left="2127" w:hanging="3"/>
        <w:contextualSpacing/>
        <w:rPr>
          <w:lang w:val="fr-FR"/>
        </w:rPr>
      </w:pPr>
      <w:r w:rsidRPr="00431470">
        <w:rPr>
          <w:lang w:val="fr-FR"/>
        </w:rPr>
        <w:t>CLASSE 4.1</w:t>
      </w:r>
    </w:p>
    <w:p w14:paraId="26EE47C3" w14:textId="624015B5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1.5.1</w:t>
      </w:r>
      <w:r w:rsidRPr="00431470">
        <w:rPr>
          <w:lang w:val="fr-FR"/>
        </w:rPr>
        <w:tab/>
        <w:t>Désignation officielle de transport (cf. 3.1.2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1E43CA47" w14:textId="77777777" w:rsidR="0070024B" w:rsidRPr="00431470" w:rsidRDefault="0070024B" w:rsidP="0070024B">
      <w:pPr>
        <w:pStyle w:val="SingleTxtG"/>
        <w:ind w:left="2127" w:hanging="3"/>
        <w:contextualSpacing/>
        <w:rPr>
          <w:lang w:val="fr-FR"/>
        </w:rPr>
      </w:pPr>
      <w:r w:rsidRPr="00431470">
        <w:rPr>
          <w:lang w:val="fr-FR"/>
        </w:rPr>
        <w:t>tert-BUTYL-5 TRINITRO-2,4,6 m-XYLÈNE (MUSC-XYLÈNE)</w:t>
      </w:r>
    </w:p>
    <w:p w14:paraId="29B3BAE2" w14:textId="4F8DAB14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1.5.2</w:t>
      </w:r>
      <w:r w:rsidRPr="00431470">
        <w:rPr>
          <w:lang w:val="fr-FR"/>
        </w:rPr>
        <w:tab/>
        <w:t>Classe/division</w:t>
      </w:r>
      <w:r>
        <w:rPr>
          <w:lang w:val="fr-FR"/>
        </w:rPr>
        <w:t> :</w:t>
      </w:r>
      <w:r w:rsidRPr="00431470">
        <w:rPr>
          <w:lang w:val="fr-FR"/>
        </w:rPr>
        <w:t xml:space="preserve"> 4.1</w:t>
      </w:r>
      <w:r w:rsidRPr="00431470">
        <w:rPr>
          <w:lang w:val="fr-FR"/>
        </w:rPr>
        <w:tab/>
        <w:t>Danger(s) subsidiaire(s)</w:t>
      </w:r>
      <w:r>
        <w:rPr>
          <w:lang w:val="fr-FR"/>
        </w:rPr>
        <w:t> :</w:t>
      </w:r>
      <w:r w:rsidRPr="00431470">
        <w:rPr>
          <w:lang w:val="fr-FR"/>
        </w:rPr>
        <w:t xml:space="preserve"> -</w:t>
      </w:r>
    </w:p>
    <w:p w14:paraId="6F152AF5" w14:textId="08E8EE71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1.5.3</w:t>
      </w:r>
      <w:r w:rsidRPr="00431470">
        <w:rPr>
          <w:lang w:val="fr-FR"/>
        </w:rPr>
        <w:tab/>
        <w:t>Dispositions spéciales proposées, le cas échéant</w:t>
      </w:r>
      <w:r>
        <w:rPr>
          <w:lang w:val="fr-FR"/>
        </w:rPr>
        <w:t> :</w:t>
      </w:r>
      <w:r w:rsidRPr="00431470">
        <w:rPr>
          <w:lang w:val="fr-FR"/>
        </w:rPr>
        <w:t xml:space="preserve"> 132, 133</w:t>
      </w:r>
    </w:p>
    <w:p w14:paraId="1A1DD9B4" w14:textId="23C3CEC0" w:rsidR="0070024B" w:rsidRPr="00431470" w:rsidRDefault="0070024B" w:rsidP="0070024B">
      <w:pPr>
        <w:pStyle w:val="Bullet1G"/>
        <w:numPr>
          <w:ilvl w:val="0"/>
          <w:numId w:val="0"/>
        </w:numPr>
        <w:ind w:left="2127"/>
        <w:contextualSpacing/>
        <w:rPr>
          <w:lang w:val="fr-FR"/>
        </w:rPr>
      </w:pPr>
      <w:r w:rsidRPr="00431470">
        <w:rPr>
          <w:lang w:val="fr-FR"/>
        </w:rPr>
        <w:t>Quantités limitées et quantités exceptées</w:t>
      </w:r>
      <w:r>
        <w:rPr>
          <w:lang w:val="fr-FR"/>
        </w:rPr>
        <w:t> :</w:t>
      </w:r>
      <w:r w:rsidRPr="00431470">
        <w:rPr>
          <w:lang w:val="fr-FR"/>
        </w:rPr>
        <w:t xml:space="preserve"> 0, E0</w:t>
      </w:r>
    </w:p>
    <w:p w14:paraId="06357E6C" w14:textId="7A590E6D" w:rsidR="0070024B" w:rsidRPr="00431470" w:rsidRDefault="0070024B" w:rsidP="0070024B">
      <w:pPr>
        <w:pStyle w:val="Bullet1G"/>
        <w:numPr>
          <w:ilvl w:val="0"/>
          <w:numId w:val="0"/>
        </w:numPr>
        <w:ind w:left="2127"/>
        <w:contextualSpacing/>
        <w:rPr>
          <w:lang w:val="fr-FR"/>
        </w:rPr>
      </w:pPr>
      <w:r w:rsidRPr="00431470">
        <w:rPr>
          <w:lang w:val="fr-FR"/>
        </w:rPr>
        <w:t>Dispositions spéciales d</w:t>
      </w:r>
      <w:r>
        <w:rPr>
          <w:lang w:val="fr-FR"/>
        </w:rPr>
        <w:t>’</w:t>
      </w:r>
      <w:r w:rsidRPr="00431470">
        <w:rPr>
          <w:lang w:val="fr-FR"/>
        </w:rPr>
        <w:t>emballage</w:t>
      </w:r>
      <w:r>
        <w:rPr>
          <w:lang w:val="fr-FR"/>
        </w:rPr>
        <w:t> :</w:t>
      </w:r>
      <w:r w:rsidRPr="00431470">
        <w:rPr>
          <w:lang w:val="fr-FR"/>
        </w:rPr>
        <w:t xml:space="preserve"> -</w:t>
      </w:r>
    </w:p>
    <w:p w14:paraId="4D3FB945" w14:textId="0CDC5574" w:rsidR="0070024B" w:rsidRPr="00431470" w:rsidRDefault="0070024B" w:rsidP="0070024B">
      <w:pPr>
        <w:pStyle w:val="Bullet1G"/>
        <w:numPr>
          <w:ilvl w:val="0"/>
          <w:numId w:val="0"/>
        </w:numPr>
        <w:ind w:left="2127"/>
        <w:contextualSpacing/>
        <w:rPr>
          <w:lang w:val="fr-FR"/>
        </w:rPr>
      </w:pPr>
      <w:r w:rsidRPr="00431470">
        <w:rPr>
          <w:lang w:val="fr-FR"/>
        </w:rPr>
        <w:t>Citernes mobiles et conteneurs pour vrac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20B36336" w14:textId="1A68C327" w:rsidR="0070024B" w:rsidRPr="00431470" w:rsidRDefault="0070024B" w:rsidP="0070024B">
      <w:pPr>
        <w:pStyle w:val="Bullet1G"/>
        <w:numPr>
          <w:ilvl w:val="0"/>
          <w:numId w:val="0"/>
        </w:numPr>
        <w:ind w:left="2829" w:hanging="702"/>
        <w:rPr>
          <w:lang w:val="fr-FR"/>
        </w:rPr>
      </w:pPr>
      <w:r w:rsidRPr="00431470">
        <w:rPr>
          <w:lang w:val="fr-FR"/>
        </w:rPr>
        <w:t>Instructions de transport</w:t>
      </w:r>
      <w:r>
        <w:rPr>
          <w:lang w:val="fr-FR"/>
        </w:rPr>
        <w:t> :</w:t>
      </w:r>
      <w:r w:rsidRPr="00431470">
        <w:rPr>
          <w:lang w:val="fr-FR"/>
        </w:rPr>
        <w:t xml:space="preserve"> -</w:t>
      </w:r>
    </w:p>
    <w:p w14:paraId="1CF1CB9C" w14:textId="42F5A307" w:rsidR="0070024B" w:rsidRPr="00431470" w:rsidRDefault="0070024B" w:rsidP="0070024B">
      <w:pPr>
        <w:pStyle w:val="Bullet1G"/>
        <w:numPr>
          <w:ilvl w:val="0"/>
          <w:numId w:val="0"/>
        </w:numPr>
        <w:ind w:left="2829" w:hanging="702"/>
        <w:rPr>
          <w:lang w:val="fr-FR"/>
        </w:rPr>
      </w:pPr>
      <w:r w:rsidRPr="00431470">
        <w:rPr>
          <w:lang w:val="fr-FR"/>
        </w:rPr>
        <w:t>Dispositions spéciales</w:t>
      </w:r>
      <w:r>
        <w:rPr>
          <w:lang w:val="fr-FR"/>
        </w:rPr>
        <w:t> :</w:t>
      </w:r>
      <w:r w:rsidRPr="00431470">
        <w:rPr>
          <w:lang w:val="fr-FR"/>
        </w:rPr>
        <w:t xml:space="preserve"> -</w:t>
      </w:r>
    </w:p>
    <w:p w14:paraId="031CF3F8" w14:textId="6B102629" w:rsidR="0070024B" w:rsidRPr="00431470" w:rsidRDefault="0070024B" w:rsidP="0070024B">
      <w:pPr>
        <w:pStyle w:val="SingleTxtG"/>
        <w:ind w:left="2127" w:hanging="993"/>
        <w:contextualSpacing/>
        <w:rPr>
          <w:lang w:val="fr-FR"/>
        </w:rPr>
      </w:pPr>
      <w:r w:rsidRPr="00431470">
        <w:rPr>
          <w:lang w:val="fr-FR"/>
        </w:rPr>
        <w:t>1.5.4</w:t>
      </w:r>
      <w:r w:rsidRPr="00431470">
        <w:rPr>
          <w:lang w:val="fr-FR"/>
        </w:rPr>
        <w:tab/>
        <w:t>Méthode d</w:t>
      </w:r>
      <w:r>
        <w:rPr>
          <w:lang w:val="fr-FR"/>
        </w:rPr>
        <w:t>’</w:t>
      </w:r>
      <w:r w:rsidRPr="00431470">
        <w:rPr>
          <w:lang w:val="fr-FR"/>
        </w:rPr>
        <w:t>emballage proposée</w:t>
      </w:r>
      <w:r>
        <w:rPr>
          <w:lang w:val="fr-FR"/>
        </w:rPr>
        <w:t> :</w:t>
      </w:r>
      <w:r w:rsidRPr="00431470">
        <w:rPr>
          <w:lang w:val="fr-FR"/>
        </w:rPr>
        <w:t xml:space="preserve"> P409</w:t>
      </w:r>
    </w:p>
    <w:p w14:paraId="08C831D6" w14:textId="77777777" w:rsidR="0070024B" w:rsidRPr="00431470" w:rsidRDefault="0070024B" w:rsidP="00453625">
      <w:pPr>
        <w:pStyle w:val="H1G"/>
        <w:spacing w:before="0" w:after="10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2.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PROPRIÉTÉS PHYSIQUES</w:t>
      </w:r>
      <w:r w:rsidRPr="00431470">
        <w:rPr>
          <w:lang w:val="fr-FR"/>
        </w:rPr>
        <w:t xml:space="preserve"> </w:t>
      </w:r>
    </w:p>
    <w:p w14:paraId="032C8FD4" w14:textId="426A3023" w:rsidR="0070024B" w:rsidRPr="00431470" w:rsidRDefault="0070024B" w:rsidP="0070024B">
      <w:pPr>
        <w:pStyle w:val="SingleTxtG"/>
        <w:ind w:left="2124" w:hanging="990"/>
        <w:contextualSpacing/>
        <w:rPr>
          <w:rFonts w:asciiTheme="majorBidi" w:hAnsiTheme="majorBidi" w:cstheme="majorBidi"/>
          <w:lang w:val="fr-FR"/>
        </w:rPr>
      </w:pPr>
      <w:r w:rsidRPr="00431470">
        <w:rPr>
          <w:lang w:val="fr-FR"/>
        </w:rPr>
        <w:t>2.1</w:t>
      </w:r>
      <w:r w:rsidRPr="00431470">
        <w:rPr>
          <w:lang w:val="fr-FR"/>
        </w:rPr>
        <w:tab/>
      </w:r>
      <w:r w:rsidRPr="008C559B">
        <w:rPr>
          <w:spacing w:val="-3"/>
          <w:lang w:val="fr-FR"/>
        </w:rPr>
        <w:t>Point ou plage de fusion : La matière a une forme instable ayant un point de fusion de 105-106°C ou 107°C, et une forme stable ayant un point de fusion de 112</w:t>
      </w:r>
      <w:r w:rsidRPr="008C559B">
        <w:rPr>
          <w:spacing w:val="-3"/>
          <w:lang w:val="fr-FR"/>
        </w:rPr>
        <w:noBreakHyphen/>
        <w:t>114°C. Lorsqu’on laisse la forme instable se resolidifier, elle se transforme en forme stable.</w:t>
      </w:r>
      <w:r w:rsidRPr="00431470">
        <w:rPr>
          <w:lang w:val="fr-FR"/>
        </w:rPr>
        <w:t xml:space="preserve"> </w:t>
      </w:r>
    </w:p>
    <w:p w14:paraId="5F965B25" w14:textId="33B1B267" w:rsidR="0070024B" w:rsidRPr="00431470" w:rsidRDefault="0070024B" w:rsidP="0070024B">
      <w:pPr>
        <w:pStyle w:val="SingleTxtG"/>
        <w:contextualSpacing/>
        <w:rPr>
          <w:rFonts w:asciiTheme="majorBidi" w:eastAsia="Calibri" w:hAnsiTheme="majorBidi" w:cstheme="majorBidi"/>
          <w:lang w:val="fr-FR"/>
        </w:rPr>
      </w:pPr>
      <w:r w:rsidRPr="00431470">
        <w:rPr>
          <w:lang w:val="fr-FR"/>
        </w:rPr>
        <w:t>2.2</w:t>
      </w:r>
      <w:r w:rsidRPr="00431470">
        <w:rPr>
          <w:lang w:val="fr-FR"/>
        </w:rPr>
        <w:tab/>
        <w:t>Point ou plage d</w:t>
      </w:r>
      <w:r>
        <w:rPr>
          <w:lang w:val="fr-FR"/>
        </w:rPr>
        <w:t>’</w:t>
      </w:r>
      <w:r w:rsidRPr="00431470">
        <w:rPr>
          <w:lang w:val="fr-FR"/>
        </w:rPr>
        <w:t>ébullition</w:t>
      </w:r>
      <w:r>
        <w:rPr>
          <w:lang w:val="fr-FR"/>
        </w:rPr>
        <w:t> :</w:t>
      </w:r>
      <w:r w:rsidRPr="00431470">
        <w:rPr>
          <w:lang w:val="fr-FR"/>
        </w:rPr>
        <w:t xml:space="preserve"> La décomposition commence à 270 °C.</w:t>
      </w:r>
    </w:p>
    <w:p w14:paraId="263392A9" w14:textId="7A98E6D1" w:rsidR="0070024B" w:rsidRPr="00431470" w:rsidRDefault="0070024B" w:rsidP="0070024B">
      <w:pPr>
        <w:pStyle w:val="SingleTxtG"/>
        <w:contextualSpacing/>
        <w:rPr>
          <w:rFonts w:asciiTheme="majorBidi" w:eastAsia="Calibri" w:hAnsiTheme="majorBidi" w:cstheme="majorBidi"/>
          <w:lang w:val="fr-FR"/>
        </w:rPr>
      </w:pPr>
      <w:r w:rsidRPr="00431470">
        <w:rPr>
          <w:lang w:val="fr-FR"/>
        </w:rPr>
        <w:t>2.3</w:t>
      </w:r>
      <w:r w:rsidRPr="00431470">
        <w:rPr>
          <w:lang w:val="fr-FR"/>
        </w:rPr>
        <w:tab/>
        <w:t>Densité relative/masse volumique</w:t>
      </w:r>
      <w:r>
        <w:rPr>
          <w:lang w:val="fr-FR"/>
        </w:rPr>
        <w:t> :</w:t>
      </w:r>
      <w:r w:rsidRPr="00431470">
        <w:rPr>
          <w:lang w:val="fr-FR"/>
        </w:rPr>
        <w:t xml:space="preserve"> 0,77</w:t>
      </w:r>
      <w:r w:rsidR="002651E4">
        <w:rPr>
          <w:lang w:val="fr-FR"/>
        </w:rPr>
        <w:t> </w:t>
      </w:r>
      <w:r w:rsidRPr="00431470">
        <w:rPr>
          <w:lang w:val="fr-FR"/>
        </w:rPr>
        <w:t>g/cm</w:t>
      </w:r>
      <w:r w:rsidRPr="002651E4">
        <w:rPr>
          <w:vertAlign w:val="superscript"/>
          <w:lang w:val="fr-FR"/>
        </w:rPr>
        <w:t>3</w:t>
      </w:r>
      <w:r w:rsidRPr="00431470">
        <w:rPr>
          <w:lang w:val="fr-FR"/>
        </w:rPr>
        <w:t xml:space="preserve"> à 20 °C</w:t>
      </w:r>
    </w:p>
    <w:p w14:paraId="238E166B" w14:textId="38BB5EF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2.4</w:t>
      </w:r>
      <w:r w:rsidRPr="00431470">
        <w:rPr>
          <w:lang w:val="fr-FR"/>
        </w:rPr>
        <w:tab/>
        <w:t>Pression de vapeur</w:t>
      </w:r>
      <w:r>
        <w:rPr>
          <w:lang w:val="fr-FR"/>
        </w:rPr>
        <w:t> :</w:t>
      </w:r>
      <w:r w:rsidRPr="00431470">
        <w:rPr>
          <w:lang w:val="fr-FR"/>
        </w:rPr>
        <w:t xml:space="preserve"> 0,00003 Pa à 20 °C</w:t>
      </w:r>
    </w:p>
    <w:p w14:paraId="1CFEC31E" w14:textId="0736B98B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2.5</w:t>
      </w:r>
      <w:r w:rsidRPr="00431470">
        <w:rPr>
          <w:lang w:val="fr-FR"/>
        </w:rPr>
        <w:tab/>
        <w:t>Viscosité à 20 °C</w:t>
      </w:r>
      <w:r w:rsidRPr="00431470">
        <w:rPr>
          <w:vertAlign w:val="superscript"/>
          <w:lang w:val="fr-FR"/>
        </w:rPr>
        <w:t>2</w:t>
      </w:r>
      <w:r w:rsidRPr="00431470">
        <w:rPr>
          <w:lang w:val="fr-FR"/>
        </w:rPr>
        <w:t xml:space="preserve"> ___ m</w:t>
      </w:r>
      <w:r w:rsidRPr="00431470">
        <w:rPr>
          <w:vertAlign w:val="superscript"/>
          <w:lang w:val="fr-FR"/>
        </w:rPr>
        <w:t>2</w:t>
      </w:r>
      <w:r w:rsidRPr="00431470">
        <w:rPr>
          <w:lang w:val="fr-FR"/>
        </w:rPr>
        <w:t xml:space="preserve">/s </w:t>
      </w:r>
    </w:p>
    <w:p w14:paraId="74900ADF" w14:textId="1E41B4A4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2.6</w:t>
      </w:r>
      <w:r w:rsidRPr="00431470">
        <w:rPr>
          <w:lang w:val="fr-FR"/>
        </w:rPr>
        <w:tab/>
        <w:t>Solubilité dans l</w:t>
      </w:r>
      <w:r>
        <w:rPr>
          <w:lang w:val="fr-FR"/>
        </w:rPr>
        <w:t>’</w:t>
      </w:r>
      <w:r w:rsidRPr="00431470">
        <w:rPr>
          <w:lang w:val="fr-FR"/>
        </w:rPr>
        <w:t>eau à 20 °</w:t>
      </w:r>
      <w:r w:rsidRPr="007346AD">
        <w:rPr>
          <w:lang w:val="fr-FR"/>
        </w:rPr>
        <w:t xml:space="preserve">C : </w:t>
      </w:r>
      <w:r w:rsidR="007346AD" w:rsidRPr="007346AD">
        <w:rPr>
          <w:lang w:val="fr-FR"/>
        </w:rPr>
        <w:t>0,15 </w:t>
      </w:r>
      <w:r w:rsidR="007346AD">
        <w:rPr>
          <w:lang w:val="fr-FR"/>
        </w:rPr>
        <w:t>m</w:t>
      </w:r>
      <w:r w:rsidRPr="007346AD">
        <w:rPr>
          <w:lang w:val="fr-FR"/>
        </w:rPr>
        <w:t>g/l</w:t>
      </w:r>
    </w:p>
    <w:p w14:paraId="54FDF6F6" w14:textId="41DD690D" w:rsidR="0070024B" w:rsidRPr="00431470" w:rsidRDefault="0070024B" w:rsidP="0070024B">
      <w:pPr>
        <w:pStyle w:val="SingleTxtG"/>
        <w:contextualSpacing/>
        <w:rPr>
          <w:b/>
          <w:bCs/>
          <w:lang w:val="fr-FR"/>
        </w:rPr>
      </w:pPr>
      <w:r w:rsidRPr="00431470">
        <w:rPr>
          <w:lang w:val="fr-FR"/>
        </w:rPr>
        <w:t>2.7</w:t>
      </w:r>
      <w:r w:rsidRPr="00431470">
        <w:rPr>
          <w:lang w:val="fr-FR"/>
        </w:rPr>
        <w:tab/>
        <w:t>État physique à 20 °C (cf</w:t>
      </w:r>
      <w:r>
        <w:rPr>
          <w:lang w:val="fr-FR"/>
        </w:rPr>
        <w:t>.</w:t>
      </w:r>
      <w:r w:rsidRPr="00431470">
        <w:rPr>
          <w:lang w:val="fr-FR"/>
        </w:rPr>
        <w:t xml:space="preserve"> 2.2.1.1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  <w:r w:rsidRPr="00431470">
        <w:rPr>
          <w:lang w:val="fr-FR"/>
        </w:rPr>
        <w:tab/>
      </w:r>
      <w:r w:rsidRPr="00431470">
        <w:rPr>
          <w:u w:val="single"/>
          <w:lang w:val="fr-FR"/>
        </w:rPr>
        <w:t>solide</w:t>
      </w:r>
      <w:r w:rsidRPr="00431470">
        <w:rPr>
          <w:lang w:val="fr-FR"/>
        </w:rPr>
        <w:t>/liquide/gazeux</w:t>
      </w:r>
      <w:r w:rsidRPr="00431470">
        <w:rPr>
          <w:vertAlign w:val="superscript"/>
          <w:lang w:val="fr-FR"/>
        </w:rPr>
        <w:t>2</w:t>
      </w:r>
      <w:r w:rsidRPr="00431470">
        <w:rPr>
          <w:lang w:val="fr-FR"/>
        </w:rPr>
        <w:t xml:space="preserve"> </w:t>
      </w:r>
    </w:p>
    <w:p w14:paraId="2DF80F37" w14:textId="6613E618" w:rsidR="0070024B" w:rsidRPr="00431470" w:rsidRDefault="0070024B" w:rsidP="0070024B">
      <w:pPr>
        <w:pStyle w:val="SingleTxtG"/>
        <w:ind w:left="2124" w:hanging="990"/>
        <w:contextualSpacing/>
        <w:rPr>
          <w:lang w:val="fr-FR"/>
        </w:rPr>
      </w:pPr>
      <w:r w:rsidRPr="00431470">
        <w:rPr>
          <w:lang w:val="fr-FR"/>
        </w:rPr>
        <w:t>2.8</w:t>
      </w:r>
      <w:r w:rsidRPr="00431470">
        <w:rPr>
          <w:lang w:val="fr-FR"/>
        </w:rPr>
        <w:tab/>
        <w:t>Aspect aux températures de transport normales, couleur, odeur, etc.</w:t>
      </w:r>
      <w:r>
        <w:rPr>
          <w:lang w:val="fr-FR"/>
        </w:rPr>
        <w:t> :</w:t>
      </w:r>
      <w:r w:rsidRPr="00431470">
        <w:rPr>
          <w:lang w:val="fr-FR"/>
        </w:rPr>
        <w:t xml:space="preserve"> Poudre blanche et jaune pâle ou cristaux en forme d</w:t>
      </w:r>
      <w:r>
        <w:rPr>
          <w:lang w:val="fr-FR"/>
        </w:rPr>
        <w:t>’</w:t>
      </w:r>
      <w:r w:rsidRPr="00431470">
        <w:rPr>
          <w:lang w:val="fr-FR"/>
        </w:rPr>
        <w:t>aiguilles, odeur naturelle de musc.</w:t>
      </w:r>
    </w:p>
    <w:p w14:paraId="206C6E46" w14:textId="246F26C6" w:rsidR="0070024B" w:rsidRPr="00431470" w:rsidRDefault="0070024B" w:rsidP="0070024B">
      <w:pPr>
        <w:pStyle w:val="SingleTxtG"/>
        <w:ind w:left="2124" w:hanging="990"/>
        <w:contextualSpacing/>
        <w:rPr>
          <w:lang w:val="fr-FR"/>
        </w:rPr>
      </w:pPr>
      <w:r w:rsidRPr="00431470">
        <w:rPr>
          <w:lang w:val="fr-FR"/>
        </w:rPr>
        <w:t>2.9</w:t>
      </w:r>
      <w:r w:rsidRPr="00431470">
        <w:rPr>
          <w:lang w:val="fr-FR"/>
        </w:rPr>
        <w:tab/>
        <w:t>Autres propriétés physiques pertinentes</w:t>
      </w:r>
      <w:r>
        <w:rPr>
          <w:lang w:val="fr-FR"/>
        </w:rPr>
        <w:t> :</w:t>
      </w:r>
      <w:r w:rsidRPr="00431470">
        <w:rPr>
          <w:lang w:val="fr-FR"/>
        </w:rPr>
        <w:t xml:space="preserve"> Soluble dans l</w:t>
      </w:r>
      <w:r>
        <w:rPr>
          <w:lang w:val="fr-FR"/>
        </w:rPr>
        <w:t>’</w:t>
      </w:r>
      <w:r w:rsidRPr="00431470">
        <w:rPr>
          <w:lang w:val="fr-FR"/>
        </w:rPr>
        <w:t>huile de paraffine et légèrement soluble dans l</w:t>
      </w:r>
      <w:r>
        <w:rPr>
          <w:lang w:val="fr-FR"/>
        </w:rPr>
        <w:t>’</w:t>
      </w:r>
      <w:r w:rsidRPr="00431470">
        <w:rPr>
          <w:lang w:val="fr-FR"/>
        </w:rPr>
        <w:t>alcool éthylique, le chloroforme et l</w:t>
      </w:r>
      <w:r>
        <w:rPr>
          <w:lang w:val="fr-FR"/>
        </w:rPr>
        <w:t>’</w:t>
      </w:r>
      <w:r w:rsidRPr="00431470">
        <w:rPr>
          <w:lang w:val="fr-FR"/>
        </w:rPr>
        <w:t>acétate d</w:t>
      </w:r>
      <w:r>
        <w:rPr>
          <w:lang w:val="fr-FR"/>
        </w:rPr>
        <w:t>’</w:t>
      </w:r>
      <w:r w:rsidRPr="00431470">
        <w:rPr>
          <w:lang w:val="fr-FR"/>
        </w:rPr>
        <w:t>éthyle.</w:t>
      </w:r>
    </w:p>
    <w:p w14:paraId="7ACF3D3B" w14:textId="77777777" w:rsidR="0070024B" w:rsidRPr="00431470" w:rsidRDefault="0070024B" w:rsidP="00453625">
      <w:pPr>
        <w:pStyle w:val="H1G"/>
        <w:spacing w:before="0" w:after="10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3.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INFLAMMABILITÉ</w:t>
      </w:r>
      <w:r w:rsidRPr="00431470">
        <w:rPr>
          <w:lang w:val="fr-FR"/>
        </w:rPr>
        <w:t xml:space="preserve"> </w:t>
      </w:r>
    </w:p>
    <w:p w14:paraId="7B6CFD69" w14:textId="0873C7AE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3.1</w:t>
      </w:r>
      <w:r w:rsidRPr="00431470">
        <w:rPr>
          <w:lang w:val="fr-FR"/>
        </w:rPr>
        <w:tab/>
        <w:t xml:space="preserve">Vapeurs inflammables </w:t>
      </w:r>
    </w:p>
    <w:p w14:paraId="1F42A473" w14:textId="5CC0208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3.1.1</w:t>
      </w:r>
      <w:r w:rsidRPr="00431470">
        <w:rPr>
          <w:lang w:val="fr-FR"/>
        </w:rPr>
        <w:tab/>
        <w:t>Point d</w:t>
      </w:r>
      <w:r>
        <w:rPr>
          <w:lang w:val="fr-FR"/>
        </w:rPr>
        <w:t>’</w:t>
      </w:r>
      <w:r w:rsidRPr="00431470">
        <w:rPr>
          <w:lang w:val="fr-FR"/>
        </w:rPr>
        <w:t>éclair (cf. 2.3.3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168 °C </w:t>
      </w:r>
      <w:r w:rsidRPr="00431470">
        <w:rPr>
          <w:u w:val="single"/>
          <w:lang w:val="fr-FR"/>
        </w:rPr>
        <w:t>creuset ouvert</w:t>
      </w:r>
      <w:r w:rsidRPr="00431470">
        <w:rPr>
          <w:lang w:val="fr-FR"/>
        </w:rPr>
        <w:t xml:space="preserve">/creuset fermé </w:t>
      </w:r>
    </w:p>
    <w:p w14:paraId="5AAB9AA1" w14:textId="37B1782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3.1.2</w:t>
      </w:r>
      <w:r w:rsidRPr="00431470">
        <w:rPr>
          <w:lang w:val="fr-FR"/>
        </w:rPr>
        <w:tab/>
        <w:t>La matière entretient-elle une combustion</w:t>
      </w:r>
      <w:r w:rsidR="008C559B">
        <w:rPr>
          <w:lang w:val="fr-FR"/>
        </w:rPr>
        <w:t> </w:t>
      </w:r>
      <w:r w:rsidRPr="00431470">
        <w:rPr>
          <w:lang w:val="fr-FR"/>
        </w:rPr>
        <w:t>? (cf. 2.3.1.3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="008C559B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  <w:t xml:space="preserve">oui/non </w:t>
      </w:r>
    </w:p>
    <w:p w14:paraId="0457FDF0" w14:textId="62774669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3.2</w:t>
      </w:r>
      <w:r w:rsidRPr="00431470">
        <w:rPr>
          <w:lang w:val="fr-FR"/>
        </w:rPr>
        <w:tab/>
        <w:t>Température d</w:t>
      </w:r>
      <w:r>
        <w:rPr>
          <w:lang w:val="fr-FR"/>
        </w:rPr>
        <w:t>’</w:t>
      </w:r>
      <w:r w:rsidRPr="00431470">
        <w:rPr>
          <w:lang w:val="fr-FR"/>
        </w:rPr>
        <w:t>auto-inflammation</w:t>
      </w:r>
      <w:r>
        <w:rPr>
          <w:lang w:val="fr-FR"/>
        </w:rPr>
        <w:t> :</w:t>
      </w:r>
      <w:r w:rsidRPr="00431470">
        <w:rPr>
          <w:lang w:val="fr-FR"/>
        </w:rPr>
        <w:t xml:space="preserve"> 305-341 °C </w:t>
      </w:r>
    </w:p>
    <w:p w14:paraId="3EB5A5CC" w14:textId="14D51C30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3.3</w:t>
      </w:r>
      <w:r w:rsidRPr="00431470">
        <w:rPr>
          <w:lang w:val="fr-FR"/>
        </w:rPr>
        <w:tab/>
        <w:t>Limites d</w:t>
      </w:r>
      <w:r>
        <w:rPr>
          <w:lang w:val="fr-FR"/>
        </w:rPr>
        <w:t>’</w:t>
      </w:r>
      <w:r w:rsidRPr="00431470">
        <w:rPr>
          <w:lang w:val="fr-FR"/>
        </w:rPr>
        <w:t>inflammabilité (LII/LSI)</w:t>
      </w:r>
      <w:r>
        <w:rPr>
          <w:lang w:val="fr-FR"/>
        </w:rPr>
        <w:t> :</w:t>
      </w:r>
      <w:r w:rsidRPr="00431470">
        <w:rPr>
          <w:lang w:val="fr-FR"/>
        </w:rPr>
        <w:t xml:space="preserve"> ___ % </w:t>
      </w:r>
    </w:p>
    <w:p w14:paraId="59A65322" w14:textId="5C2A93E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3.4</w:t>
      </w:r>
      <w:r w:rsidRPr="00431470">
        <w:rPr>
          <w:lang w:val="fr-FR"/>
        </w:rPr>
        <w:tab/>
        <w:t>La matière est-elle une matière solide inflammable ? (cf. 2.4.2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5CD018E4" w14:textId="0E2DB04C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3.4.1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3657BEFE" w14:textId="77777777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lastRenderedPageBreak/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4.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PROPRIÉTÉS CHIMIQUES</w:t>
      </w:r>
      <w:r w:rsidRPr="00431470">
        <w:rPr>
          <w:lang w:val="fr-FR"/>
        </w:rPr>
        <w:t xml:space="preserve"> </w:t>
      </w:r>
    </w:p>
    <w:p w14:paraId="5F46D9C8" w14:textId="5139405E" w:rsidR="0070024B" w:rsidRPr="00431470" w:rsidRDefault="0070024B" w:rsidP="0070024B">
      <w:pPr>
        <w:pStyle w:val="SingleTxtG"/>
        <w:ind w:left="2124" w:hanging="990"/>
        <w:contextualSpacing/>
        <w:rPr>
          <w:lang w:val="fr-FR"/>
        </w:rPr>
      </w:pPr>
      <w:r w:rsidRPr="00431470">
        <w:rPr>
          <w:lang w:val="fr-FR"/>
        </w:rPr>
        <w:t>4.1</w:t>
      </w:r>
      <w:r w:rsidRPr="00431470">
        <w:rPr>
          <w:lang w:val="fr-FR"/>
        </w:rPr>
        <w:tab/>
        <w:t>La matière nécessite-t-elle une inhibition/stabilisation ou un autre traitement (transport sous atmosphère d</w:t>
      </w:r>
      <w:r>
        <w:rPr>
          <w:lang w:val="fr-FR"/>
        </w:rPr>
        <w:t>’</w:t>
      </w:r>
      <w:r w:rsidRPr="00431470">
        <w:rPr>
          <w:lang w:val="fr-FR"/>
        </w:rPr>
        <w:t>azote par exemple) pour empêcher des réactions dangereuses</w:t>
      </w:r>
      <w:r w:rsidR="008C559B">
        <w:rPr>
          <w:lang w:val="fr-FR"/>
        </w:rPr>
        <w:t> </w:t>
      </w:r>
      <w:r w:rsidRPr="00431470">
        <w:rPr>
          <w:lang w:val="fr-FR"/>
        </w:rPr>
        <w:t>?</w:t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3C1DC0BF" w14:textId="33BEC084" w:rsidR="0070024B" w:rsidRPr="00431470" w:rsidRDefault="0070024B" w:rsidP="0070024B">
      <w:pPr>
        <w:pStyle w:val="SingleTxtG"/>
        <w:ind w:left="1842" w:firstLine="282"/>
        <w:contextualSpacing/>
        <w:rPr>
          <w:lang w:val="fr-FR"/>
        </w:rPr>
      </w:pPr>
      <w:r w:rsidRPr="00431470">
        <w:rPr>
          <w:lang w:val="fr-FR"/>
        </w:rPr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indiquer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5C783939" w14:textId="6B706103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4.1.1</w:t>
      </w:r>
      <w:r w:rsidRPr="00431470">
        <w:rPr>
          <w:lang w:val="fr-FR"/>
        </w:rPr>
        <w:tab/>
        <w:t>L</w:t>
      </w:r>
      <w:r>
        <w:rPr>
          <w:lang w:val="fr-FR"/>
        </w:rPr>
        <w:t>’</w:t>
      </w:r>
      <w:r w:rsidRPr="00431470">
        <w:rPr>
          <w:lang w:val="fr-FR"/>
        </w:rPr>
        <w:t>inhibiteur/le stabilisant utilisé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0B3837BF" w14:textId="5146AFB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4.1.2</w:t>
      </w:r>
      <w:r w:rsidRPr="00431470">
        <w:rPr>
          <w:lang w:val="fr-FR"/>
        </w:rPr>
        <w:tab/>
        <w:t>Autre méthode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06BF4D6B" w14:textId="1FCF0008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4.1.3</w:t>
      </w:r>
      <w:r w:rsidRPr="00431470">
        <w:rPr>
          <w:lang w:val="fr-FR"/>
        </w:rPr>
        <w:tab/>
        <w:t>Durée d</w:t>
      </w:r>
      <w:r>
        <w:rPr>
          <w:lang w:val="fr-FR"/>
        </w:rPr>
        <w:t>’</w:t>
      </w:r>
      <w:r w:rsidRPr="00431470">
        <w:rPr>
          <w:lang w:val="fr-FR"/>
        </w:rPr>
        <w:t>efficacité à 55 °C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409A9BB" w14:textId="6340E78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4.1.4</w:t>
      </w:r>
      <w:r w:rsidRPr="00431470">
        <w:rPr>
          <w:lang w:val="fr-FR"/>
        </w:rPr>
        <w:tab/>
        <w:t xml:space="preserve">Conditions dans lesquelles la méthode est inefficace ___ </w:t>
      </w:r>
    </w:p>
    <w:p w14:paraId="31C15D0D" w14:textId="3C35FF44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4.2</w:t>
      </w:r>
      <w:r w:rsidRPr="00431470">
        <w:rPr>
          <w:lang w:val="fr-FR"/>
        </w:rPr>
        <w:tab/>
        <w:t xml:space="preserve">La matière est-elle une matière explosible au sens du </w:t>
      </w:r>
      <w:r>
        <w:rPr>
          <w:lang w:val="fr-FR"/>
        </w:rPr>
        <w:t>paragraphe </w:t>
      </w:r>
      <w:r w:rsidRPr="00431470">
        <w:rPr>
          <w:lang w:val="fr-FR"/>
        </w:rPr>
        <w:t>2.1.1.1</w:t>
      </w:r>
      <w:r w:rsidR="008C559B">
        <w:rPr>
          <w:lang w:val="fr-FR"/>
        </w:rPr>
        <w:t> </w:t>
      </w:r>
      <w:r w:rsidRPr="00431470">
        <w:rPr>
          <w:lang w:val="fr-FR"/>
        </w:rPr>
        <w:t>? (cf. 2.1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 xml:space="preserve">) </w:t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621B87C6" w14:textId="711DFE2D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4.2.1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55349EC8" w14:textId="33F4C0B9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4.3</w:t>
      </w:r>
      <w:r w:rsidRPr="00431470">
        <w:rPr>
          <w:lang w:val="fr-FR"/>
        </w:rPr>
        <w:tab/>
        <w:t>La matière est-elle une matière explosible désensibilisée</w:t>
      </w:r>
      <w:r w:rsidR="008C559B">
        <w:rPr>
          <w:lang w:val="fr-FR"/>
        </w:rPr>
        <w:t> </w:t>
      </w:r>
      <w:r w:rsidRPr="00431470">
        <w:rPr>
          <w:lang w:val="fr-FR"/>
        </w:rPr>
        <w:t>? (cf. 2.4.2.4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5EBC2F0E" w14:textId="55AE715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4.3.1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466021A" w14:textId="6D3375FC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4.4</w:t>
      </w:r>
      <w:r w:rsidRPr="00431470">
        <w:rPr>
          <w:lang w:val="fr-FR"/>
        </w:rPr>
        <w:tab/>
        <w:t xml:space="preserve">La matière est-elle une matière </w:t>
      </w:r>
      <w:proofErr w:type="spellStart"/>
      <w:r w:rsidRPr="00431470">
        <w:rPr>
          <w:lang w:val="fr-FR"/>
        </w:rPr>
        <w:t>autoréactive</w:t>
      </w:r>
      <w:proofErr w:type="spellEnd"/>
      <w:r w:rsidR="008C559B">
        <w:rPr>
          <w:lang w:val="fr-FR"/>
        </w:rPr>
        <w:t> </w:t>
      </w:r>
      <w:r w:rsidRPr="00431470">
        <w:rPr>
          <w:lang w:val="fr-FR"/>
        </w:rPr>
        <w:t>? (cf. 2.4.1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086B8D5E" w14:textId="6F6A2856" w:rsidR="0070024B" w:rsidRPr="00431470" w:rsidRDefault="0070024B" w:rsidP="0070024B">
      <w:pPr>
        <w:pStyle w:val="SingleTxtG"/>
        <w:ind w:left="1842" w:firstLine="282"/>
        <w:contextualSpacing/>
        <w:rPr>
          <w:lang w:val="fr-FR"/>
        </w:rPr>
      </w:pPr>
      <w:r w:rsidRPr="00431470">
        <w:rPr>
          <w:lang w:val="fr-FR"/>
        </w:rPr>
        <w:t>Si oui, indiquer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211B149C" w14:textId="203E0133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4.4.1</w:t>
      </w:r>
      <w:r w:rsidRPr="00431470">
        <w:rPr>
          <w:lang w:val="fr-FR"/>
        </w:rPr>
        <w:tab/>
        <w:t xml:space="preserve">La case de sortie du diagramme de décision ___ </w:t>
      </w:r>
    </w:p>
    <w:p w14:paraId="26F266C3" w14:textId="08F0071F" w:rsidR="0070024B" w:rsidRPr="00431470" w:rsidRDefault="0070024B" w:rsidP="0070024B">
      <w:pPr>
        <w:pStyle w:val="SingleTxtG"/>
        <w:ind w:left="2124"/>
        <w:contextualSpacing/>
        <w:rPr>
          <w:lang w:val="fr-FR"/>
        </w:rPr>
      </w:pPr>
      <w:r w:rsidRPr="00431470">
        <w:rPr>
          <w:lang w:val="fr-FR"/>
        </w:rPr>
        <w:t>Quelle est la température de décomposition auto-accélérée (TDAA) (point de</w:t>
      </w:r>
      <w:r w:rsidR="008C559B">
        <w:rPr>
          <w:lang w:val="fr-FR"/>
        </w:rPr>
        <w:t> </w:t>
      </w:r>
      <w:r w:rsidRPr="00431470">
        <w:rPr>
          <w:lang w:val="fr-FR"/>
        </w:rPr>
        <w:t>décomposition exothermique) pour un colis de 50 kg ?  °C</w:t>
      </w:r>
    </w:p>
    <w:p w14:paraId="3C5D0242" w14:textId="7B4DECA7" w:rsidR="0070024B" w:rsidRPr="00431470" w:rsidRDefault="0070024B" w:rsidP="0070024B">
      <w:pPr>
        <w:pStyle w:val="SingleTxtG"/>
        <w:ind w:left="1842" w:firstLine="282"/>
        <w:contextualSpacing/>
        <w:rPr>
          <w:lang w:val="fr-FR"/>
        </w:rPr>
      </w:pPr>
      <w:r w:rsidRPr="00431470">
        <w:rPr>
          <w:lang w:val="fr-FR"/>
        </w:rPr>
        <w:t>La température doit-elle être régulée ? (cf. 2.4.2.3.4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572C7963" w14:textId="04DD1E56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4.4.2</w:t>
      </w:r>
      <w:r w:rsidRPr="00431470">
        <w:rPr>
          <w:lang w:val="fr-FR"/>
        </w:rPr>
        <w:tab/>
        <w:t>Température de régulation proposée pour un colis de</w:t>
      </w:r>
      <w:r w:rsidR="008C559B">
        <w:rPr>
          <w:lang w:val="fr-FR"/>
        </w:rPr>
        <w:t> </w:t>
      </w:r>
      <w:r w:rsidRPr="00431470">
        <w:rPr>
          <w:lang w:val="fr-FR"/>
        </w:rPr>
        <w:t xml:space="preserve">50 kg ___ °C </w:t>
      </w:r>
    </w:p>
    <w:p w14:paraId="6039BBE1" w14:textId="2A3AE773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4.4.3</w:t>
      </w:r>
      <w:r w:rsidRPr="00431470">
        <w:rPr>
          <w:lang w:val="fr-FR"/>
        </w:rPr>
        <w:tab/>
        <w:t>Température critique proposée pour un colis de 50</w:t>
      </w:r>
      <w:r w:rsidR="009A2932">
        <w:rPr>
          <w:lang w:val="fr-FR"/>
        </w:rPr>
        <w:t> </w:t>
      </w:r>
      <w:r w:rsidRPr="00431470">
        <w:rPr>
          <w:lang w:val="fr-FR"/>
        </w:rPr>
        <w:t xml:space="preserve">kg ___ °C </w:t>
      </w:r>
    </w:p>
    <w:p w14:paraId="21E99CAD" w14:textId="247F63F4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4.5</w:t>
      </w:r>
      <w:r w:rsidRPr="00431470">
        <w:rPr>
          <w:lang w:val="fr-FR"/>
        </w:rPr>
        <w:tab/>
        <w:t>La matière est-elle pyrophorique</w:t>
      </w:r>
      <w:r w:rsidR="009A2932">
        <w:rPr>
          <w:lang w:val="fr-FR"/>
        </w:rPr>
        <w:t> </w:t>
      </w:r>
      <w:r w:rsidRPr="00431470">
        <w:rPr>
          <w:lang w:val="fr-FR"/>
        </w:rPr>
        <w:t>? (cf. 2.4.3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1A2C6EF1" w14:textId="1196409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4.5.1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35A8E214" w14:textId="613E30A0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4.6</w:t>
      </w:r>
      <w:r w:rsidRPr="00431470">
        <w:rPr>
          <w:lang w:val="fr-FR"/>
        </w:rPr>
        <w:tab/>
        <w:t>La matière est-elle sujette à l</w:t>
      </w:r>
      <w:r>
        <w:rPr>
          <w:lang w:val="fr-FR"/>
        </w:rPr>
        <w:t>’</w:t>
      </w:r>
      <w:r w:rsidRPr="00431470">
        <w:rPr>
          <w:lang w:val="fr-FR"/>
        </w:rPr>
        <w:t>auto-échauffement</w:t>
      </w:r>
      <w:r w:rsidR="009A2932">
        <w:rPr>
          <w:lang w:val="fr-FR"/>
        </w:rPr>
        <w:t> </w:t>
      </w:r>
      <w:r w:rsidRPr="00431470">
        <w:rPr>
          <w:lang w:val="fr-FR"/>
        </w:rPr>
        <w:t>? (cf. 2.4.3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2AF5DA88" w14:textId="12BE7633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4.6.1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34CD4EE6" w14:textId="0F690724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4.7</w:t>
      </w:r>
      <w:r w:rsidRPr="00431470">
        <w:rPr>
          <w:lang w:val="fr-FR"/>
        </w:rPr>
        <w:tab/>
        <w:t>La matière est-elle un peroxyde organique</w:t>
      </w:r>
      <w:r w:rsidR="009A2932">
        <w:rPr>
          <w:lang w:val="fr-FR"/>
        </w:rPr>
        <w:t> </w:t>
      </w:r>
      <w:r w:rsidRPr="00431470">
        <w:rPr>
          <w:lang w:val="fr-FR"/>
        </w:rPr>
        <w:t>? (cf. 2.5.1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4358AFF0" w14:textId="3DC71429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  <w:t>Si oui, indiquer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3C62509F" w14:textId="5773FBA7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4.7.1</w:t>
      </w:r>
      <w:r w:rsidRPr="00431470">
        <w:rPr>
          <w:lang w:val="fr-FR"/>
        </w:rPr>
        <w:tab/>
        <w:t xml:space="preserve">La case de sortie du diagramme de décision ___ </w:t>
      </w:r>
    </w:p>
    <w:p w14:paraId="22BBB3B6" w14:textId="2B24334E" w:rsidR="0070024B" w:rsidRPr="00431470" w:rsidRDefault="0070024B" w:rsidP="0070024B">
      <w:pPr>
        <w:pStyle w:val="SingleTxtG"/>
        <w:tabs>
          <w:tab w:val="clear" w:pos="2268"/>
        </w:tabs>
        <w:ind w:left="2268"/>
        <w:contextualSpacing/>
        <w:rPr>
          <w:lang w:val="fr-FR"/>
        </w:rPr>
      </w:pPr>
      <w:r w:rsidRPr="00431470">
        <w:rPr>
          <w:lang w:val="fr-FR"/>
        </w:rPr>
        <w:t>Quelle est la température de décomposition auto-accélérée (TDAA) (point de</w:t>
      </w:r>
      <w:r w:rsidR="009A2932">
        <w:rPr>
          <w:lang w:val="fr-FR"/>
        </w:rPr>
        <w:t> </w:t>
      </w:r>
      <w:r w:rsidRPr="00431470">
        <w:rPr>
          <w:lang w:val="fr-FR"/>
        </w:rPr>
        <w:t>décomposition exothermique) pour un colis de 50</w:t>
      </w:r>
      <w:r w:rsidR="009A2932">
        <w:rPr>
          <w:lang w:val="fr-FR"/>
        </w:rPr>
        <w:t> </w:t>
      </w:r>
      <w:r w:rsidRPr="00431470">
        <w:rPr>
          <w:lang w:val="fr-FR"/>
        </w:rPr>
        <w:t>kg</w:t>
      </w:r>
      <w:r w:rsidR="009A2932">
        <w:rPr>
          <w:lang w:val="fr-FR"/>
        </w:rPr>
        <w:t> </w:t>
      </w:r>
      <w:r w:rsidRPr="00431470">
        <w:rPr>
          <w:lang w:val="fr-FR"/>
        </w:rPr>
        <w:t xml:space="preserve">? ___ °C </w:t>
      </w:r>
    </w:p>
    <w:p w14:paraId="15EA1FB1" w14:textId="26D10D6E" w:rsidR="0070024B" w:rsidRPr="00431470" w:rsidRDefault="0070024B" w:rsidP="0070024B">
      <w:pPr>
        <w:pStyle w:val="SingleTxtG"/>
        <w:ind w:left="2268" w:firstLine="1"/>
        <w:contextualSpacing/>
        <w:rPr>
          <w:lang w:val="fr-FR"/>
        </w:rPr>
      </w:pPr>
      <w:r w:rsidRPr="00431470">
        <w:rPr>
          <w:lang w:val="fr-FR"/>
        </w:rPr>
        <w:t>La température doit-elle être régulée ? (cf. 2.5.3.4.1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51CE8338" w14:textId="517B93AC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4.7.2</w:t>
      </w:r>
      <w:r w:rsidRPr="00431470">
        <w:rPr>
          <w:lang w:val="fr-FR"/>
        </w:rPr>
        <w:tab/>
        <w:t>Température de régulation proposée pour un colis de 50</w:t>
      </w:r>
      <w:r w:rsidR="009A2932">
        <w:rPr>
          <w:lang w:val="fr-FR"/>
        </w:rPr>
        <w:t> </w:t>
      </w:r>
      <w:r w:rsidRPr="00431470">
        <w:rPr>
          <w:lang w:val="fr-FR"/>
        </w:rPr>
        <w:t xml:space="preserve">kg ___ °C </w:t>
      </w:r>
    </w:p>
    <w:p w14:paraId="7A8CE4D7" w14:textId="17A25EFD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4.7.3</w:t>
      </w:r>
      <w:r w:rsidRPr="00431470">
        <w:rPr>
          <w:lang w:val="fr-FR"/>
        </w:rPr>
        <w:tab/>
        <w:t>Température critique proposée pour un colis de 50</w:t>
      </w:r>
      <w:r w:rsidR="009A2932">
        <w:rPr>
          <w:lang w:val="fr-FR"/>
        </w:rPr>
        <w:t> </w:t>
      </w:r>
      <w:r w:rsidRPr="00431470">
        <w:rPr>
          <w:lang w:val="fr-FR"/>
        </w:rPr>
        <w:t xml:space="preserve">kg ___ °C </w:t>
      </w:r>
    </w:p>
    <w:p w14:paraId="0A3402B8" w14:textId="2FD3B2F2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4.8</w:t>
      </w:r>
      <w:r w:rsidRPr="00431470">
        <w:rPr>
          <w:lang w:val="fr-FR"/>
        </w:rPr>
        <w:tab/>
        <w:t>La matière dégage-t-elle des gaz inflammables au contact de l</w:t>
      </w:r>
      <w:r>
        <w:rPr>
          <w:lang w:val="fr-FR"/>
        </w:rPr>
        <w:t>’</w:t>
      </w:r>
      <w:r w:rsidRPr="00431470">
        <w:rPr>
          <w:lang w:val="fr-FR"/>
        </w:rPr>
        <w:t>eau</w:t>
      </w:r>
      <w:r w:rsidR="009A2932">
        <w:rPr>
          <w:lang w:val="fr-FR"/>
        </w:rPr>
        <w:t> </w:t>
      </w:r>
      <w:r w:rsidRPr="00431470">
        <w:rPr>
          <w:lang w:val="fr-FR"/>
        </w:rPr>
        <w:t>? (cf. 2.4.4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 xml:space="preserve">) 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08591501" w14:textId="057700D9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4.8.1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5C8777C4" w14:textId="6784A7D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4.9</w:t>
      </w:r>
      <w:r w:rsidRPr="00431470">
        <w:rPr>
          <w:lang w:val="fr-FR"/>
        </w:rPr>
        <w:tab/>
        <w:t>La matière a-t-elle des propriétés comburantes ? (cf. 2.5.1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540A8114" w14:textId="36737138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4.9.1</w:t>
      </w:r>
      <w:r w:rsidRPr="00431470">
        <w:rPr>
          <w:lang w:val="fr-FR"/>
        </w:rPr>
        <w:tab/>
        <w:t>Dans l</w:t>
      </w:r>
      <w:r>
        <w:rPr>
          <w:lang w:val="fr-FR"/>
        </w:rPr>
        <w:t>’</w:t>
      </w:r>
      <w:r w:rsidRPr="00431470">
        <w:rPr>
          <w:lang w:val="fr-FR"/>
        </w:rPr>
        <w:t>affirmative, donner des précisions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3206C52B" w14:textId="05CB436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4.10</w:t>
      </w:r>
      <w:r w:rsidRPr="00431470">
        <w:rPr>
          <w:lang w:val="fr-FR"/>
        </w:rPr>
        <w:tab/>
        <w:t>Action corrosive sur le matériau des emballages (cf. 2.8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48C6C17C" w14:textId="61E52932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4.10.1</w:t>
      </w:r>
      <w:r w:rsidRPr="00431470">
        <w:rPr>
          <w:lang w:val="fr-FR"/>
        </w:rPr>
        <w:tab/>
        <w:t xml:space="preserve">Acier doux ___ mm par an à ___ °C </w:t>
      </w:r>
    </w:p>
    <w:p w14:paraId="0BF99B1A" w14:textId="2F6A4326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4.10.2</w:t>
      </w:r>
      <w:r w:rsidRPr="00431470">
        <w:rPr>
          <w:lang w:val="fr-FR"/>
        </w:rPr>
        <w:tab/>
        <w:t xml:space="preserve">Aluminium ___ mm par an à ___ °C </w:t>
      </w:r>
    </w:p>
    <w:p w14:paraId="01BFDAE3" w14:textId="1A9ED66F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4.10.3</w:t>
      </w:r>
      <w:r w:rsidRPr="00431470">
        <w:rPr>
          <w:lang w:val="fr-FR"/>
        </w:rPr>
        <w:tab/>
        <w:t>Autres matériaux d</w:t>
      </w:r>
      <w:r>
        <w:rPr>
          <w:lang w:val="fr-FR"/>
        </w:rPr>
        <w:t>’</w:t>
      </w:r>
      <w:r w:rsidRPr="00431470">
        <w:rPr>
          <w:lang w:val="fr-FR"/>
        </w:rPr>
        <w:t>emballage (à préciser)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383CF0E9" w14:textId="77777777" w:rsidR="0070024B" w:rsidRPr="00431470" w:rsidRDefault="0070024B" w:rsidP="0070024B">
      <w:pPr>
        <w:pStyle w:val="SingleTxtG"/>
        <w:ind w:left="1842" w:firstLine="282"/>
        <w:contextualSpacing/>
        <w:rPr>
          <w:lang w:val="fr-FR"/>
        </w:rPr>
      </w:pPr>
      <w:r w:rsidRPr="00431470">
        <w:rPr>
          <w:lang w:val="fr-FR"/>
        </w:rPr>
        <w:t xml:space="preserve">___ mm par an à ___ °C </w:t>
      </w:r>
    </w:p>
    <w:p w14:paraId="14F2E833" w14:textId="77777777" w:rsidR="0070024B" w:rsidRPr="00431470" w:rsidRDefault="0070024B" w:rsidP="0070024B">
      <w:pPr>
        <w:pStyle w:val="SingleTxtG"/>
        <w:ind w:left="1560" w:firstLine="564"/>
        <w:contextualSpacing/>
        <w:rPr>
          <w:lang w:val="fr-FR"/>
        </w:rPr>
      </w:pPr>
      <w:r w:rsidRPr="00431470">
        <w:rPr>
          <w:lang w:val="fr-FR"/>
        </w:rPr>
        <w:t xml:space="preserve">___ mm par an à ___ °C </w:t>
      </w:r>
    </w:p>
    <w:p w14:paraId="45C2B6EE" w14:textId="492B2AB0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4.11</w:t>
      </w:r>
      <w:r w:rsidRPr="00431470">
        <w:rPr>
          <w:lang w:val="fr-FR"/>
        </w:rPr>
        <w:tab/>
        <w:t>Autres propriétés chimiques pertinentes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59F0B076" w14:textId="77777777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5.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EFFETS BIOLOGIQUES NOCIFS</w:t>
      </w:r>
      <w:r w:rsidRPr="00431470">
        <w:rPr>
          <w:lang w:val="fr-FR"/>
        </w:rPr>
        <w:t xml:space="preserve"> </w:t>
      </w:r>
    </w:p>
    <w:p w14:paraId="01AE7D35" w14:textId="49616C3A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5.1</w:t>
      </w:r>
      <w:r w:rsidRPr="00431470">
        <w:rPr>
          <w:lang w:val="fr-FR"/>
        </w:rPr>
        <w:tab/>
        <w:t>DL</w:t>
      </w:r>
      <w:r w:rsidRPr="00431470">
        <w:rPr>
          <w:vertAlign w:val="subscript"/>
          <w:lang w:val="fr-FR"/>
        </w:rPr>
        <w:t>50</w:t>
      </w:r>
      <w:r w:rsidRPr="00431470">
        <w:rPr>
          <w:lang w:val="fr-FR"/>
        </w:rPr>
        <w:t xml:space="preserve"> à l</w:t>
      </w:r>
      <w:r>
        <w:rPr>
          <w:lang w:val="fr-FR"/>
        </w:rPr>
        <w:t>’</w:t>
      </w:r>
      <w:r w:rsidRPr="00431470">
        <w:rPr>
          <w:lang w:val="fr-FR"/>
        </w:rPr>
        <w:t>ingestion (cf. 2.6.2.1.1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aucun signe de toxicité (rat,</w:t>
      </w:r>
      <w:r w:rsidR="009A2932">
        <w:rPr>
          <w:lang w:val="fr-FR"/>
        </w:rPr>
        <w:t> </w:t>
      </w:r>
      <w:r w:rsidRPr="00431470">
        <w:rPr>
          <w:lang w:val="fr-FR"/>
        </w:rPr>
        <w:t>&gt;</w:t>
      </w:r>
      <w:r w:rsidR="009A2932">
        <w:rPr>
          <w:lang w:val="fr-FR"/>
        </w:rPr>
        <w:t> </w:t>
      </w:r>
      <w:r w:rsidRPr="00431470">
        <w:rPr>
          <w:lang w:val="fr-FR"/>
        </w:rPr>
        <w:t>10 000</w:t>
      </w:r>
      <w:r w:rsidR="009A2932">
        <w:rPr>
          <w:lang w:val="fr-FR"/>
        </w:rPr>
        <w:t> </w:t>
      </w:r>
      <w:r w:rsidRPr="00431470">
        <w:rPr>
          <w:lang w:val="fr-FR"/>
        </w:rPr>
        <w:t>mg/kg)</w:t>
      </w:r>
    </w:p>
    <w:p w14:paraId="1E0601AB" w14:textId="49EEC660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5.2</w:t>
      </w:r>
      <w:r w:rsidRPr="00431470">
        <w:rPr>
          <w:lang w:val="fr-FR"/>
        </w:rPr>
        <w:tab/>
      </w:r>
      <w:r w:rsidRPr="009A2932">
        <w:rPr>
          <w:spacing w:val="-3"/>
          <w:lang w:val="fr-FR"/>
        </w:rPr>
        <w:t>DL</w:t>
      </w:r>
      <w:r w:rsidRPr="009A2932">
        <w:rPr>
          <w:spacing w:val="-3"/>
          <w:vertAlign w:val="subscript"/>
          <w:lang w:val="fr-FR"/>
        </w:rPr>
        <w:t>50</w:t>
      </w:r>
      <w:r w:rsidRPr="009A2932">
        <w:rPr>
          <w:spacing w:val="-3"/>
          <w:lang w:val="fr-FR"/>
        </w:rPr>
        <w:t xml:space="preserve"> à l’absorption cutanée (cf. 2.6.2.1.2</w:t>
      </w:r>
      <w:r w:rsidRPr="009A2932">
        <w:rPr>
          <w:spacing w:val="-3"/>
          <w:vertAlign w:val="superscript"/>
          <w:lang w:val="fr-FR"/>
        </w:rPr>
        <w:t>1</w:t>
      </w:r>
      <w:r w:rsidRPr="009A2932">
        <w:rPr>
          <w:spacing w:val="-3"/>
          <w:lang w:val="fr-FR"/>
        </w:rPr>
        <w:t>) : aucun signe de toxicité (lapin,</w:t>
      </w:r>
      <w:r w:rsidR="009A2932">
        <w:rPr>
          <w:spacing w:val="-3"/>
          <w:lang w:val="fr-FR"/>
        </w:rPr>
        <w:t> </w:t>
      </w:r>
      <w:r w:rsidRPr="009A2932">
        <w:rPr>
          <w:spacing w:val="-3"/>
          <w:lang w:val="fr-FR"/>
        </w:rPr>
        <w:t>&gt;</w:t>
      </w:r>
      <w:r w:rsidR="009A2932">
        <w:rPr>
          <w:spacing w:val="-3"/>
          <w:lang w:val="fr-FR"/>
        </w:rPr>
        <w:t> </w:t>
      </w:r>
      <w:r w:rsidRPr="009A2932">
        <w:rPr>
          <w:spacing w:val="-3"/>
          <w:lang w:val="fr-FR"/>
        </w:rPr>
        <w:t>15</w:t>
      </w:r>
      <w:r w:rsidR="009A2932">
        <w:rPr>
          <w:spacing w:val="-3"/>
          <w:lang w:val="fr-FR"/>
        </w:rPr>
        <w:t> </w:t>
      </w:r>
      <w:r w:rsidRPr="009A2932">
        <w:rPr>
          <w:spacing w:val="-3"/>
          <w:lang w:val="fr-FR"/>
        </w:rPr>
        <w:t>000</w:t>
      </w:r>
      <w:r w:rsidR="009A2932">
        <w:rPr>
          <w:spacing w:val="-3"/>
          <w:lang w:val="fr-FR"/>
        </w:rPr>
        <w:t> </w:t>
      </w:r>
      <w:r w:rsidRPr="009A2932">
        <w:rPr>
          <w:spacing w:val="-3"/>
          <w:lang w:val="fr-FR"/>
        </w:rPr>
        <w:t>mg/kg)</w:t>
      </w:r>
    </w:p>
    <w:p w14:paraId="677AC56D" w14:textId="09534552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5.3</w:t>
      </w:r>
      <w:r w:rsidRPr="00431470">
        <w:rPr>
          <w:lang w:val="fr-FR"/>
        </w:rPr>
        <w:tab/>
        <w:t>CL</w:t>
      </w:r>
      <w:r w:rsidRPr="00431470">
        <w:rPr>
          <w:vertAlign w:val="subscript"/>
          <w:lang w:val="fr-FR"/>
        </w:rPr>
        <w:t>50</w:t>
      </w:r>
      <w:r w:rsidRPr="00431470">
        <w:rPr>
          <w:lang w:val="fr-FR"/>
        </w:rPr>
        <w:t xml:space="preserve"> à l</w:t>
      </w:r>
      <w:r>
        <w:rPr>
          <w:lang w:val="fr-FR"/>
        </w:rPr>
        <w:t>’</w:t>
      </w:r>
      <w:r w:rsidRPr="00431470">
        <w:rPr>
          <w:lang w:val="fr-FR"/>
        </w:rPr>
        <w:t>inhalation (cf. 2.6.2.1.3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>
        <w:rPr>
          <w:lang w:val="fr-FR"/>
        </w:rPr>
        <w:t> :</w:t>
      </w:r>
      <w:r w:rsidRPr="00431470">
        <w:rPr>
          <w:lang w:val="fr-FR"/>
        </w:rPr>
        <w:t xml:space="preserve"> aucun signe de toxicité</w:t>
      </w:r>
    </w:p>
    <w:p w14:paraId="6BF4E24D" w14:textId="5A970E6A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5.4</w:t>
      </w:r>
      <w:r w:rsidRPr="00431470">
        <w:rPr>
          <w:lang w:val="fr-FR"/>
        </w:rPr>
        <w:tab/>
        <w:t>Concentration de vapeur saturée à 20 °C</w:t>
      </w:r>
      <w:r>
        <w:rPr>
          <w:lang w:val="fr-FR"/>
        </w:rPr>
        <w:t> :</w:t>
      </w:r>
      <w:r w:rsidRPr="00431470">
        <w:rPr>
          <w:lang w:val="fr-FR"/>
        </w:rPr>
        <w:t xml:space="preserve"> (cf. 2.6.2.2.4.3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 ___ ml/m</w:t>
      </w:r>
      <w:r w:rsidRPr="00431470">
        <w:rPr>
          <w:vertAlign w:val="superscript"/>
          <w:lang w:val="fr-FR"/>
        </w:rPr>
        <w:t>3</w:t>
      </w:r>
      <w:r w:rsidRPr="00431470">
        <w:rPr>
          <w:lang w:val="fr-FR"/>
        </w:rPr>
        <w:t xml:space="preserve"> </w:t>
      </w:r>
    </w:p>
    <w:p w14:paraId="2C9A9FE8" w14:textId="7010D81D" w:rsidR="0070024B" w:rsidRPr="00431470" w:rsidRDefault="0070024B" w:rsidP="0070024B">
      <w:pPr>
        <w:pStyle w:val="SingleTxtG"/>
        <w:ind w:left="1701" w:hanging="567"/>
        <w:contextualSpacing/>
        <w:rPr>
          <w:lang w:val="fr-FR"/>
        </w:rPr>
      </w:pPr>
      <w:r w:rsidRPr="00431470">
        <w:rPr>
          <w:lang w:val="fr-FR"/>
        </w:rPr>
        <w:t>5.5</w:t>
      </w:r>
      <w:r w:rsidRPr="00431470">
        <w:rPr>
          <w:lang w:val="fr-FR"/>
        </w:rPr>
        <w:tab/>
      </w:r>
      <w:r w:rsidRPr="00431470">
        <w:rPr>
          <w:lang w:val="fr-FR"/>
        </w:rPr>
        <w:tab/>
        <w:t>Résultats des essais cutanés (cf. 2.8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 xml:space="preserve">) </w:t>
      </w:r>
    </w:p>
    <w:p w14:paraId="42F54B8B" w14:textId="513FC80C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5.6</w:t>
      </w:r>
      <w:r w:rsidRPr="00431470">
        <w:rPr>
          <w:lang w:val="fr-FR"/>
        </w:rPr>
        <w:tab/>
        <w:t>Autres données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575FD92E" w14:textId="16EA4369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5.7</w:t>
      </w:r>
      <w:r w:rsidRPr="00431470">
        <w:rPr>
          <w:lang w:val="fr-FR"/>
        </w:rPr>
        <w:tab/>
        <w:t>Effets sur l</w:t>
      </w:r>
      <w:r>
        <w:rPr>
          <w:lang w:val="fr-FR"/>
        </w:rPr>
        <w:t>’</w:t>
      </w:r>
      <w:r w:rsidRPr="00431470">
        <w:rPr>
          <w:lang w:val="fr-FR"/>
        </w:rPr>
        <w:t>homme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131B90B5" w14:textId="77777777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lastRenderedPageBreak/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6.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INFORMATIONS COMPLÉMENTAIRES</w:t>
      </w:r>
      <w:r w:rsidRPr="00431470">
        <w:rPr>
          <w:lang w:val="fr-FR"/>
        </w:rPr>
        <w:t xml:space="preserve"> </w:t>
      </w:r>
    </w:p>
    <w:p w14:paraId="238B1ED0" w14:textId="3428DED3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6.1</w:t>
      </w:r>
      <w:r w:rsidRPr="00431470">
        <w:rPr>
          <w:lang w:val="fr-FR"/>
        </w:rPr>
        <w:tab/>
        <w:t>Mesures recommandées en cas d</w:t>
      </w:r>
      <w:r>
        <w:rPr>
          <w:lang w:val="fr-FR"/>
        </w:rPr>
        <w:t>’</w:t>
      </w:r>
      <w:r w:rsidRPr="00431470">
        <w:rPr>
          <w:lang w:val="fr-FR"/>
        </w:rPr>
        <w:t xml:space="preserve">urgence </w:t>
      </w:r>
    </w:p>
    <w:p w14:paraId="2B29C7BD" w14:textId="1EF909AA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6.1.1</w:t>
      </w:r>
      <w:r w:rsidRPr="00431470">
        <w:rPr>
          <w:lang w:val="fr-FR"/>
        </w:rPr>
        <w:tab/>
        <w:t>Incendie (indiquer les agents d</w:t>
      </w:r>
      <w:r>
        <w:rPr>
          <w:lang w:val="fr-FR"/>
        </w:rPr>
        <w:t>’</w:t>
      </w:r>
      <w:r w:rsidRPr="00431470">
        <w:rPr>
          <w:lang w:val="fr-FR"/>
        </w:rPr>
        <w:t>extinction appropriés et ceux à ne pas utiliser)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CE05DA5" w14:textId="52F47D66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6.1.2</w:t>
      </w:r>
      <w:r w:rsidRPr="00431470">
        <w:rPr>
          <w:lang w:val="fr-FR"/>
        </w:rPr>
        <w:tab/>
        <w:t>Fuite de matière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467587CA" w14:textId="6D064927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6.2</w:t>
      </w:r>
      <w:r w:rsidRPr="00431470">
        <w:rPr>
          <w:lang w:val="fr-FR"/>
        </w:rPr>
        <w:tab/>
        <w:t>Est-il prévu de transporter la matière en</w:t>
      </w:r>
      <w:r w:rsidR="009A2932"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25E72C2C" w14:textId="162C97EB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6.2.1</w:t>
      </w:r>
      <w:r w:rsidRPr="00431470">
        <w:rPr>
          <w:lang w:val="fr-FR"/>
        </w:rPr>
        <w:tab/>
        <w:t>Conteneurs pour vrac (cf. 6.8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</w:t>
      </w:r>
      <w:r w:rsidR="009A2932">
        <w:rPr>
          <w:lang w:val="fr-FR"/>
        </w:rPr>
        <w:t> </w:t>
      </w:r>
      <w:r w:rsidRPr="00431470">
        <w:rPr>
          <w:lang w:val="fr-FR"/>
        </w:rPr>
        <w:t>?</w:t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30965B05" w14:textId="1686DF3B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6.2.2</w:t>
      </w:r>
      <w:r w:rsidRPr="00431470">
        <w:rPr>
          <w:lang w:val="fr-FR"/>
        </w:rPr>
        <w:tab/>
        <w:t>Grands récipients pour vrac (cf. 6.5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 ?</w:t>
      </w:r>
      <w:r w:rsidR="009A2932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132E89CA" w14:textId="48ADADD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6.2.3</w:t>
      </w:r>
      <w:r w:rsidRPr="00431470">
        <w:rPr>
          <w:lang w:val="fr-FR"/>
        </w:rPr>
        <w:tab/>
        <w:t>Citernes mobiles (cf. 6.7</w:t>
      </w:r>
      <w:r w:rsidRPr="00431470">
        <w:rPr>
          <w:vertAlign w:val="superscript"/>
          <w:lang w:val="fr-FR"/>
        </w:rPr>
        <w:t>1</w:t>
      </w:r>
      <w:r w:rsidRPr="00431470">
        <w:rPr>
          <w:lang w:val="fr-FR"/>
        </w:rPr>
        <w:t>) ?</w:t>
      </w:r>
      <w:r w:rsidR="009A2932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lang w:val="fr-FR"/>
        </w:rPr>
        <w:tab/>
        <w:t>oui/</w:t>
      </w:r>
      <w:r w:rsidRPr="00431470">
        <w:rPr>
          <w:u w:val="single"/>
          <w:lang w:val="fr-FR"/>
        </w:rPr>
        <w:t>non</w:t>
      </w:r>
      <w:r w:rsidRPr="00431470">
        <w:rPr>
          <w:lang w:val="fr-FR"/>
        </w:rPr>
        <w:t xml:space="preserve"> </w:t>
      </w:r>
    </w:p>
    <w:p w14:paraId="7B68BBFB" w14:textId="634934E9" w:rsidR="0070024B" w:rsidRPr="00431470" w:rsidRDefault="0070024B" w:rsidP="0070024B">
      <w:pPr>
        <w:pStyle w:val="SingleTxtG"/>
        <w:ind w:firstLine="567"/>
        <w:contextualSpacing/>
        <w:rPr>
          <w:lang w:val="fr-FR"/>
        </w:rPr>
      </w:pPr>
      <w:r w:rsidRPr="00431470">
        <w:rPr>
          <w:lang w:val="fr-FR"/>
        </w:rPr>
        <w:t>Si la réponse est affirmative, donner des précisions dans les sections</w:t>
      </w:r>
      <w:r w:rsidR="009A2932">
        <w:rPr>
          <w:lang w:val="fr-FR"/>
        </w:rPr>
        <w:t> </w:t>
      </w:r>
      <w:r w:rsidRPr="00431470">
        <w:rPr>
          <w:lang w:val="fr-FR"/>
        </w:rPr>
        <w:t>7, 8 ou 9 ci</w:t>
      </w:r>
      <w:r w:rsidR="00981C0D">
        <w:rPr>
          <w:lang w:val="fr-FR"/>
        </w:rPr>
        <w:noBreakHyphen/>
      </w:r>
      <w:r w:rsidRPr="00431470">
        <w:rPr>
          <w:lang w:val="fr-FR"/>
        </w:rPr>
        <w:t>dessous, respectivement.</w:t>
      </w:r>
    </w:p>
    <w:p w14:paraId="7C0095D3" w14:textId="775A6751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7.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 xml:space="preserve">CONTENEURS POUR VRAC (à ne remplir que si la réponse sous 6.2.1 est </w:t>
      </w:r>
      <w:r w:rsidR="009A2932">
        <w:rPr>
          <w:bCs/>
          <w:lang w:val="fr-FR"/>
        </w:rPr>
        <w:t>« </w:t>
      </w:r>
      <w:r w:rsidRPr="00431470">
        <w:rPr>
          <w:bCs/>
          <w:lang w:val="fr-FR"/>
        </w:rPr>
        <w:t>oui</w:t>
      </w:r>
      <w:r w:rsidR="009A2932">
        <w:rPr>
          <w:bCs/>
          <w:lang w:val="fr-FR"/>
        </w:rPr>
        <w:t> »</w:t>
      </w:r>
      <w:r w:rsidRPr="00431470">
        <w:rPr>
          <w:bCs/>
          <w:lang w:val="fr-FR"/>
        </w:rPr>
        <w:t>)</w:t>
      </w:r>
      <w:r w:rsidRPr="00431470">
        <w:rPr>
          <w:lang w:val="fr-FR"/>
        </w:rPr>
        <w:t xml:space="preserve"> </w:t>
      </w:r>
    </w:p>
    <w:p w14:paraId="3D80B36B" w14:textId="015DB5E0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7.1</w:t>
      </w:r>
      <w:r w:rsidRPr="00431470">
        <w:rPr>
          <w:lang w:val="fr-FR"/>
        </w:rPr>
        <w:tab/>
        <w:t xml:space="preserve">Type(s) proposé(s) </w:t>
      </w:r>
    </w:p>
    <w:p w14:paraId="0D6FDBC7" w14:textId="4B87D33A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8.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TRANSPORT EN GRANDS RÉCIPIENTS POUR VRAC (GRV) (à ne remplir que si la réponse sous 6.2.</w:t>
      </w:r>
      <w:r w:rsidR="009A2932">
        <w:rPr>
          <w:bCs/>
          <w:lang w:val="fr-FR"/>
        </w:rPr>
        <w:t>2</w:t>
      </w:r>
      <w:r w:rsidRPr="00431470">
        <w:rPr>
          <w:bCs/>
          <w:lang w:val="fr-FR"/>
        </w:rPr>
        <w:t xml:space="preserve"> est </w:t>
      </w:r>
      <w:r w:rsidR="009A2932">
        <w:rPr>
          <w:bCs/>
          <w:lang w:val="fr-FR"/>
        </w:rPr>
        <w:t>« </w:t>
      </w:r>
      <w:r w:rsidRPr="00431470">
        <w:rPr>
          <w:bCs/>
          <w:lang w:val="fr-FR"/>
        </w:rPr>
        <w:t>oui</w:t>
      </w:r>
      <w:r w:rsidR="009A2932">
        <w:rPr>
          <w:bCs/>
          <w:lang w:val="fr-FR"/>
        </w:rPr>
        <w:t> »</w:t>
      </w:r>
      <w:r w:rsidRPr="00431470">
        <w:rPr>
          <w:bCs/>
          <w:lang w:val="fr-FR"/>
        </w:rPr>
        <w:t>)</w:t>
      </w:r>
    </w:p>
    <w:p w14:paraId="174F14D9" w14:textId="0316FC0A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8.1</w:t>
      </w:r>
      <w:r w:rsidRPr="00431470">
        <w:rPr>
          <w:lang w:val="fr-FR"/>
        </w:rPr>
        <w:tab/>
        <w:t xml:space="preserve">Type(s) proposé(s) </w:t>
      </w:r>
    </w:p>
    <w:p w14:paraId="4FDF7B1C" w14:textId="1D25A268" w:rsidR="0070024B" w:rsidRPr="00431470" w:rsidRDefault="0070024B" w:rsidP="0070024B">
      <w:pPr>
        <w:pStyle w:val="H1G"/>
        <w:spacing w:before="0" w:after="120" w:line="240" w:lineRule="atLeast"/>
        <w:contextualSpacing/>
        <w:rPr>
          <w:lang w:val="fr-FR"/>
        </w:rPr>
      </w:pPr>
      <w:r w:rsidRPr="00431470">
        <w:rPr>
          <w:lang w:val="fr-FR"/>
        </w:rPr>
        <w:tab/>
      </w:r>
      <w:r w:rsidRPr="00431470">
        <w:rPr>
          <w:lang w:val="fr-FR"/>
        </w:rPr>
        <w:tab/>
      </w:r>
      <w:r w:rsidRPr="00431470">
        <w:rPr>
          <w:bCs/>
          <w:lang w:val="fr-FR"/>
        </w:rPr>
        <w:t>Section 9.</w:t>
      </w:r>
      <w:r w:rsidRPr="00431470">
        <w:rPr>
          <w:lang w:val="fr-FR"/>
        </w:rPr>
        <w:t xml:space="preserve"> </w:t>
      </w:r>
      <w:r w:rsidRPr="00431470">
        <w:rPr>
          <w:bCs/>
          <w:lang w:val="fr-FR"/>
        </w:rPr>
        <w:t>TRANSPORT EN CITERNES MOBILES (à ne remplir que</w:t>
      </w:r>
      <w:r w:rsidR="009A2932">
        <w:rPr>
          <w:bCs/>
          <w:lang w:val="fr-FR"/>
        </w:rPr>
        <w:t> </w:t>
      </w:r>
      <w:r w:rsidRPr="00431470">
        <w:rPr>
          <w:bCs/>
          <w:lang w:val="fr-FR"/>
        </w:rPr>
        <w:t>si la réponse sous 6.2.</w:t>
      </w:r>
      <w:r w:rsidR="009A2932">
        <w:rPr>
          <w:bCs/>
          <w:lang w:val="fr-FR"/>
        </w:rPr>
        <w:t>3</w:t>
      </w:r>
      <w:r w:rsidRPr="00431470">
        <w:rPr>
          <w:bCs/>
          <w:lang w:val="fr-FR"/>
        </w:rPr>
        <w:t xml:space="preserve"> est </w:t>
      </w:r>
      <w:r w:rsidR="009A2932">
        <w:rPr>
          <w:bCs/>
          <w:lang w:val="fr-FR"/>
        </w:rPr>
        <w:t>« </w:t>
      </w:r>
      <w:r w:rsidRPr="00431470">
        <w:rPr>
          <w:bCs/>
          <w:lang w:val="fr-FR"/>
        </w:rPr>
        <w:t>oui</w:t>
      </w:r>
      <w:r w:rsidR="009A2932">
        <w:rPr>
          <w:bCs/>
          <w:lang w:val="fr-FR"/>
        </w:rPr>
        <w:t> »</w:t>
      </w:r>
      <w:r w:rsidRPr="00431470">
        <w:rPr>
          <w:bCs/>
          <w:lang w:val="fr-FR"/>
        </w:rPr>
        <w:t>)</w:t>
      </w:r>
    </w:p>
    <w:p w14:paraId="4B82B671" w14:textId="47D4365D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9.1</w:t>
      </w:r>
      <w:r w:rsidRPr="00431470">
        <w:rPr>
          <w:lang w:val="fr-FR"/>
        </w:rPr>
        <w:tab/>
        <w:t>Description de la citerne mobile prévue (y compris le type de citerne OMI s</w:t>
      </w:r>
      <w:r>
        <w:rPr>
          <w:lang w:val="fr-FR"/>
        </w:rPr>
        <w:t>’</w:t>
      </w:r>
      <w:r w:rsidRPr="00431470">
        <w:rPr>
          <w:lang w:val="fr-FR"/>
        </w:rPr>
        <w:t>il est connu)</w:t>
      </w:r>
      <w:r>
        <w:rPr>
          <w:lang w:val="fr-FR"/>
        </w:rPr>
        <w:t> :</w:t>
      </w:r>
      <w:r w:rsidRPr="00431470">
        <w:rPr>
          <w:lang w:val="fr-FR"/>
        </w:rPr>
        <w:t xml:space="preserve"> </w:t>
      </w:r>
    </w:p>
    <w:p w14:paraId="709DDBA6" w14:textId="73D7F2DB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9.2</w:t>
      </w:r>
      <w:r w:rsidRPr="00431470">
        <w:rPr>
          <w:lang w:val="fr-FR"/>
        </w:rPr>
        <w:tab/>
        <w:t>Pression minimale d</w:t>
      </w:r>
      <w:r>
        <w:rPr>
          <w:lang w:val="fr-FR"/>
        </w:rPr>
        <w:t>’</w:t>
      </w:r>
      <w:r w:rsidRPr="00431470">
        <w:rPr>
          <w:lang w:val="fr-FR"/>
        </w:rPr>
        <w:t>épreuve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3005DE5" w14:textId="3E8CC371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9.3</w:t>
      </w:r>
      <w:r w:rsidRPr="00431470">
        <w:rPr>
          <w:lang w:val="fr-FR"/>
        </w:rPr>
        <w:tab/>
        <w:t>Épaisseur minimale du réservoir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01F1E4A" w14:textId="39329C4B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9.4</w:t>
      </w:r>
      <w:r w:rsidRPr="00431470">
        <w:rPr>
          <w:lang w:val="fr-FR"/>
        </w:rPr>
        <w:tab/>
        <w:t>Caractéristiques des orifices de vidange par le bas, s</w:t>
      </w:r>
      <w:r>
        <w:rPr>
          <w:lang w:val="fr-FR"/>
        </w:rPr>
        <w:t>’</w:t>
      </w:r>
      <w:r w:rsidRPr="00431470">
        <w:rPr>
          <w:lang w:val="fr-FR"/>
        </w:rPr>
        <w:t>ils existent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74D9DFB6" w14:textId="65A2C5B5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9.5</w:t>
      </w:r>
      <w:r w:rsidRPr="00431470">
        <w:rPr>
          <w:lang w:val="fr-FR"/>
        </w:rPr>
        <w:tab/>
        <w:t>Dispositifs de décompression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6568396F" w14:textId="30879024" w:rsidR="0070024B" w:rsidRPr="00431470" w:rsidRDefault="0070024B" w:rsidP="0070024B">
      <w:pPr>
        <w:pStyle w:val="SingleTxtG"/>
        <w:contextualSpacing/>
        <w:rPr>
          <w:lang w:val="fr-FR"/>
        </w:rPr>
      </w:pPr>
      <w:r w:rsidRPr="00431470">
        <w:rPr>
          <w:lang w:val="fr-FR"/>
        </w:rPr>
        <w:t>9.6</w:t>
      </w:r>
      <w:r w:rsidRPr="00431470">
        <w:rPr>
          <w:lang w:val="fr-FR"/>
        </w:rPr>
        <w:tab/>
        <w:t>Degré de remplissage</w:t>
      </w:r>
      <w:r>
        <w:rPr>
          <w:lang w:val="fr-FR"/>
        </w:rPr>
        <w:t> :</w:t>
      </w:r>
      <w:r w:rsidRPr="00431470">
        <w:rPr>
          <w:lang w:val="fr-FR"/>
        </w:rPr>
        <w:t xml:space="preserve"> ___ </w:t>
      </w:r>
    </w:p>
    <w:p w14:paraId="65BFA146" w14:textId="5BB17152" w:rsidR="0070024B" w:rsidRDefault="0070024B" w:rsidP="00981C0D">
      <w:pPr>
        <w:pStyle w:val="SingleTxtG"/>
      </w:pPr>
      <w:r w:rsidRPr="00431470">
        <w:rPr>
          <w:lang w:val="fr-FR"/>
        </w:rPr>
        <w:t>9.7</w:t>
      </w:r>
      <w:r w:rsidRPr="00431470">
        <w:rPr>
          <w:lang w:val="fr-FR"/>
        </w:rPr>
        <w:tab/>
        <w:t>Matériaux à ne pas utiliser pour la construction</w:t>
      </w:r>
      <w:r>
        <w:rPr>
          <w:lang w:val="fr-FR"/>
        </w:rPr>
        <w:t> :</w:t>
      </w:r>
      <w:r w:rsidRPr="00431470">
        <w:rPr>
          <w:lang w:val="fr-FR"/>
        </w:rPr>
        <w:t xml:space="preserve"> ___</w:t>
      </w:r>
    </w:p>
    <w:p w14:paraId="73160ECC" w14:textId="41553220" w:rsidR="00446FE5" w:rsidRPr="00981C0D" w:rsidRDefault="00981C0D" w:rsidP="00981C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981C0D" w:rsidSect="00700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6D65E" w14:textId="77777777" w:rsidR="00844AA8" w:rsidRDefault="00844AA8" w:rsidP="00F95C08">
      <w:pPr>
        <w:spacing w:line="240" w:lineRule="auto"/>
      </w:pPr>
    </w:p>
  </w:endnote>
  <w:endnote w:type="continuationSeparator" w:id="0">
    <w:p w14:paraId="6E80D1BC" w14:textId="77777777" w:rsidR="00844AA8" w:rsidRPr="00AC3823" w:rsidRDefault="00844AA8" w:rsidP="00AC3823">
      <w:pPr>
        <w:pStyle w:val="Pieddepage"/>
      </w:pPr>
    </w:p>
  </w:endnote>
  <w:endnote w:type="continuationNotice" w:id="1">
    <w:p w14:paraId="5FE62E13" w14:textId="77777777" w:rsidR="00844AA8" w:rsidRDefault="00844A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3C6E" w14:textId="605DA3BB" w:rsidR="0070024B" w:rsidRPr="0070024B" w:rsidRDefault="0070024B" w:rsidP="0070024B">
    <w:pPr>
      <w:pStyle w:val="Pieddepage"/>
      <w:tabs>
        <w:tab w:val="right" w:pos="9638"/>
      </w:tabs>
    </w:pPr>
    <w:r w:rsidRPr="0070024B">
      <w:rPr>
        <w:b/>
        <w:sz w:val="18"/>
      </w:rPr>
      <w:fldChar w:fldCharType="begin"/>
    </w:r>
    <w:r w:rsidRPr="0070024B">
      <w:rPr>
        <w:b/>
        <w:sz w:val="18"/>
      </w:rPr>
      <w:instrText xml:space="preserve"> PAGE  \* MERGEFORMAT </w:instrText>
    </w:r>
    <w:r w:rsidRPr="0070024B">
      <w:rPr>
        <w:b/>
        <w:sz w:val="18"/>
      </w:rPr>
      <w:fldChar w:fldCharType="separate"/>
    </w:r>
    <w:r w:rsidRPr="0070024B">
      <w:rPr>
        <w:b/>
        <w:noProof/>
        <w:sz w:val="18"/>
      </w:rPr>
      <w:t>2</w:t>
    </w:r>
    <w:r w:rsidRPr="0070024B">
      <w:rPr>
        <w:b/>
        <w:sz w:val="18"/>
      </w:rPr>
      <w:fldChar w:fldCharType="end"/>
    </w:r>
    <w:r>
      <w:rPr>
        <w:b/>
        <w:sz w:val="18"/>
      </w:rPr>
      <w:tab/>
    </w:r>
    <w:r>
      <w:t>GE.24-06568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432D1" w14:textId="2E36C656" w:rsidR="0070024B" w:rsidRPr="0070024B" w:rsidRDefault="0070024B" w:rsidP="0070024B">
    <w:pPr>
      <w:pStyle w:val="Pieddepage"/>
      <w:tabs>
        <w:tab w:val="right" w:pos="9638"/>
      </w:tabs>
      <w:rPr>
        <w:b/>
        <w:sz w:val="18"/>
      </w:rPr>
    </w:pPr>
    <w:r>
      <w:t>GE.24-06568</w:t>
    </w:r>
    <w:r>
      <w:tab/>
    </w:r>
    <w:r w:rsidRPr="0070024B">
      <w:rPr>
        <w:b/>
        <w:sz w:val="18"/>
      </w:rPr>
      <w:fldChar w:fldCharType="begin"/>
    </w:r>
    <w:r w:rsidRPr="0070024B">
      <w:rPr>
        <w:b/>
        <w:sz w:val="18"/>
      </w:rPr>
      <w:instrText xml:space="preserve"> PAGE  \* MERGEFORMAT </w:instrText>
    </w:r>
    <w:r w:rsidRPr="0070024B">
      <w:rPr>
        <w:b/>
        <w:sz w:val="18"/>
      </w:rPr>
      <w:fldChar w:fldCharType="separate"/>
    </w:r>
    <w:r w:rsidRPr="0070024B">
      <w:rPr>
        <w:b/>
        <w:noProof/>
        <w:sz w:val="18"/>
      </w:rPr>
      <w:t>3</w:t>
    </w:r>
    <w:r w:rsidRPr="007002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AFE0F" w14:textId="1EE9BF90" w:rsidR="0068456F" w:rsidRPr="0070024B" w:rsidRDefault="0070024B" w:rsidP="0070024B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66AAFF" wp14:editId="4856856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24-06568  (F</w:t>
    </w:r>
    <w:r w:rsidRPr="00406A6C">
      <w:rPr>
        <w:sz w:val="20"/>
      </w:rPr>
      <w:t>)</w:t>
    </w:r>
    <w:r w:rsidRPr="00406A6C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E679C90" wp14:editId="6AB445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63225656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A6C">
      <w:rPr>
        <w:sz w:val="20"/>
      </w:rPr>
      <w:t xml:space="preserve">    2</w:t>
    </w:r>
    <w:r w:rsidR="00406A6C" w:rsidRPr="00406A6C">
      <w:rPr>
        <w:sz w:val="20"/>
      </w:rPr>
      <w:t>1</w:t>
    </w:r>
    <w:r w:rsidRPr="00406A6C">
      <w:rPr>
        <w:sz w:val="20"/>
      </w:rPr>
      <w:t>0424</w:t>
    </w:r>
    <w:r>
      <w:rPr>
        <w:sz w:val="20"/>
      </w:rPr>
      <w:t xml:space="preserve">    220424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4BA6D" w14:textId="77777777" w:rsidR="00844AA8" w:rsidRPr="00AC3823" w:rsidRDefault="00844A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2EA0E" w14:textId="77777777" w:rsidR="00844AA8" w:rsidRPr="00AC3823" w:rsidRDefault="00844A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95B34E" w14:textId="77777777" w:rsidR="00844AA8" w:rsidRPr="00AC3823" w:rsidRDefault="00844AA8">
      <w:pPr>
        <w:spacing w:line="240" w:lineRule="auto"/>
        <w:rPr>
          <w:sz w:val="2"/>
          <w:szCs w:val="2"/>
        </w:rPr>
      </w:pPr>
    </w:p>
  </w:footnote>
  <w:footnote w:id="2">
    <w:p w14:paraId="6EB8D74E" w14:textId="64281354" w:rsidR="0070024B" w:rsidRPr="00431470" w:rsidRDefault="0070024B" w:rsidP="0070024B">
      <w:pPr>
        <w:pStyle w:val="Notedebasdepage"/>
        <w:rPr>
          <w:lang w:val="fr-FR"/>
        </w:rPr>
      </w:pPr>
      <w:r>
        <w:rPr>
          <w:lang w:val="fr-FR"/>
        </w:rPr>
        <w:tab/>
      </w:r>
      <w:r w:rsidRPr="0070024B">
        <w:rPr>
          <w:sz w:val="20"/>
          <w:lang w:val="fr-FR"/>
        </w:rPr>
        <w:t>*</w:t>
      </w:r>
      <w:r>
        <w:rPr>
          <w:lang w:val="fr-FR"/>
        </w:rPr>
        <w:tab/>
        <w:t>A/78/6 (Sect. 20), tableau 20.5.</w:t>
      </w:r>
    </w:p>
  </w:footnote>
  <w:footnote w:id="3">
    <w:p w14:paraId="4428B91B" w14:textId="77777777" w:rsidR="0070024B" w:rsidRPr="00431470" w:rsidRDefault="0070024B" w:rsidP="0070024B">
      <w:pPr>
        <w:pStyle w:val="Notedebasdepage"/>
        <w:rPr>
          <w:lang w:val="fr-FR"/>
        </w:rPr>
      </w:pPr>
      <w:r>
        <w:rPr>
          <w:lang w:val="fr-FR"/>
        </w:rPr>
        <w:tab/>
      </w:r>
      <w:r w:rsidRPr="008D2AC6">
        <w:rPr>
          <w:rStyle w:val="Appelnotedebasdep"/>
        </w:rPr>
        <w:footnoteRef/>
      </w:r>
      <w:r>
        <w:rPr>
          <w:lang w:val="fr-FR"/>
        </w:rPr>
        <w:tab/>
        <w:t>Principes directeurs,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AD71A" w14:textId="266285F0" w:rsidR="0070024B" w:rsidRPr="0070024B" w:rsidRDefault="00406A6C">
    <w:pPr>
      <w:pStyle w:val="En-tte"/>
    </w:pPr>
    <w:fldSimple w:instr=" TITLE  \* MERGEFORMAT ">
      <w:r w:rsidR="00544D9C">
        <w:t>ST/SG/AC.10/C.3/2024/22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8618C" w14:textId="51EB9FCA" w:rsidR="0070024B" w:rsidRPr="0070024B" w:rsidRDefault="00406A6C" w:rsidP="0070024B">
    <w:pPr>
      <w:pStyle w:val="En-tte"/>
      <w:jc w:val="right"/>
    </w:pPr>
    <w:fldSimple w:instr=" TITLE  \* MERGEFORMAT ">
      <w:r w:rsidR="00544D9C">
        <w:t>ST/SG/AC.10/C.3/2024/22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241C" w14:textId="77777777" w:rsidR="00406A6C" w:rsidRDefault="00406A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09211066">
    <w:abstractNumId w:val="12"/>
  </w:num>
  <w:num w:numId="2" w16cid:durableId="756832093">
    <w:abstractNumId w:val="11"/>
  </w:num>
  <w:num w:numId="3" w16cid:durableId="1976059586">
    <w:abstractNumId w:val="10"/>
  </w:num>
  <w:num w:numId="4" w16cid:durableId="1678338481">
    <w:abstractNumId w:val="8"/>
  </w:num>
  <w:num w:numId="5" w16cid:durableId="1823043910">
    <w:abstractNumId w:val="3"/>
  </w:num>
  <w:num w:numId="6" w16cid:durableId="1741751318">
    <w:abstractNumId w:val="2"/>
  </w:num>
  <w:num w:numId="7" w16cid:durableId="1111171716">
    <w:abstractNumId w:val="1"/>
  </w:num>
  <w:num w:numId="8" w16cid:durableId="1003896532">
    <w:abstractNumId w:val="0"/>
  </w:num>
  <w:num w:numId="9" w16cid:durableId="758253009">
    <w:abstractNumId w:val="9"/>
  </w:num>
  <w:num w:numId="10" w16cid:durableId="1424760497">
    <w:abstractNumId w:val="7"/>
  </w:num>
  <w:num w:numId="11" w16cid:durableId="1182469929">
    <w:abstractNumId w:val="6"/>
  </w:num>
  <w:num w:numId="12" w16cid:durableId="16927286">
    <w:abstractNumId w:val="5"/>
  </w:num>
  <w:num w:numId="13" w16cid:durableId="1432361602">
    <w:abstractNumId w:val="4"/>
  </w:num>
  <w:num w:numId="14" w16cid:durableId="2007899869">
    <w:abstractNumId w:val="12"/>
  </w:num>
  <w:num w:numId="15" w16cid:durableId="1493640559">
    <w:abstractNumId w:val="11"/>
  </w:num>
  <w:num w:numId="16" w16cid:durableId="903108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8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651E4"/>
    <w:rsid w:val="00283190"/>
    <w:rsid w:val="002832AC"/>
    <w:rsid w:val="002A7D5C"/>
    <w:rsid w:val="002D7C93"/>
    <w:rsid w:val="00377D48"/>
    <w:rsid w:val="003C7EED"/>
    <w:rsid w:val="00406A6C"/>
    <w:rsid w:val="00441C3B"/>
    <w:rsid w:val="00446FE5"/>
    <w:rsid w:val="00452396"/>
    <w:rsid w:val="00453625"/>
    <w:rsid w:val="004E468C"/>
    <w:rsid w:val="00544D9C"/>
    <w:rsid w:val="005505B7"/>
    <w:rsid w:val="00573BE5"/>
    <w:rsid w:val="00584DC4"/>
    <w:rsid w:val="00586ED3"/>
    <w:rsid w:val="00596AA9"/>
    <w:rsid w:val="0068456F"/>
    <w:rsid w:val="0070024B"/>
    <w:rsid w:val="0071601D"/>
    <w:rsid w:val="007346AD"/>
    <w:rsid w:val="007A62E6"/>
    <w:rsid w:val="0080684C"/>
    <w:rsid w:val="008123E0"/>
    <w:rsid w:val="00844AA8"/>
    <w:rsid w:val="00871C75"/>
    <w:rsid w:val="008776DC"/>
    <w:rsid w:val="008B40CD"/>
    <w:rsid w:val="008C559B"/>
    <w:rsid w:val="009705C8"/>
    <w:rsid w:val="00981C0D"/>
    <w:rsid w:val="009A2932"/>
    <w:rsid w:val="009C1CF4"/>
    <w:rsid w:val="00A30353"/>
    <w:rsid w:val="00A81281"/>
    <w:rsid w:val="00AC3823"/>
    <w:rsid w:val="00AE323C"/>
    <w:rsid w:val="00B00181"/>
    <w:rsid w:val="00B00B0D"/>
    <w:rsid w:val="00B765F7"/>
    <w:rsid w:val="00B86091"/>
    <w:rsid w:val="00BA0CA9"/>
    <w:rsid w:val="00C02897"/>
    <w:rsid w:val="00D3439C"/>
    <w:rsid w:val="00D545DA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52B3"/>
  <w15:docId w15:val="{92E5AF79-720C-474E-80DE-4C0F1A0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70024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70024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70024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9FE1E-66FE-4152-883A-818AE90711C5}"/>
</file>

<file path=customXml/itemProps2.xml><?xml version="1.0" encoding="utf-8"?>
<ds:datastoreItem xmlns:ds="http://schemas.openxmlformats.org/officeDocument/2006/customXml" ds:itemID="{9F776A7F-74F3-4325-918E-59848FA9B136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5</Pages>
  <Words>1459</Words>
  <Characters>11179</Characters>
  <Application>Microsoft Office Word</Application>
  <DocSecurity>0</DocSecurity>
  <Lines>3726</Lines>
  <Paragraphs>1053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ST/SG/AC.10/C.3/2024/22</vt:lpstr>
    </vt:vector>
  </TitlesOfParts>
  <Company>DCM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ST/SG/AC.10/C.3/2024/22</dc:title>
  <dc:subject/>
  <dc:creator>Estelle-Delphine DITTA</dc:creator>
  <cp:keywords/>
  <cp:lastModifiedBy>Estelle-Delphine DITTA</cp:lastModifiedBy>
  <cp:revision>3</cp:revision>
  <cp:lastPrinted>2024-04-22T12:58:00Z</cp:lastPrinted>
  <dcterms:created xsi:type="dcterms:W3CDTF">2024-04-22T12:58:00Z</dcterms:created>
  <dcterms:modified xsi:type="dcterms:W3CDTF">2024-04-22T13:00:00Z</dcterms:modified>
</cp:coreProperties>
</file>