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5C57E99F" w14:textId="77777777" w:rsidTr="006476E1">
        <w:trPr>
          <w:trHeight w:val="851"/>
        </w:trPr>
        <w:tc>
          <w:tcPr>
            <w:tcW w:w="1259" w:type="dxa"/>
            <w:tcBorders>
              <w:top w:val="nil"/>
              <w:left w:val="nil"/>
              <w:bottom w:val="single" w:sz="4" w:space="0" w:color="auto"/>
              <w:right w:val="nil"/>
            </w:tcBorders>
          </w:tcPr>
          <w:p w14:paraId="4C869FFF" w14:textId="77777777" w:rsidR="00E52109" w:rsidRPr="002A32CB" w:rsidRDefault="00E52109" w:rsidP="004858F5"/>
        </w:tc>
        <w:tc>
          <w:tcPr>
            <w:tcW w:w="2236" w:type="dxa"/>
            <w:tcBorders>
              <w:top w:val="nil"/>
              <w:left w:val="nil"/>
              <w:bottom w:val="single" w:sz="4" w:space="0" w:color="auto"/>
              <w:right w:val="nil"/>
            </w:tcBorders>
            <w:vAlign w:val="bottom"/>
          </w:tcPr>
          <w:p w14:paraId="63B4DFD6"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2CFC0BA8" w14:textId="47704133" w:rsidR="00E52109" w:rsidRDefault="00816413" w:rsidP="00816413">
            <w:pPr>
              <w:jc w:val="right"/>
            </w:pPr>
            <w:r w:rsidRPr="00816413">
              <w:rPr>
                <w:sz w:val="40"/>
              </w:rPr>
              <w:t>ST</w:t>
            </w:r>
            <w:r>
              <w:t>/SG/AC.10/C.3/2024/12</w:t>
            </w:r>
          </w:p>
        </w:tc>
      </w:tr>
      <w:tr w:rsidR="00E52109" w14:paraId="3F10A8A5" w14:textId="77777777" w:rsidTr="006476E1">
        <w:trPr>
          <w:trHeight w:val="2835"/>
        </w:trPr>
        <w:tc>
          <w:tcPr>
            <w:tcW w:w="1259" w:type="dxa"/>
            <w:tcBorders>
              <w:top w:val="single" w:sz="4" w:space="0" w:color="auto"/>
              <w:left w:val="nil"/>
              <w:bottom w:val="single" w:sz="12" w:space="0" w:color="auto"/>
              <w:right w:val="nil"/>
            </w:tcBorders>
          </w:tcPr>
          <w:p w14:paraId="33AA5E71" w14:textId="77777777" w:rsidR="00E52109" w:rsidRDefault="00E52109" w:rsidP="006476E1">
            <w:pPr>
              <w:spacing w:before="120"/>
              <w:jc w:val="center"/>
            </w:pPr>
            <w:r>
              <w:rPr>
                <w:noProof/>
                <w:lang w:val="fr-CH" w:eastAsia="fr-CH"/>
              </w:rPr>
              <w:drawing>
                <wp:inline distT="0" distB="0" distL="0" distR="0" wp14:anchorId="347CD0CB" wp14:editId="3362D1B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9F5DB2F"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251A9DD1" w14:textId="77777777" w:rsidR="00D94B05" w:rsidRDefault="00816413" w:rsidP="00816413">
            <w:pPr>
              <w:spacing w:before="240" w:line="240" w:lineRule="exact"/>
            </w:pPr>
            <w:r>
              <w:t>Distr.: General</w:t>
            </w:r>
          </w:p>
          <w:p w14:paraId="4A3267D6" w14:textId="3F9C3871" w:rsidR="00816413" w:rsidRDefault="00BE79E0" w:rsidP="00816413">
            <w:pPr>
              <w:spacing w:line="240" w:lineRule="exact"/>
            </w:pPr>
            <w:r>
              <w:t>5</w:t>
            </w:r>
            <w:r w:rsidR="00816413">
              <w:t xml:space="preserve"> April 2024</w:t>
            </w:r>
          </w:p>
          <w:p w14:paraId="73E37B98" w14:textId="77777777" w:rsidR="00816413" w:rsidRDefault="00816413" w:rsidP="00816413">
            <w:pPr>
              <w:spacing w:line="240" w:lineRule="exact"/>
            </w:pPr>
          </w:p>
          <w:p w14:paraId="57E67483" w14:textId="79096CFA" w:rsidR="00816413" w:rsidRDefault="00816413" w:rsidP="00816413">
            <w:pPr>
              <w:spacing w:line="240" w:lineRule="exact"/>
            </w:pPr>
            <w:r>
              <w:t>Original: English</w:t>
            </w:r>
          </w:p>
        </w:tc>
      </w:tr>
    </w:tbl>
    <w:p w14:paraId="56B2A860" w14:textId="77777777" w:rsidR="00816413" w:rsidRPr="006500BA" w:rsidRDefault="00816413"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1EF2465D" w14:textId="77777777" w:rsidR="00816413" w:rsidRPr="006500BA" w:rsidRDefault="00816413" w:rsidP="004858F5">
      <w:pPr>
        <w:spacing w:before="120"/>
        <w:rPr>
          <w:rFonts w:ascii="Helv" w:hAnsi="Helv" w:cs="Helv"/>
          <w:b/>
          <w:color w:val="000000"/>
        </w:rPr>
      </w:pPr>
      <w:r w:rsidRPr="006500BA">
        <w:rPr>
          <w:b/>
        </w:rPr>
        <w:t xml:space="preserve">Sub-Committee of Experts on the </w:t>
      </w:r>
      <w:r>
        <w:rPr>
          <w:b/>
        </w:rPr>
        <w:t>Transport of Dangerous Goods</w:t>
      </w:r>
    </w:p>
    <w:p w14:paraId="4F822F4E" w14:textId="5B8E9DF4" w:rsidR="00816413" w:rsidRPr="006500BA" w:rsidRDefault="00816413" w:rsidP="004858F5">
      <w:pPr>
        <w:spacing w:before="120"/>
        <w:rPr>
          <w:b/>
        </w:rPr>
      </w:pPr>
      <w:r>
        <w:rPr>
          <w:b/>
        </w:rPr>
        <w:t xml:space="preserve">Sixty-fourth </w:t>
      </w:r>
      <w:r w:rsidRPr="006500BA">
        <w:rPr>
          <w:b/>
        </w:rPr>
        <w:t>session</w:t>
      </w:r>
    </w:p>
    <w:p w14:paraId="505DB527" w14:textId="1B0D9016" w:rsidR="00816413" w:rsidRPr="006500BA" w:rsidRDefault="00816413" w:rsidP="004858F5">
      <w:r w:rsidRPr="006500BA">
        <w:t xml:space="preserve">Geneva, </w:t>
      </w:r>
      <w:r>
        <w:t>24 June-3 July 2024</w:t>
      </w:r>
    </w:p>
    <w:p w14:paraId="35FB6FA3" w14:textId="2B072D91" w:rsidR="00816413" w:rsidRPr="006500BA" w:rsidRDefault="00816413" w:rsidP="004858F5">
      <w:r w:rsidRPr="006500BA">
        <w:t xml:space="preserve">Item </w:t>
      </w:r>
      <w:r>
        <w:t>6 (b)</w:t>
      </w:r>
      <w:r w:rsidRPr="006500BA">
        <w:t xml:space="preserve"> of the provisional agenda</w:t>
      </w:r>
    </w:p>
    <w:p w14:paraId="610AFF1F" w14:textId="77777777" w:rsidR="00E70CB5" w:rsidRDefault="00816413" w:rsidP="00816413">
      <w:pPr>
        <w:rPr>
          <w:b/>
          <w:bCs/>
        </w:rPr>
      </w:pPr>
      <w:r w:rsidRPr="009B4B3C">
        <w:rPr>
          <w:b/>
          <w:bCs/>
        </w:rPr>
        <w:t>Miscellaneous proposals for amendments to the Model Regulations</w:t>
      </w:r>
    </w:p>
    <w:p w14:paraId="369E72EC" w14:textId="68174DA7" w:rsidR="00816413" w:rsidRPr="009B4B3C" w:rsidRDefault="00816413" w:rsidP="00816413">
      <w:pPr>
        <w:rPr>
          <w:b/>
          <w:bCs/>
        </w:rPr>
      </w:pPr>
      <w:r w:rsidRPr="009B4B3C">
        <w:rPr>
          <w:b/>
          <w:bCs/>
        </w:rPr>
        <w:t>on the Transport of Dangerous Goods:</w:t>
      </w:r>
    </w:p>
    <w:p w14:paraId="2F0CA9CD" w14:textId="77AB8D57" w:rsidR="00AF5DE1" w:rsidRDefault="00816413" w:rsidP="00816413">
      <w:pPr>
        <w:rPr>
          <w:b/>
          <w:bCs/>
        </w:rPr>
      </w:pPr>
      <w:proofErr w:type="spellStart"/>
      <w:r w:rsidRPr="00616046">
        <w:rPr>
          <w:b/>
          <w:bCs/>
        </w:rPr>
        <w:t>Packagings</w:t>
      </w:r>
      <w:proofErr w:type="spellEnd"/>
      <w:r w:rsidRPr="00616046">
        <w:rPr>
          <w:b/>
          <w:bCs/>
        </w:rPr>
        <w:t xml:space="preserve">, including the use of recycled plastics </w:t>
      </w:r>
      <w:proofErr w:type="gramStart"/>
      <w:r w:rsidRPr="00616046">
        <w:rPr>
          <w:b/>
          <w:bCs/>
        </w:rPr>
        <w:t>material</w:t>
      </w:r>
      <w:proofErr w:type="gramEnd"/>
    </w:p>
    <w:p w14:paraId="5FD178FF" w14:textId="77777777" w:rsidR="00034C09" w:rsidRPr="002B455F" w:rsidRDefault="00BE5C7E" w:rsidP="00991243">
      <w:pPr>
        <w:pStyle w:val="HChG"/>
      </w:pPr>
      <w:r>
        <w:tab/>
      </w:r>
      <w:r>
        <w:tab/>
      </w:r>
      <w:r w:rsidR="00034C09" w:rsidRPr="008733C3">
        <w:t xml:space="preserve">Performance </w:t>
      </w:r>
      <w:r w:rsidR="00034C09" w:rsidRPr="00991243">
        <w:t>and</w:t>
      </w:r>
      <w:r w:rsidR="00034C09" w:rsidRPr="008733C3">
        <w:t xml:space="preserve"> frequency of tests</w:t>
      </w:r>
    </w:p>
    <w:p w14:paraId="021BB49E" w14:textId="337BBE08" w:rsidR="00034C09" w:rsidRPr="00372A88" w:rsidRDefault="00034C09" w:rsidP="00991243">
      <w:pPr>
        <w:pStyle w:val="H1G"/>
        <w:rPr>
          <w:lang w:val="en-US"/>
        </w:rPr>
      </w:pPr>
      <w:r w:rsidRPr="00372A88">
        <w:rPr>
          <w:rFonts w:cs="Arial Unicode MS"/>
          <w:lang w:val="en-US"/>
        </w:rPr>
        <w:tab/>
      </w:r>
      <w:r w:rsidRPr="00372A88">
        <w:rPr>
          <w:rFonts w:cs="Arial Unicode MS"/>
          <w:lang w:val="en-US"/>
        </w:rPr>
        <w:tab/>
      </w:r>
      <w:r w:rsidRPr="004E2CEA">
        <w:t>Transmitted</w:t>
      </w:r>
      <w:r w:rsidRPr="00372A88">
        <w:rPr>
          <w:lang w:val="en-US"/>
        </w:rPr>
        <w:t xml:space="preserve"> by the expert from </w:t>
      </w:r>
      <w:r>
        <w:rPr>
          <w:lang w:val="en-US"/>
        </w:rPr>
        <w:t>Germany</w:t>
      </w:r>
      <w:r w:rsidR="00C343FE" w:rsidRPr="00C343FE">
        <w:rPr>
          <w:rStyle w:val="FootnoteReference"/>
          <w:sz w:val="20"/>
          <w:vertAlign w:val="baseline"/>
          <w:lang w:val="en-US"/>
        </w:rPr>
        <w:footnoteReference w:customMarkFollows="1" w:id="2"/>
        <w:t>*</w:t>
      </w:r>
    </w:p>
    <w:p w14:paraId="7BECCD0A" w14:textId="77777777" w:rsidR="00034C09" w:rsidRPr="00372A88" w:rsidRDefault="00034C09" w:rsidP="00991243">
      <w:pPr>
        <w:pStyle w:val="HChG"/>
        <w:rPr>
          <w:lang w:val="en-US"/>
        </w:rPr>
      </w:pPr>
      <w:r>
        <w:rPr>
          <w:sz w:val="24"/>
          <w:szCs w:val="24"/>
          <w:lang w:val="en-US"/>
        </w:rPr>
        <w:tab/>
        <w:t>I.</w:t>
      </w:r>
      <w:r>
        <w:rPr>
          <w:sz w:val="24"/>
          <w:szCs w:val="24"/>
          <w:lang w:val="en-US"/>
        </w:rPr>
        <w:tab/>
      </w:r>
      <w:r w:rsidRPr="00991243">
        <w:t>Introduction</w:t>
      </w:r>
    </w:p>
    <w:p w14:paraId="4682E8F4" w14:textId="04B538CE" w:rsidR="00034C09" w:rsidRDefault="00034C09" w:rsidP="00991243">
      <w:pPr>
        <w:pStyle w:val="SingleTxtG"/>
        <w:rPr>
          <w:lang w:val="en-US"/>
        </w:rPr>
      </w:pPr>
      <w:r w:rsidRPr="00372A88">
        <w:rPr>
          <w:lang w:val="en-US"/>
        </w:rPr>
        <w:t>1.</w:t>
      </w:r>
      <w:r w:rsidRPr="00372A88">
        <w:rPr>
          <w:lang w:val="en-US"/>
        </w:rPr>
        <w:tab/>
      </w:r>
      <w:r w:rsidRPr="008733C3">
        <w:rPr>
          <w:lang w:val="en-US"/>
        </w:rPr>
        <w:t>During the sixty-</w:t>
      </w:r>
      <w:r>
        <w:rPr>
          <w:lang w:val="en-US"/>
        </w:rPr>
        <w:t>third</w:t>
      </w:r>
      <w:r w:rsidRPr="008733C3">
        <w:rPr>
          <w:lang w:val="en-US"/>
        </w:rPr>
        <w:t xml:space="preserve"> session of this Sub-Committee</w:t>
      </w:r>
      <w:r>
        <w:rPr>
          <w:lang w:val="en-US"/>
        </w:rPr>
        <w:t xml:space="preserve"> the expert from Germany presented </w:t>
      </w:r>
      <w:r w:rsidR="00D17E27">
        <w:rPr>
          <w:lang w:val="en-US"/>
        </w:rPr>
        <w:t>informal document INF.6</w:t>
      </w:r>
      <w:r w:rsidR="00C343FE">
        <w:rPr>
          <w:lang w:val="en-US"/>
        </w:rPr>
        <w:t xml:space="preserve"> </w:t>
      </w:r>
      <w:r>
        <w:rPr>
          <w:lang w:val="en-US"/>
        </w:rPr>
        <w:t xml:space="preserve">seeking for a clarification on the scope of the tests to be carried out on production samples as stated in </w:t>
      </w:r>
      <w:r w:rsidRPr="008733C3">
        <w:rPr>
          <w:lang w:val="en-US"/>
        </w:rPr>
        <w:t>6.1.5.1.3</w:t>
      </w:r>
      <w:r>
        <w:rPr>
          <w:lang w:val="en-US"/>
        </w:rPr>
        <w:t xml:space="preserve">, </w:t>
      </w:r>
      <w:r w:rsidRPr="008733C3">
        <w:rPr>
          <w:lang w:val="en-US"/>
        </w:rPr>
        <w:t>6.3.5.1.3</w:t>
      </w:r>
      <w:r>
        <w:rPr>
          <w:lang w:val="en-US"/>
        </w:rPr>
        <w:t xml:space="preserve"> and </w:t>
      </w:r>
      <w:r w:rsidRPr="008733C3">
        <w:rPr>
          <w:lang w:val="en-US"/>
        </w:rPr>
        <w:t>6.6.5.1.3</w:t>
      </w:r>
      <w:r>
        <w:rPr>
          <w:lang w:val="en-US"/>
        </w:rPr>
        <w:t>.</w:t>
      </w:r>
    </w:p>
    <w:p w14:paraId="272FADD6" w14:textId="48F009F4" w:rsidR="00034C09" w:rsidRDefault="00034C09" w:rsidP="00034C09">
      <w:pPr>
        <w:pStyle w:val="SingleTxtG"/>
        <w:rPr>
          <w:lang w:val="en-US"/>
        </w:rPr>
      </w:pPr>
      <w:r>
        <w:rPr>
          <w:lang w:val="en-US"/>
        </w:rPr>
        <w:t>2.</w:t>
      </w:r>
      <w:r>
        <w:rPr>
          <w:lang w:val="en-US"/>
        </w:rPr>
        <w:tab/>
        <w:t xml:space="preserve">As indicated in the report of the </w:t>
      </w:r>
      <w:r w:rsidRPr="008821CF">
        <w:rPr>
          <w:lang w:val="en-US"/>
        </w:rPr>
        <w:t>sixty-third session</w:t>
      </w:r>
      <w:r>
        <w:rPr>
          <w:lang w:val="en-US"/>
        </w:rPr>
        <w:t xml:space="preserve"> (see </w:t>
      </w:r>
      <w:r w:rsidRPr="00AB1432">
        <w:rPr>
          <w:lang w:val="en-US"/>
        </w:rPr>
        <w:t>ST/SG/AC.10/C.3/126</w:t>
      </w:r>
      <w:r w:rsidR="00AB1432" w:rsidRPr="004B17D9">
        <w:rPr>
          <w:rStyle w:val="FootnoteReference"/>
          <w:color w:val="000000" w:themeColor="text1"/>
          <w:lang w:val="en-US"/>
        </w:rPr>
        <w:footnoteReference w:id="3"/>
      </w:r>
      <w:r>
        <w:rPr>
          <w:lang w:val="en-US"/>
        </w:rPr>
        <w:t>) “m</w:t>
      </w:r>
      <w:r w:rsidRPr="008821CF">
        <w:rPr>
          <w:lang w:val="en-US"/>
        </w:rPr>
        <w:t>ost delegations who spoke were of the opinion that the current text of the first</w:t>
      </w:r>
      <w:r>
        <w:rPr>
          <w:lang w:val="en-US"/>
        </w:rPr>
        <w:t xml:space="preserve"> </w:t>
      </w:r>
      <w:r w:rsidRPr="008821CF">
        <w:rPr>
          <w:lang w:val="en-US"/>
        </w:rPr>
        <w:t>sentence in 6.1.5.1.3 allows the competent authorities to decide which tests (</w:t>
      </w:r>
      <w:proofErr w:type="gramStart"/>
      <w:r w:rsidRPr="008821CF">
        <w:rPr>
          <w:lang w:val="en-US"/>
        </w:rPr>
        <w:t>i.e.</w:t>
      </w:r>
      <w:proofErr w:type="gramEnd"/>
      <w:r w:rsidRPr="008821CF">
        <w:rPr>
          <w:lang w:val="en-US"/>
        </w:rPr>
        <w:t xml:space="preserve"> all, partially</w:t>
      </w:r>
      <w:r>
        <w:rPr>
          <w:lang w:val="en-US"/>
        </w:rPr>
        <w:t xml:space="preserve"> </w:t>
      </w:r>
      <w:r w:rsidRPr="008821CF">
        <w:rPr>
          <w:lang w:val="en-US"/>
        </w:rPr>
        <w:t>or even none) should be repeated on production samples and also at what intervals</w:t>
      </w:r>
      <w:r>
        <w:rPr>
          <w:lang w:val="en-US"/>
        </w:rPr>
        <w:t>”</w:t>
      </w:r>
      <w:r w:rsidRPr="008821CF">
        <w:rPr>
          <w:lang w:val="en-US"/>
        </w:rPr>
        <w:t>.</w:t>
      </w:r>
      <w:r>
        <w:rPr>
          <w:lang w:val="en-US"/>
        </w:rPr>
        <w:t xml:space="preserve"> </w:t>
      </w:r>
      <w:r w:rsidRPr="00A55A72">
        <w:rPr>
          <w:lang w:val="en-US"/>
        </w:rPr>
        <w:t>The Sub-Committee agreed to resume consideration of this subject</w:t>
      </w:r>
      <w:r>
        <w:rPr>
          <w:lang w:val="en-US"/>
        </w:rPr>
        <w:t>.</w:t>
      </w:r>
    </w:p>
    <w:p w14:paraId="6B2CB25F" w14:textId="77777777" w:rsidR="00034C09" w:rsidRDefault="00034C09" w:rsidP="00034C09">
      <w:pPr>
        <w:pStyle w:val="HChG"/>
        <w:jc w:val="both"/>
        <w:rPr>
          <w:lang w:val="en-US"/>
        </w:rPr>
      </w:pPr>
      <w:r>
        <w:rPr>
          <w:lang w:val="en-US"/>
        </w:rPr>
        <w:tab/>
      </w:r>
      <w:r w:rsidRPr="00EA1F75">
        <w:rPr>
          <w:lang w:val="en-US"/>
        </w:rPr>
        <w:t>I</w:t>
      </w:r>
      <w:r>
        <w:rPr>
          <w:lang w:val="en-US"/>
        </w:rPr>
        <w:t>I</w:t>
      </w:r>
      <w:r w:rsidRPr="00EA1F75">
        <w:rPr>
          <w:lang w:val="en-US"/>
        </w:rPr>
        <w:t>.</w:t>
      </w:r>
      <w:r w:rsidRPr="00EA1F75">
        <w:rPr>
          <w:lang w:val="en-US"/>
        </w:rPr>
        <w:tab/>
      </w:r>
      <w:r>
        <w:rPr>
          <w:szCs w:val="28"/>
        </w:rPr>
        <w:t>Discussion</w:t>
      </w:r>
    </w:p>
    <w:p w14:paraId="2CC3D93A" w14:textId="0885008F" w:rsidR="00034C09" w:rsidRDefault="00034C09" w:rsidP="00034C09">
      <w:pPr>
        <w:pStyle w:val="SingleTxtG"/>
        <w:rPr>
          <w:lang w:val="en-US"/>
        </w:rPr>
      </w:pPr>
      <w:r>
        <w:rPr>
          <w:lang w:val="en-US"/>
        </w:rPr>
        <w:t>3.</w:t>
      </w:r>
      <w:r>
        <w:rPr>
          <w:lang w:val="en-US"/>
        </w:rPr>
        <w:tab/>
        <w:t>The discussion d</w:t>
      </w:r>
      <w:r w:rsidRPr="006A7BC7">
        <w:rPr>
          <w:lang w:val="en-US"/>
        </w:rPr>
        <w:t>uring the sixty-third session</w:t>
      </w:r>
      <w:r>
        <w:rPr>
          <w:lang w:val="en-US"/>
        </w:rPr>
        <w:t xml:space="preserve"> showed that the current English language version leaves much room for interpretations ranging from “repeat all tests” to “do not repeat any tests”, whereas other language versions leave less or no room for interpretation, </w:t>
      </w:r>
      <w:proofErr w:type="gramStart"/>
      <w:r>
        <w:rPr>
          <w:lang w:val="en-US"/>
        </w:rPr>
        <w:t>e.g.</w:t>
      </w:r>
      <w:proofErr w:type="gramEnd"/>
      <w:r>
        <w:rPr>
          <w:lang w:val="en-US"/>
        </w:rPr>
        <w:t xml:space="preserve"> the Spanish language version of the </w:t>
      </w:r>
      <w:r w:rsidRPr="003D3608">
        <w:rPr>
          <w:i/>
          <w:iCs/>
          <w:lang w:val="en-US"/>
        </w:rPr>
        <w:t xml:space="preserve">Model </w:t>
      </w:r>
      <w:r w:rsidR="00BA2995">
        <w:rPr>
          <w:i/>
          <w:iCs/>
          <w:lang w:val="en-US"/>
        </w:rPr>
        <w:t>R</w:t>
      </w:r>
      <w:r w:rsidRPr="003D3608">
        <w:rPr>
          <w:i/>
          <w:iCs/>
          <w:lang w:val="en-US"/>
        </w:rPr>
        <w:t>egulations</w:t>
      </w:r>
      <w:r>
        <w:rPr>
          <w:lang w:val="en-US"/>
        </w:rPr>
        <w:t xml:space="preserve"> or the German language version of the </w:t>
      </w:r>
      <w:r w:rsidR="001767B7" w:rsidRPr="001767B7">
        <w:rPr>
          <w:lang w:val="en-US"/>
        </w:rPr>
        <w:t xml:space="preserve">Agreement concerning the International Carriage of Dangerous Goods by Road </w:t>
      </w:r>
      <w:r w:rsidR="001767B7">
        <w:rPr>
          <w:lang w:val="en-US"/>
        </w:rPr>
        <w:t>(</w:t>
      </w:r>
      <w:r>
        <w:rPr>
          <w:lang w:val="en-US"/>
        </w:rPr>
        <w:t>ADR</w:t>
      </w:r>
      <w:r w:rsidR="001767B7">
        <w:rPr>
          <w:lang w:val="en-US"/>
        </w:rPr>
        <w:t>)</w:t>
      </w:r>
      <w:r>
        <w:rPr>
          <w:lang w:val="en-US"/>
        </w:rPr>
        <w:t>. Therefore, Germany believes that an amendment might be useful.</w:t>
      </w:r>
    </w:p>
    <w:p w14:paraId="70716381" w14:textId="6C034107" w:rsidR="00034C09" w:rsidRDefault="00034C09" w:rsidP="00034C09">
      <w:pPr>
        <w:pStyle w:val="SingleTxtG"/>
        <w:rPr>
          <w:lang w:val="en-US"/>
        </w:rPr>
      </w:pPr>
      <w:r>
        <w:rPr>
          <w:lang w:val="en-US"/>
        </w:rPr>
        <w:t>4.</w:t>
      </w:r>
      <w:r>
        <w:rPr>
          <w:lang w:val="en-US"/>
        </w:rPr>
        <w:tab/>
        <w:t>As it seems to be quite difficult to find a short but unambiguous text for an amendment, Germany proposes to make a rather simple amendment to the current text as shown in paragraph</w:t>
      </w:r>
      <w:r w:rsidR="004427A3">
        <w:rPr>
          <w:lang w:val="en-US"/>
        </w:rPr>
        <w:t>s</w:t>
      </w:r>
      <w:r>
        <w:rPr>
          <w:lang w:val="en-US"/>
        </w:rPr>
        <w:t xml:space="preserve"> 7 to 9 </w:t>
      </w:r>
      <w:r w:rsidR="00307E0B">
        <w:rPr>
          <w:lang w:val="en-US"/>
        </w:rPr>
        <w:t xml:space="preserve">below </w:t>
      </w:r>
      <w:r w:rsidRPr="002D29D8">
        <w:rPr>
          <w:lang w:val="en-US"/>
        </w:rPr>
        <w:t xml:space="preserve">together with a </w:t>
      </w:r>
      <w:r w:rsidR="0069389A">
        <w:rPr>
          <w:lang w:val="en-US"/>
        </w:rPr>
        <w:t>u</w:t>
      </w:r>
      <w:r w:rsidRPr="002D29D8">
        <w:rPr>
          <w:lang w:val="en-US"/>
        </w:rPr>
        <w:t xml:space="preserve">nified </w:t>
      </w:r>
      <w:r w:rsidR="0069389A">
        <w:rPr>
          <w:lang w:val="en-US"/>
        </w:rPr>
        <w:t>i</w:t>
      </w:r>
      <w:r w:rsidRPr="002D29D8">
        <w:rPr>
          <w:lang w:val="en-US"/>
        </w:rPr>
        <w:t xml:space="preserve">nterpretation in the report of this sixty-fourth session as presented in paragraph </w:t>
      </w:r>
      <w:r>
        <w:rPr>
          <w:lang w:val="en-US"/>
        </w:rPr>
        <w:t>10</w:t>
      </w:r>
      <w:r w:rsidR="00264845">
        <w:rPr>
          <w:lang w:val="en-US"/>
        </w:rPr>
        <w:t xml:space="preserve"> below</w:t>
      </w:r>
      <w:r>
        <w:rPr>
          <w:lang w:val="en-US"/>
        </w:rPr>
        <w:t xml:space="preserve">. The amendments presented in </w:t>
      </w:r>
      <w:r w:rsidRPr="002D29D8">
        <w:rPr>
          <w:lang w:val="en-US"/>
        </w:rPr>
        <w:t>paragraph</w:t>
      </w:r>
      <w:r w:rsidR="004427A3">
        <w:rPr>
          <w:lang w:val="en-US"/>
        </w:rPr>
        <w:t>s</w:t>
      </w:r>
      <w:r w:rsidRPr="002D29D8">
        <w:rPr>
          <w:lang w:val="en-US"/>
        </w:rPr>
        <w:t xml:space="preserve"> </w:t>
      </w:r>
      <w:r>
        <w:rPr>
          <w:lang w:val="en-US"/>
        </w:rPr>
        <w:t>7</w:t>
      </w:r>
      <w:r w:rsidRPr="002D29D8">
        <w:rPr>
          <w:lang w:val="en-US"/>
        </w:rPr>
        <w:t xml:space="preserve"> to </w:t>
      </w:r>
      <w:r>
        <w:rPr>
          <w:lang w:val="en-US"/>
        </w:rPr>
        <w:t>9</w:t>
      </w:r>
      <w:r w:rsidRPr="002D29D8">
        <w:rPr>
          <w:lang w:val="en-US"/>
        </w:rPr>
        <w:t xml:space="preserve"> </w:t>
      </w:r>
      <w:r>
        <w:rPr>
          <w:lang w:val="en-US"/>
        </w:rPr>
        <w:lastRenderedPageBreak/>
        <w:t xml:space="preserve">in the English language version would lead to amendments in other linguistic versions, which might help to resolve the differences in the different linguistic versions. The </w:t>
      </w:r>
      <w:r w:rsidR="004427A3">
        <w:rPr>
          <w:lang w:val="en-US"/>
        </w:rPr>
        <w:t>u</w:t>
      </w:r>
      <w:r>
        <w:rPr>
          <w:lang w:val="en-US"/>
        </w:rPr>
        <w:t xml:space="preserve">nified </w:t>
      </w:r>
      <w:r w:rsidR="004427A3">
        <w:rPr>
          <w:lang w:val="en-US"/>
        </w:rPr>
        <w:t>i</w:t>
      </w:r>
      <w:r>
        <w:rPr>
          <w:lang w:val="en-US"/>
        </w:rPr>
        <w:t xml:space="preserve">nterpretation given in paragraph 10 </w:t>
      </w:r>
      <w:r w:rsidR="00187BAC">
        <w:rPr>
          <w:lang w:val="en-US"/>
        </w:rPr>
        <w:t xml:space="preserve">below </w:t>
      </w:r>
      <w:r>
        <w:rPr>
          <w:lang w:val="en-US"/>
        </w:rPr>
        <w:t>would help to clarify the scope.</w:t>
      </w:r>
    </w:p>
    <w:p w14:paraId="4903391C" w14:textId="38B7F406" w:rsidR="00034C09" w:rsidRDefault="00034C09" w:rsidP="00034C09">
      <w:pPr>
        <w:pStyle w:val="SingleTxtG"/>
        <w:rPr>
          <w:lang w:val="en-US"/>
        </w:rPr>
      </w:pPr>
      <w:r>
        <w:rPr>
          <w:lang w:val="en-US"/>
        </w:rPr>
        <w:t>5.</w:t>
      </w:r>
      <w:r>
        <w:rPr>
          <w:lang w:val="en-US"/>
        </w:rPr>
        <w:tab/>
        <w:t xml:space="preserve">In addition, </w:t>
      </w:r>
      <w:r w:rsidR="00187BAC">
        <w:rPr>
          <w:lang w:val="en-US"/>
        </w:rPr>
        <w:t>Germany</w:t>
      </w:r>
      <w:r>
        <w:rPr>
          <w:lang w:val="en-US"/>
        </w:rPr>
        <w:t xml:space="preserve"> would like to clarify that we chose the phrase “</w:t>
      </w:r>
      <w:r>
        <w:rPr>
          <w:i/>
          <w:iCs/>
          <w:lang w:val="en-US"/>
        </w:rPr>
        <w:t>a</w:t>
      </w:r>
      <w:r w:rsidRPr="009A432E">
        <w:rPr>
          <w:i/>
          <w:iCs/>
          <w:lang w:val="en-US"/>
        </w:rPr>
        <w:t>ppropriate mechanical design type tests</w:t>
      </w:r>
      <w:r>
        <w:rPr>
          <w:lang w:val="en-US"/>
        </w:rPr>
        <w:t xml:space="preserve">” in our initial proposal in </w:t>
      </w:r>
      <w:r w:rsidR="002033A1">
        <w:rPr>
          <w:lang w:val="en-US"/>
        </w:rPr>
        <w:t xml:space="preserve">informal document INF.6 </w:t>
      </w:r>
      <w:r w:rsidR="00862518">
        <w:rPr>
          <w:lang w:val="en-US"/>
        </w:rPr>
        <w:t>of the</w:t>
      </w:r>
      <w:r w:rsidR="00054DAF">
        <w:rPr>
          <w:lang w:val="en-US"/>
        </w:rPr>
        <w:t xml:space="preserve"> </w:t>
      </w:r>
      <w:r w:rsidR="00491795">
        <w:rPr>
          <w:lang w:val="en-US"/>
        </w:rPr>
        <w:t xml:space="preserve">sixty-third session of the </w:t>
      </w:r>
      <w:r w:rsidR="00054DAF">
        <w:rPr>
          <w:lang w:val="en-US"/>
        </w:rPr>
        <w:t xml:space="preserve">Sub-Committee </w:t>
      </w:r>
      <w:r>
        <w:rPr>
          <w:lang w:val="en-US"/>
        </w:rPr>
        <w:t xml:space="preserve">for two reasons. On one hand, the intention was to utilize existing text as this phrase is already used in 1.2.1 in the definition of </w:t>
      </w:r>
      <w:r w:rsidR="00F04CC2" w:rsidRPr="00F04CC2">
        <w:rPr>
          <w:i/>
          <w:iCs/>
          <w:lang w:val="en-US"/>
        </w:rPr>
        <w:t>“</w:t>
      </w:r>
      <w:r w:rsidRPr="009A432E">
        <w:rPr>
          <w:i/>
          <w:iCs/>
          <w:lang w:val="en-US"/>
        </w:rPr>
        <w:t>Recycled plastics material</w:t>
      </w:r>
      <w:r w:rsidR="00F04CC2">
        <w:rPr>
          <w:i/>
          <w:iCs/>
          <w:lang w:val="en-US"/>
        </w:rPr>
        <w:t>”</w:t>
      </w:r>
      <w:r>
        <w:rPr>
          <w:lang w:val="en-US"/>
        </w:rPr>
        <w:t xml:space="preserve">. On the other hand, the original intention was to restrict the scope to the mechanical testing, </w:t>
      </w:r>
      <w:proofErr w:type="gramStart"/>
      <w:r>
        <w:rPr>
          <w:lang w:val="en-US"/>
        </w:rPr>
        <w:t>i.e.</w:t>
      </w:r>
      <w:proofErr w:type="gramEnd"/>
      <w:r>
        <w:rPr>
          <w:lang w:val="en-US"/>
        </w:rPr>
        <w:t xml:space="preserve"> chemical compatibility testing (as e.g. in </w:t>
      </w:r>
      <w:r w:rsidRPr="00AD50D9">
        <w:rPr>
          <w:lang w:val="en-US"/>
        </w:rPr>
        <w:t>6.1.5.2.</w:t>
      </w:r>
      <w:r>
        <w:rPr>
          <w:lang w:val="en-US"/>
        </w:rPr>
        <w:t xml:space="preserve">5 and 6.1.5.2.6 </w:t>
      </w:r>
      <w:r w:rsidR="00443419">
        <w:rPr>
          <w:lang w:val="en-US"/>
        </w:rPr>
        <w:t xml:space="preserve">of </w:t>
      </w:r>
      <w:r>
        <w:rPr>
          <w:lang w:val="en-US"/>
        </w:rPr>
        <w:t xml:space="preserve">ADR) and permeability testing (as e.g. in 6.1.5.7 </w:t>
      </w:r>
      <w:r w:rsidR="001C6CA9">
        <w:rPr>
          <w:lang w:val="en-US"/>
        </w:rPr>
        <w:t xml:space="preserve">of </w:t>
      </w:r>
      <w:r>
        <w:rPr>
          <w:lang w:val="en-US"/>
        </w:rPr>
        <w:t>ADR) would have been explicitly excluded. In the discussion during</w:t>
      </w:r>
      <w:r w:rsidRPr="009A432E">
        <w:rPr>
          <w:lang w:val="en-US"/>
        </w:rPr>
        <w:t xml:space="preserve"> the sixty-third </w:t>
      </w:r>
      <w:proofErr w:type="gramStart"/>
      <w:r w:rsidRPr="009A432E">
        <w:rPr>
          <w:lang w:val="en-US"/>
        </w:rPr>
        <w:t>session</w:t>
      </w:r>
      <w:proofErr w:type="gramEnd"/>
      <w:r>
        <w:rPr>
          <w:lang w:val="en-US"/>
        </w:rPr>
        <w:t xml:space="preserve"> it became clear that the simpler wording “</w:t>
      </w:r>
      <w:r>
        <w:rPr>
          <w:i/>
          <w:iCs/>
          <w:lang w:val="en-US"/>
        </w:rPr>
        <w:t>a</w:t>
      </w:r>
      <w:r w:rsidRPr="009A432E">
        <w:rPr>
          <w:i/>
          <w:iCs/>
          <w:lang w:val="en-US"/>
        </w:rPr>
        <w:t>ppropriate tests</w:t>
      </w:r>
      <w:r>
        <w:rPr>
          <w:lang w:val="en-US"/>
        </w:rPr>
        <w:t xml:space="preserve">” would already allow for waiving chemical compatibility testing as well as </w:t>
      </w:r>
      <w:r w:rsidRPr="00AD50D9">
        <w:rPr>
          <w:lang w:val="en-US"/>
        </w:rPr>
        <w:t xml:space="preserve">permeability </w:t>
      </w:r>
      <w:r>
        <w:rPr>
          <w:lang w:val="en-US"/>
        </w:rPr>
        <w:t>testing.</w:t>
      </w:r>
    </w:p>
    <w:p w14:paraId="1BB2BAB8" w14:textId="77777777" w:rsidR="00034C09" w:rsidRDefault="00034C09" w:rsidP="00034C09">
      <w:pPr>
        <w:pStyle w:val="SingleTxtG"/>
        <w:rPr>
          <w:lang w:val="en-US"/>
        </w:rPr>
      </w:pPr>
      <w:r>
        <w:rPr>
          <w:lang w:val="en-US"/>
        </w:rPr>
        <w:t>6</w:t>
      </w:r>
      <w:r w:rsidRPr="008821CF">
        <w:rPr>
          <w:lang w:val="en-US"/>
        </w:rPr>
        <w:t>.</w:t>
      </w:r>
      <w:r w:rsidRPr="008821CF">
        <w:rPr>
          <w:lang w:val="en-US"/>
        </w:rPr>
        <w:tab/>
        <w:t xml:space="preserve">This document supports Sustainable Development Goal 16.6 – Develop effective, </w:t>
      </w:r>
      <w:proofErr w:type="gramStart"/>
      <w:r w:rsidRPr="008821CF">
        <w:rPr>
          <w:lang w:val="en-US"/>
        </w:rPr>
        <w:t>accountable</w:t>
      </w:r>
      <w:proofErr w:type="gramEnd"/>
      <w:r w:rsidRPr="008821CF">
        <w:rPr>
          <w:lang w:val="en-US"/>
        </w:rPr>
        <w:t xml:space="preserve"> and transparent institutions at all levels of the UN Agenda 2030 by avoiding different requirements within the </w:t>
      </w:r>
      <w:r w:rsidRPr="003D3608">
        <w:rPr>
          <w:i/>
          <w:iCs/>
          <w:lang w:val="en-US"/>
        </w:rPr>
        <w:t>Model Regulations</w:t>
      </w:r>
      <w:r w:rsidRPr="008821CF">
        <w:rPr>
          <w:lang w:val="en-US"/>
        </w:rPr>
        <w:t xml:space="preserve"> as well as it’s linguistic versions.</w:t>
      </w:r>
    </w:p>
    <w:p w14:paraId="32B1ECA0" w14:textId="77777777" w:rsidR="00034C09" w:rsidRPr="00FB5674" w:rsidRDefault="00034C09" w:rsidP="00034C09">
      <w:pPr>
        <w:pStyle w:val="HChG"/>
        <w:jc w:val="both"/>
        <w:rPr>
          <w:sz w:val="24"/>
          <w:szCs w:val="24"/>
        </w:rPr>
      </w:pPr>
      <w:r>
        <w:rPr>
          <w:szCs w:val="28"/>
        </w:rPr>
        <w:tab/>
        <w:t>III.</w:t>
      </w:r>
      <w:r>
        <w:rPr>
          <w:szCs w:val="28"/>
        </w:rPr>
        <w:tab/>
      </w:r>
      <w:r w:rsidRPr="00FB5674">
        <w:rPr>
          <w:szCs w:val="28"/>
        </w:rPr>
        <w:t>Proposal</w:t>
      </w:r>
    </w:p>
    <w:p w14:paraId="6ECF9069" w14:textId="77777777" w:rsidR="00034C09" w:rsidRPr="008821CF" w:rsidRDefault="00034C09" w:rsidP="00034C09">
      <w:pPr>
        <w:pStyle w:val="SingleTxtG"/>
        <w:rPr>
          <w:lang w:eastAsia="en-US"/>
        </w:rPr>
      </w:pPr>
      <w:r>
        <w:rPr>
          <w:lang w:val="en-US"/>
        </w:rPr>
        <w:t>7.</w:t>
      </w:r>
      <w:r>
        <w:rPr>
          <w:lang w:val="en-US"/>
        </w:rPr>
        <w:tab/>
      </w:r>
      <w:r w:rsidRPr="008821CF">
        <w:rPr>
          <w:lang w:eastAsia="en-US"/>
        </w:rPr>
        <w:t>Amend the first sentence of 6.1.5.1.3 as follows (new text is underlined, deleted text is stricken-through):</w:t>
      </w:r>
    </w:p>
    <w:p w14:paraId="2BE407A1" w14:textId="77777777" w:rsidR="00034C09" w:rsidRPr="00C255A1" w:rsidRDefault="00034C09" w:rsidP="00034C09">
      <w:pPr>
        <w:suppressAutoHyphens/>
        <w:kinsoku w:val="0"/>
        <w:overflowPunct w:val="0"/>
        <w:autoSpaceDE w:val="0"/>
        <w:autoSpaceDN w:val="0"/>
        <w:adjustRightInd w:val="0"/>
        <w:snapToGrid w:val="0"/>
        <w:spacing w:after="120" w:line="240" w:lineRule="exact"/>
        <w:ind w:left="1701" w:right="1134"/>
        <w:jc w:val="both"/>
        <w:rPr>
          <w:rFonts w:eastAsia="Times New Roman"/>
          <w:lang w:eastAsia="en-US"/>
        </w:rPr>
      </w:pPr>
      <w:r w:rsidRPr="00C255A1">
        <w:rPr>
          <w:rFonts w:eastAsia="Times New Roman"/>
          <w:lang w:eastAsia="en-US"/>
        </w:rPr>
        <w:t>“</w:t>
      </w:r>
      <w:r w:rsidRPr="00C255A1">
        <w:rPr>
          <w:rFonts w:eastAsia="Times New Roman"/>
          <w:u w:val="single"/>
          <w:lang w:eastAsia="en-US"/>
        </w:rPr>
        <w:t>Appropriate tests</w:t>
      </w:r>
      <w:r w:rsidRPr="00C255A1">
        <w:rPr>
          <w:rFonts w:eastAsia="Times New Roman"/>
          <w:strike/>
          <w:lang w:eastAsia="en-US"/>
        </w:rPr>
        <w:t xml:space="preserve"> </w:t>
      </w:r>
      <w:proofErr w:type="spellStart"/>
      <w:r w:rsidRPr="00C255A1">
        <w:rPr>
          <w:rFonts w:eastAsia="Times New Roman"/>
          <w:strike/>
          <w:lang w:eastAsia="en-US"/>
        </w:rPr>
        <w:t>Tests</w:t>
      </w:r>
      <w:proofErr w:type="spellEnd"/>
      <w:r w:rsidRPr="00C255A1">
        <w:rPr>
          <w:rFonts w:eastAsia="Times New Roman"/>
          <w:lang w:eastAsia="en-US"/>
        </w:rPr>
        <w:t xml:space="preserve"> shall be repeated on production samples at intervals established by the competent authority.”</w:t>
      </w:r>
    </w:p>
    <w:p w14:paraId="66056C26" w14:textId="77777777" w:rsidR="00034C09" w:rsidRPr="00C255A1" w:rsidRDefault="00034C09" w:rsidP="00034C09">
      <w:pPr>
        <w:suppressAutoHyphens/>
        <w:spacing w:after="120"/>
        <w:ind w:left="1134" w:right="1134"/>
        <w:jc w:val="both"/>
        <w:rPr>
          <w:lang w:eastAsia="en-US"/>
        </w:rPr>
      </w:pPr>
      <w:r w:rsidRPr="00C255A1">
        <w:rPr>
          <w:lang w:eastAsia="en-US"/>
        </w:rPr>
        <w:t>8.</w:t>
      </w:r>
      <w:r w:rsidRPr="00C255A1">
        <w:rPr>
          <w:lang w:eastAsia="en-US"/>
        </w:rPr>
        <w:tab/>
        <w:t>Amend 6.3.5.1.3 as follows:</w:t>
      </w:r>
    </w:p>
    <w:p w14:paraId="7912E4A3" w14:textId="77777777" w:rsidR="00034C09" w:rsidRPr="00C255A1" w:rsidRDefault="00034C09" w:rsidP="00034C09">
      <w:pPr>
        <w:suppressAutoHyphens/>
        <w:kinsoku w:val="0"/>
        <w:overflowPunct w:val="0"/>
        <w:autoSpaceDE w:val="0"/>
        <w:autoSpaceDN w:val="0"/>
        <w:adjustRightInd w:val="0"/>
        <w:snapToGrid w:val="0"/>
        <w:spacing w:after="120" w:line="240" w:lineRule="exact"/>
        <w:ind w:left="1701" w:right="1134"/>
        <w:jc w:val="both"/>
        <w:rPr>
          <w:rFonts w:eastAsia="Times New Roman"/>
          <w:lang w:eastAsia="en-US"/>
        </w:rPr>
      </w:pPr>
      <w:r w:rsidRPr="00C255A1">
        <w:rPr>
          <w:rFonts w:eastAsia="Times New Roman"/>
          <w:lang w:eastAsia="en-US"/>
        </w:rPr>
        <w:t>“</w:t>
      </w:r>
      <w:r w:rsidRPr="00C255A1">
        <w:rPr>
          <w:rFonts w:eastAsia="Times New Roman"/>
          <w:u w:val="single"/>
          <w:lang w:eastAsia="en-US"/>
        </w:rPr>
        <w:t>Appropriate tests</w:t>
      </w:r>
      <w:r w:rsidRPr="00C255A1">
        <w:rPr>
          <w:rFonts w:eastAsia="Times New Roman"/>
          <w:strike/>
          <w:lang w:eastAsia="en-US"/>
        </w:rPr>
        <w:t xml:space="preserve"> </w:t>
      </w:r>
      <w:proofErr w:type="spellStart"/>
      <w:r w:rsidRPr="00C255A1">
        <w:rPr>
          <w:rFonts w:eastAsia="Times New Roman"/>
          <w:strike/>
          <w:lang w:eastAsia="en-US"/>
        </w:rPr>
        <w:t>Tests</w:t>
      </w:r>
      <w:proofErr w:type="spellEnd"/>
      <w:r w:rsidRPr="00C255A1">
        <w:rPr>
          <w:rFonts w:eastAsia="Times New Roman"/>
          <w:lang w:eastAsia="en-US"/>
        </w:rPr>
        <w:t xml:space="preserve"> shall be repeated on production samples at intervals established by the competent authority.”</w:t>
      </w:r>
    </w:p>
    <w:p w14:paraId="64DA4490" w14:textId="77777777" w:rsidR="00034C09" w:rsidRPr="00C255A1" w:rsidRDefault="00034C09" w:rsidP="00034C09">
      <w:pPr>
        <w:suppressAutoHyphens/>
        <w:spacing w:after="120"/>
        <w:ind w:left="1134" w:right="1134"/>
        <w:jc w:val="both"/>
        <w:rPr>
          <w:lang w:eastAsia="en-US"/>
        </w:rPr>
      </w:pPr>
      <w:r w:rsidRPr="00C255A1">
        <w:rPr>
          <w:lang w:eastAsia="en-US"/>
        </w:rPr>
        <w:t>9.</w:t>
      </w:r>
      <w:r w:rsidRPr="00C255A1">
        <w:rPr>
          <w:lang w:eastAsia="en-US"/>
        </w:rPr>
        <w:tab/>
        <w:t>Amend the first sentence of 6.6.5.1.3 as follows:</w:t>
      </w:r>
    </w:p>
    <w:p w14:paraId="24853230" w14:textId="44B824A5" w:rsidR="00034C09" w:rsidRPr="00C255A1" w:rsidRDefault="00034C09" w:rsidP="00034C09">
      <w:pPr>
        <w:suppressAutoHyphens/>
        <w:kinsoku w:val="0"/>
        <w:overflowPunct w:val="0"/>
        <w:autoSpaceDE w:val="0"/>
        <w:autoSpaceDN w:val="0"/>
        <w:adjustRightInd w:val="0"/>
        <w:snapToGrid w:val="0"/>
        <w:spacing w:after="120" w:line="240" w:lineRule="exact"/>
        <w:ind w:left="1701" w:right="1134"/>
        <w:jc w:val="both"/>
        <w:rPr>
          <w:lang w:val="en-US"/>
        </w:rPr>
      </w:pPr>
      <w:r w:rsidRPr="00C255A1">
        <w:rPr>
          <w:rFonts w:eastAsia="Times New Roman"/>
          <w:lang w:eastAsia="en-US"/>
        </w:rPr>
        <w:t>“</w:t>
      </w:r>
      <w:r w:rsidRPr="00C255A1">
        <w:rPr>
          <w:rFonts w:eastAsia="Times New Roman"/>
          <w:u w:val="single"/>
          <w:lang w:eastAsia="en-US"/>
        </w:rPr>
        <w:t>Appropriate tests</w:t>
      </w:r>
      <w:r w:rsidRPr="00C255A1">
        <w:rPr>
          <w:rFonts w:eastAsia="Times New Roman"/>
          <w:strike/>
          <w:lang w:eastAsia="en-US"/>
        </w:rPr>
        <w:t xml:space="preserve"> </w:t>
      </w:r>
      <w:proofErr w:type="spellStart"/>
      <w:r w:rsidRPr="00C255A1">
        <w:rPr>
          <w:rFonts w:eastAsia="Times New Roman"/>
          <w:strike/>
          <w:lang w:eastAsia="en-US"/>
        </w:rPr>
        <w:t>Tests</w:t>
      </w:r>
      <w:proofErr w:type="spellEnd"/>
      <w:r w:rsidRPr="00C255A1">
        <w:rPr>
          <w:rFonts w:eastAsia="Times New Roman"/>
          <w:lang w:eastAsia="en-US"/>
        </w:rPr>
        <w:t xml:space="preserve"> shall be repeated on production samples at intervals established by the competent authority.”</w:t>
      </w:r>
    </w:p>
    <w:p w14:paraId="3FF11939" w14:textId="5D5FB38A" w:rsidR="00816413" w:rsidRDefault="00034C09" w:rsidP="005D49ED">
      <w:pPr>
        <w:pStyle w:val="SingleTxtG"/>
        <w:rPr>
          <w:lang w:val="en-US"/>
        </w:rPr>
      </w:pPr>
      <w:r>
        <w:rPr>
          <w:lang w:val="en-US"/>
        </w:rPr>
        <w:t>10.</w:t>
      </w:r>
      <w:r>
        <w:rPr>
          <w:lang w:val="en-US"/>
        </w:rPr>
        <w:tab/>
        <w:t xml:space="preserve">Add to the </w:t>
      </w:r>
      <w:r w:rsidR="00917590">
        <w:rPr>
          <w:lang w:val="en-US"/>
        </w:rPr>
        <w:t xml:space="preserve">session’s </w:t>
      </w:r>
      <w:r>
        <w:rPr>
          <w:lang w:val="en-US"/>
        </w:rPr>
        <w:t xml:space="preserve">report </w:t>
      </w:r>
      <w:r w:rsidR="0017702C">
        <w:rPr>
          <w:lang w:val="en-US"/>
        </w:rPr>
        <w:t>(</w:t>
      </w:r>
      <w:r w:rsidR="009C2A1D">
        <w:rPr>
          <w:lang w:val="en-US"/>
        </w:rPr>
        <w:t>under agenda item 11</w:t>
      </w:r>
      <w:r w:rsidR="0017702C">
        <w:rPr>
          <w:lang w:val="en-US"/>
        </w:rPr>
        <w:t>)</w:t>
      </w:r>
      <w:r w:rsidR="009C2A1D">
        <w:rPr>
          <w:lang w:val="en-US"/>
        </w:rPr>
        <w:t xml:space="preserve"> </w:t>
      </w:r>
      <w:r>
        <w:rPr>
          <w:lang w:val="en-US"/>
        </w:rPr>
        <w:t xml:space="preserve">a </w:t>
      </w:r>
      <w:r w:rsidR="00D563F3">
        <w:rPr>
          <w:lang w:val="en-US"/>
        </w:rPr>
        <w:t>“</w:t>
      </w:r>
      <w:r>
        <w:rPr>
          <w:lang w:val="en-US"/>
        </w:rPr>
        <w:t>Unified Interpretation</w:t>
      </w:r>
      <w:r w:rsidR="00D563F3">
        <w:rPr>
          <w:lang w:val="en-US"/>
        </w:rPr>
        <w:t>”</w:t>
      </w:r>
      <w:r>
        <w:rPr>
          <w:lang w:val="en-US"/>
        </w:rPr>
        <w:t xml:space="preserve"> on the meaning of the phrase “appropriate tests” that </w:t>
      </w:r>
      <w:r w:rsidRPr="005D49ED">
        <w:rPr>
          <w:i/>
          <w:iCs/>
          <w:lang w:val="en-US"/>
        </w:rPr>
        <w:t xml:space="preserve">“the word </w:t>
      </w:r>
      <w:r w:rsidR="00A05E6A">
        <w:rPr>
          <w:i/>
          <w:iCs/>
          <w:lang w:val="en-US"/>
        </w:rPr>
        <w:t>‘</w:t>
      </w:r>
      <w:r w:rsidRPr="005D49ED">
        <w:rPr>
          <w:i/>
          <w:iCs/>
          <w:lang w:val="en-US"/>
        </w:rPr>
        <w:t>appropriate</w:t>
      </w:r>
      <w:r w:rsidR="00A05E6A">
        <w:rPr>
          <w:i/>
          <w:iCs/>
          <w:lang w:val="en-US"/>
        </w:rPr>
        <w:t>’</w:t>
      </w:r>
      <w:r w:rsidRPr="00777AB8">
        <w:rPr>
          <w:lang w:val="en-US"/>
        </w:rPr>
        <w:t xml:space="preserve"> </w:t>
      </w:r>
      <w:r w:rsidRPr="005D49ED">
        <w:rPr>
          <w:i/>
          <w:iCs/>
          <w:lang w:val="en-US"/>
        </w:rPr>
        <w:t xml:space="preserve">means in this context that only those tests on production samples according to 6.1.5.1.3, 6.3.5.1.3 and 6.6.5.1.3 are to be waived where experience has shown that it is very unlikely that the test will not be passed during a design type test, for instance the stacking test on metal large </w:t>
      </w:r>
      <w:proofErr w:type="spellStart"/>
      <w:r w:rsidRPr="005D49ED">
        <w:rPr>
          <w:i/>
          <w:iCs/>
          <w:lang w:val="en-US"/>
        </w:rPr>
        <w:t>packagings</w:t>
      </w:r>
      <w:proofErr w:type="spellEnd"/>
      <w:r w:rsidRPr="005D49ED">
        <w:rPr>
          <w:i/>
          <w:iCs/>
          <w:lang w:val="en-US"/>
        </w:rPr>
        <w:t xml:space="preserve"> commonly used today”</w:t>
      </w:r>
      <w:r w:rsidRPr="00B34D90">
        <w:rPr>
          <w:lang w:val="en-US"/>
        </w:rPr>
        <w:t xml:space="preserve"> </w:t>
      </w:r>
      <w:r>
        <w:rPr>
          <w:lang w:val="en-US"/>
        </w:rPr>
        <w:t>just to give one example as an indication.</w:t>
      </w:r>
    </w:p>
    <w:p w14:paraId="2919F3C8" w14:textId="63A9F5AE" w:rsidR="00034C09" w:rsidRPr="00034C09" w:rsidRDefault="00034C09" w:rsidP="00034C09">
      <w:pPr>
        <w:spacing w:before="240"/>
        <w:jc w:val="center"/>
        <w:rPr>
          <w:u w:val="single"/>
          <w:lang w:val="en-US"/>
        </w:rPr>
      </w:pPr>
      <w:r>
        <w:rPr>
          <w:u w:val="single"/>
          <w:lang w:val="en-US"/>
        </w:rPr>
        <w:tab/>
      </w:r>
      <w:r>
        <w:rPr>
          <w:u w:val="single"/>
          <w:lang w:val="en-US"/>
        </w:rPr>
        <w:tab/>
      </w:r>
      <w:r>
        <w:rPr>
          <w:u w:val="single"/>
          <w:lang w:val="en-US"/>
        </w:rPr>
        <w:tab/>
      </w:r>
    </w:p>
    <w:sectPr w:rsidR="00034C09" w:rsidRPr="00034C09" w:rsidSect="00816413">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E0393" w14:textId="77777777" w:rsidR="000C044E" w:rsidRPr="00C47B2E" w:rsidRDefault="000C044E" w:rsidP="00C47B2E">
      <w:pPr>
        <w:pStyle w:val="Footer"/>
      </w:pPr>
    </w:p>
  </w:endnote>
  <w:endnote w:type="continuationSeparator" w:id="0">
    <w:p w14:paraId="6AD7D9F5" w14:textId="77777777" w:rsidR="000C044E" w:rsidRPr="00C47B2E" w:rsidRDefault="000C044E" w:rsidP="00C47B2E">
      <w:pPr>
        <w:pStyle w:val="Footer"/>
      </w:pPr>
    </w:p>
  </w:endnote>
  <w:endnote w:type="continuationNotice" w:id="1">
    <w:p w14:paraId="7F4809AD" w14:textId="77777777" w:rsidR="000C044E" w:rsidRPr="00C47B2E" w:rsidRDefault="000C044E"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100C6" w14:textId="22C2734C" w:rsidR="00D94B05" w:rsidRPr="00816413" w:rsidRDefault="00816413" w:rsidP="00D85308">
    <w:pPr>
      <w:pStyle w:val="Footer"/>
      <w:tabs>
        <w:tab w:val="right" w:pos="9639"/>
      </w:tabs>
      <w:rPr>
        <w:sz w:val="18"/>
      </w:rPr>
    </w:pPr>
    <w:r w:rsidRPr="00816413">
      <w:rPr>
        <w:b/>
        <w:sz w:val="18"/>
      </w:rPr>
      <w:fldChar w:fldCharType="begin"/>
    </w:r>
    <w:r w:rsidRPr="00816413">
      <w:rPr>
        <w:b/>
        <w:sz w:val="18"/>
      </w:rPr>
      <w:instrText xml:space="preserve"> PAGE  \* MERGEFORMAT </w:instrText>
    </w:r>
    <w:r w:rsidRPr="00816413">
      <w:rPr>
        <w:b/>
        <w:sz w:val="18"/>
      </w:rPr>
      <w:fldChar w:fldCharType="separate"/>
    </w:r>
    <w:r w:rsidRPr="00816413">
      <w:rPr>
        <w:b/>
        <w:noProof/>
        <w:sz w:val="18"/>
      </w:rPr>
      <w:t>2</w:t>
    </w:r>
    <w:r w:rsidRPr="0081641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9E45D" w14:textId="2C2958A1" w:rsidR="00D94B05" w:rsidRPr="00816413" w:rsidRDefault="00816413" w:rsidP="00D85308">
    <w:pPr>
      <w:pStyle w:val="Footer"/>
      <w:tabs>
        <w:tab w:val="right" w:pos="9639"/>
      </w:tabs>
      <w:rPr>
        <w:b/>
        <w:bCs/>
        <w:sz w:val="18"/>
      </w:rPr>
    </w:pPr>
    <w:r>
      <w:rPr>
        <w:bCs/>
        <w:sz w:val="18"/>
      </w:rPr>
      <w:tab/>
    </w:r>
    <w:r w:rsidRPr="00816413">
      <w:rPr>
        <w:b/>
        <w:bCs/>
        <w:sz w:val="18"/>
      </w:rPr>
      <w:fldChar w:fldCharType="begin"/>
    </w:r>
    <w:r w:rsidRPr="00816413">
      <w:rPr>
        <w:b/>
        <w:bCs/>
        <w:sz w:val="18"/>
      </w:rPr>
      <w:instrText xml:space="preserve"> PAGE  \* MERGEFORMAT </w:instrText>
    </w:r>
    <w:r w:rsidRPr="00816413">
      <w:rPr>
        <w:b/>
        <w:bCs/>
        <w:sz w:val="18"/>
      </w:rPr>
      <w:fldChar w:fldCharType="separate"/>
    </w:r>
    <w:r w:rsidRPr="00816413">
      <w:rPr>
        <w:b/>
        <w:bCs/>
        <w:noProof/>
        <w:sz w:val="18"/>
      </w:rPr>
      <w:t>3</w:t>
    </w:r>
    <w:r w:rsidRPr="0081641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89200" w14:textId="3F9C8AE5" w:rsidR="00E22C98" w:rsidRDefault="00E22C98" w:rsidP="00E22C98">
    <w:pPr>
      <w:pStyle w:val="Footer"/>
    </w:pPr>
    <w:r w:rsidRPr="0027112F">
      <w:rPr>
        <w:noProof/>
        <w:lang w:val="en-US"/>
      </w:rPr>
      <w:drawing>
        <wp:anchor distT="0" distB="0" distL="114300" distR="114300" simplePos="0" relativeHeight="251659264" behindDoc="0" locked="1" layoutInCell="1" allowOverlap="1" wp14:anchorId="73894BE7" wp14:editId="7531DF8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82C29AA" w14:textId="4658ACB6" w:rsidR="00E22C98" w:rsidRPr="00E22C98" w:rsidRDefault="00E22C98" w:rsidP="00E22C98">
    <w:pPr>
      <w:pStyle w:val="Footer"/>
      <w:ind w:right="1134"/>
      <w:rPr>
        <w:sz w:val="20"/>
      </w:rPr>
    </w:pPr>
    <w:r>
      <w:rPr>
        <w:sz w:val="20"/>
      </w:rPr>
      <w:t>GE.24-</w:t>
    </w:r>
    <w:proofErr w:type="gramStart"/>
    <w:r>
      <w:rPr>
        <w:sz w:val="20"/>
      </w:rPr>
      <w:t>06242  (</w:t>
    </w:r>
    <w:proofErr w:type="gramEnd"/>
    <w:r>
      <w:rPr>
        <w:sz w:val="20"/>
      </w:rPr>
      <w:t>E)</w:t>
    </w:r>
    <w:r>
      <w:rPr>
        <w:noProof/>
        <w:sz w:val="20"/>
      </w:rPr>
      <w:drawing>
        <wp:anchor distT="0" distB="0" distL="114300" distR="114300" simplePos="0" relativeHeight="251660288" behindDoc="0" locked="0" layoutInCell="1" allowOverlap="1" wp14:anchorId="27812388" wp14:editId="0C7DD652">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6C84C" w14:textId="77777777" w:rsidR="000C044E" w:rsidRPr="00C47B2E" w:rsidRDefault="000C044E" w:rsidP="00C47B2E">
      <w:pPr>
        <w:tabs>
          <w:tab w:val="right" w:pos="2155"/>
        </w:tabs>
        <w:spacing w:after="80" w:line="240" w:lineRule="auto"/>
        <w:ind w:left="680"/>
      </w:pPr>
      <w:r>
        <w:rPr>
          <w:u w:val="single"/>
        </w:rPr>
        <w:tab/>
      </w:r>
    </w:p>
  </w:footnote>
  <w:footnote w:type="continuationSeparator" w:id="0">
    <w:p w14:paraId="510CBFF2" w14:textId="77777777" w:rsidR="000C044E" w:rsidRPr="00C47B2E" w:rsidRDefault="000C044E" w:rsidP="005E716E">
      <w:pPr>
        <w:tabs>
          <w:tab w:val="right" w:pos="2155"/>
        </w:tabs>
        <w:spacing w:after="80" w:line="240" w:lineRule="auto"/>
        <w:ind w:left="680"/>
      </w:pPr>
      <w:r>
        <w:rPr>
          <w:u w:val="single"/>
        </w:rPr>
        <w:tab/>
      </w:r>
    </w:p>
  </w:footnote>
  <w:footnote w:type="continuationNotice" w:id="1">
    <w:p w14:paraId="523D6A54" w14:textId="77777777" w:rsidR="000C044E" w:rsidRPr="00C47B2E" w:rsidRDefault="000C044E" w:rsidP="00C47B2E">
      <w:pPr>
        <w:pStyle w:val="Footer"/>
      </w:pPr>
    </w:p>
  </w:footnote>
  <w:footnote w:id="2">
    <w:p w14:paraId="2D360D80" w14:textId="3E1A04CE" w:rsidR="00C343FE" w:rsidRPr="00C343FE" w:rsidRDefault="00C343FE">
      <w:pPr>
        <w:pStyle w:val="FootnoteText"/>
        <w:rPr>
          <w:lang w:val="fr-CH"/>
        </w:rPr>
      </w:pPr>
      <w:r>
        <w:rPr>
          <w:rStyle w:val="FootnoteReference"/>
        </w:rPr>
        <w:tab/>
      </w:r>
      <w:r w:rsidRPr="00C343FE">
        <w:rPr>
          <w:rStyle w:val="FootnoteReference"/>
          <w:sz w:val="20"/>
          <w:vertAlign w:val="baseline"/>
        </w:rPr>
        <w:t>*</w:t>
      </w:r>
      <w:r>
        <w:rPr>
          <w:rStyle w:val="FootnoteReference"/>
          <w:sz w:val="20"/>
          <w:vertAlign w:val="baseline"/>
        </w:rPr>
        <w:tab/>
      </w:r>
      <w:r w:rsidR="009D077F" w:rsidRPr="0082113E">
        <w:t>A/78/6 (Sect. 20), table 20.5</w:t>
      </w:r>
      <w:r w:rsidR="009D077F">
        <w:t>.</w:t>
      </w:r>
    </w:p>
  </w:footnote>
  <w:footnote w:id="3">
    <w:p w14:paraId="4A78C0BD" w14:textId="6BFFB60B" w:rsidR="00AB1432" w:rsidRPr="003E6C2E" w:rsidRDefault="00AB1432" w:rsidP="00AB1432">
      <w:pPr>
        <w:pStyle w:val="FootnoteText"/>
        <w:widowControl w:val="0"/>
        <w:tabs>
          <w:tab w:val="clear" w:pos="1021"/>
          <w:tab w:val="right" w:pos="1020"/>
        </w:tabs>
        <w:suppressAutoHyphens/>
        <w:rPr>
          <w:szCs w:val="18"/>
          <w:lang w:val="fr-CH"/>
        </w:rPr>
      </w:pPr>
      <w:r>
        <w:tab/>
      </w:r>
      <w:r>
        <w:rPr>
          <w:rStyle w:val="FootnoteReference"/>
        </w:rPr>
        <w:footnoteRef/>
      </w:r>
      <w:r>
        <w:tab/>
      </w:r>
      <w:hyperlink r:id="rId1" w:history="1">
        <w:r w:rsidRPr="003E6C2E">
          <w:rPr>
            <w:color w:val="0000FF"/>
            <w:szCs w:val="18"/>
            <w:u w:val="single"/>
          </w:rPr>
          <w:t>Report of the Sub-Committee of Experts on the Transport of Dangerous Goods on its sixty-third session | UNECE</w:t>
        </w:r>
      </w:hyperlink>
      <w:r w:rsidR="00843852" w:rsidRPr="003E6C2E">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2880B" w14:textId="4A079E6B" w:rsidR="00816413" w:rsidRPr="00816413" w:rsidRDefault="00E22C98">
    <w:pPr>
      <w:pStyle w:val="Header"/>
    </w:pPr>
    <w:r>
      <w:fldChar w:fldCharType="begin"/>
    </w:r>
    <w:r>
      <w:instrText xml:space="preserve"> TITLE  \* MERGEFORMAT </w:instrText>
    </w:r>
    <w:r>
      <w:fldChar w:fldCharType="separate"/>
    </w:r>
    <w:r w:rsidR="00816413">
      <w:t>ST/SG/AC.10/C.3/2024/12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47CB2" w14:textId="2A0FCD17" w:rsidR="00D94B05" w:rsidRPr="00816413" w:rsidRDefault="00E22C98" w:rsidP="00816413">
    <w:pPr>
      <w:pStyle w:val="Header"/>
      <w:jc w:val="right"/>
    </w:pPr>
    <w:r>
      <w:fldChar w:fldCharType="begin"/>
    </w:r>
    <w:r>
      <w:instrText xml:space="preserve"> TITLE  \* MERGEFORMAT </w:instrText>
    </w:r>
    <w:r>
      <w:fldChar w:fldCharType="separate"/>
    </w:r>
    <w:r w:rsidR="00816413">
      <w:t>ST/SG/AC.10/AC.3/2024/12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16172172">
    <w:abstractNumId w:val="5"/>
  </w:num>
  <w:num w:numId="2" w16cid:durableId="1073159890">
    <w:abstractNumId w:val="4"/>
  </w:num>
  <w:num w:numId="3" w16cid:durableId="551188904">
    <w:abstractNumId w:val="0"/>
  </w:num>
  <w:num w:numId="4" w16cid:durableId="44254624">
    <w:abstractNumId w:val="6"/>
  </w:num>
  <w:num w:numId="5" w16cid:durableId="1816027029">
    <w:abstractNumId w:val="7"/>
  </w:num>
  <w:num w:numId="6" w16cid:durableId="1836190579">
    <w:abstractNumId w:val="9"/>
  </w:num>
  <w:num w:numId="7" w16cid:durableId="634676252">
    <w:abstractNumId w:val="3"/>
  </w:num>
  <w:num w:numId="8" w16cid:durableId="1039166836">
    <w:abstractNumId w:val="1"/>
  </w:num>
  <w:num w:numId="9" w16cid:durableId="644969981">
    <w:abstractNumId w:val="8"/>
  </w:num>
  <w:num w:numId="10" w16cid:durableId="525103391">
    <w:abstractNumId w:val="1"/>
  </w:num>
  <w:num w:numId="11" w16cid:durableId="297342166">
    <w:abstractNumId w:val="8"/>
  </w:num>
  <w:num w:numId="12" w16cid:durableId="1280380300">
    <w:abstractNumId w:val="2"/>
  </w:num>
  <w:num w:numId="13" w16cid:durableId="19886995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413"/>
    <w:rsid w:val="00034C09"/>
    <w:rsid w:val="00046E92"/>
    <w:rsid w:val="00054DAF"/>
    <w:rsid w:val="00063C90"/>
    <w:rsid w:val="00070000"/>
    <w:rsid w:val="0007139D"/>
    <w:rsid w:val="0007637C"/>
    <w:rsid w:val="000934E7"/>
    <w:rsid w:val="000C044E"/>
    <w:rsid w:val="00101B98"/>
    <w:rsid w:val="001514D1"/>
    <w:rsid w:val="001767B7"/>
    <w:rsid w:val="0017702C"/>
    <w:rsid w:val="00187BAC"/>
    <w:rsid w:val="001C6CA9"/>
    <w:rsid w:val="002033A1"/>
    <w:rsid w:val="00247E2C"/>
    <w:rsid w:val="00264845"/>
    <w:rsid w:val="00266439"/>
    <w:rsid w:val="002A32CB"/>
    <w:rsid w:val="002D5B2C"/>
    <w:rsid w:val="002D6C53"/>
    <w:rsid w:val="002F5595"/>
    <w:rsid w:val="00307E0B"/>
    <w:rsid w:val="003230AB"/>
    <w:rsid w:val="00334F6A"/>
    <w:rsid w:val="00342AC8"/>
    <w:rsid w:val="00343302"/>
    <w:rsid w:val="003979DE"/>
    <w:rsid w:val="003B1248"/>
    <w:rsid w:val="003B4550"/>
    <w:rsid w:val="003D2A18"/>
    <w:rsid w:val="003D3608"/>
    <w:rsid w:val="003E6C2E"/>
    <w:rsid w:val="00413386"/>
    <w:rsid w:val="004427A3"/>
    <w:rsid w:val="00443419"/>
    <w:rsid w:val="00461253"/>
    <w:rsid w:val="004858F5"/>
    <w:rsid w:val="00491795"/>
    <w:rsid w:val="004A2814"/>
    <w:rsid w:val="004B17D9"/>
    <w:rsid w:val="004C0622"/>
    <w:rsid w:val="004F73D0"/>
    <w:rsid w:val="005042C2"/>
    <w:rsid w:val="00522A3A"/>
    <w:rsid w:val="00595962"/>
    <w:rsid w:val="005D49ED"/>
    <w:rsid w:val="005E716E"/>
    <w:rsid w:val="006476E1"/>
    <w:rsid w:val="006604DF"/>
    <w:rsid w:val="00671529"/>
    <w:rsid w:val="0069389A"/>
    <w:rsid w:val="006F1EF5"/>
    <w:rsid w:val="0070489D"/>
    <w:rsid w:val="007200A1"/>
    <w:rsid w:val="007268F9"/>
    <w:rsid w:val="00747898"/>
    <w:rsid w:val="00750282"/>
    <w:rsid w:val="00764440"/>
    <w:rsid w:val="0077101B"/>
    <w:rsid w:val="007C52B0"/>
    <w:rsid w:val="007C6033"/>
    <w:rsid w:val="008147C8"/>
    <w:rsid w:val="00816413"/>
    <w:rsid w:val="0081753A"/>
    <w:rsid w:val="00843852"/>
    <w:rsid w:val="00857D23"/>
    <w:rsid w:val="00862518"/>
    <w:rsid w:val="00917590"/>
    <w:rsid w:val="009411B4"/>
    <w:rsid w:val="00946F1D"/>
    <w:rsid w:val="00991243"/>
    <w:rsid w:val="009A0A7F"/>
    <w:rsid w:val="009C2A1D"/>
    <w:rsid w:val="009D0139"/>
    <w:rsid w:val="009D077F"/>
    <w:rsid w:val="009D717D"/>
    <w:rsid w:val="009F5CDC"/>
    <w:rsid w:val="00A05E6A"/>
    <w:rsid w:val="00A072D7"/>
    <w:rsid w:val="00A775CF"/>
    <w:rsid w:val="00AB1432"/>
    <w:rsid w:val="00AD1A9C"/>
    <w:rsid w:val="00AF5DE1"/>
    <w:rsid w:val="00B06045"/>
    <w:rsid w:val="00B206DD"/>
    <w:rsid w:val="00B369EB"/>
    <w:rsid w:val="00B52EF4"/>
    <w:rsid w:val="00B777AD"/>
    <w:rsid w:val="00B90F78"/>
    <w:rsid w:val="00BA2995"/>
    <w:rsid w:val="00BE5C7E"/>
    <w:rsid w:val="00BE79E0"/>
    <w:rsid w:val="00C03015"/>
    <w:rsid w:val="00C0358D"/>
    <w:rsid w:val="00C255A1"/>
    <w:rsid w:val="00C343FE"/>
    <w:rsid w:val="00C35A27"/>
    <w:rsid w:val="00C47B2E"/>
    <w:rsid w:val="00C70230"/>
    <w:rsid w:val="00CB287A"/>
    <w:rsid w:val="00D17E27"/>
    <w:rsid w:val="00D2075D"/>
    <w:rsid w:val="00D563F3"/>
    <w:rsid w:val="00D63CD2"/>
    <w:rsid w:val="00D832B2"/>
    <w:rsid w:val="00D85308"/>
    <w:rsid w:val="00D87DC2"/>
    <w:rsid w:val="00D93887"/>
    <w:rsid w:val="00D94B05"/>
    <w:rsid w:val="00DC7379"/>
    <w:rsid w:val="00E02C2B"/>
    <w:rsid w:val="00E21C27"/>
    <w:rsid w:val="00E22C98"/>
    <w:rsid w:val="00E26BCF"/>
    <w:rsid w:val="00E33E08"/>
    <w:rsid w:val="00E52109"/>
    <w:rsid w:val="00E70CB5"/>
    <w:rsid w:val="00E75317"/>
    <w:rsid w:val="00EC0CE6"/>
    <w:rsid w:val="00EC7C1D"/>
    <w:rsid w:val="00ED6C48"/>
    <w:rsid w:val="00EE3045"/>
    <w:rsid w:val="00F04CC2"/>
    <w:rsid w:val="00F26186"/>
    <w:rsid w:val="00F65F5D"/>
    <w:rsid w:val="00F86A3A"/>
    <w:rsid w:val="00FA42DA"/>
    <w:rsid w:val="00FE2AC5"/>
    <w:rsid w:val="00FE57C1"/>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09422"/>
  <w15:docId w15:val="{DEE46FD0-82DF-4CF4-A44A-CA21D7967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uiPriority w:val="99"/>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034C09"/>
    <w:rPr>
      <w:b/>
      <w:sz w:val="28"/>
    </w:rPr>
  </w:style>
  <w:style w:type="character" w:customStyle="1" w:styleId="SingleTxtGChar">
    <w:name w:val="_ Single Txt_G Char"/>
    <w:link w:val="SingleTxtG"/>
    <w:qFormat/>
    <w:locked/>
    <w:rsid w:val="00034C09"/>
  </w:style>
  <w:style w:type="character" w:customStyle="1" w:styleId="H1GChar">
    <w:name w:val="_ H_1_G Char"/>
    <w:link w:val="H1G"/>
    <w:rsid w:val="00034C09"/>
    <w:rPr>
      <w:b/>
      <w:sz w:val="24"/>
    </w:rPr>
  </w:style>
  <w:style w:type="paragraph" w:styleId="Revision">
    <w:name w:val="Revision"/>
    <w:hidden/>
    <w:uiPriority w:val="99"/>
    <w:semiHidden/>
    <w:rsid w:val="00D17E2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transport/documents/2023/12/reports/report-sub-committee-experts-transport-dangerous-goods-i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Alicia Dorca Garcia</DisplayName>
        <AccountId>1313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2.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0E96D6C7-A69F-4CC1-9C48-E5514C6CF912}">
  <ds:schemaRefs>
    <ds:schemaRef ds:uri="http://schemas.microsoft.com/sharepoint/v3/contenttype/forms"/>
  </ds:schemaRefs>
</ds:datastoreItem>
</file>

<file path=customXml/itemProps4.xml><?xml version="1.0" encoding="utf-8"?>
<ds:datastoreItem xmlns:ds="http://schemas.openxmlformats.org/officeDocument/2006/customXml" ds:itemID="{5B91E3F4-9593-44DF-A118-32CE4B66E10C}"/>
</file>

<file path=docProps/app.xml><?xml version="1.0" encoding="utf-8"?>
<Properties xmlns="http://schemas.openxmlformats.org/officeDocument/2006/extended-properties" xmlns:vt="http://schemas.openxmlformats.org/officeDocument/2006/docPropsVTypes">
  <Template>SGAC10_E.dotm</Template>
  <TotalTime>0</TotalTime>
  <Pages>2</Pages>
  <Words>713</Words>
  <Characters>3942</Characters>
  <Application>Microsoft Office Word</Application>
  <DocSecurity>0</DocSecurity>
  <Lines>75</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ST/SG/AC.10/C.3/2024/12</dc:title>
  <dc:subject>2406242</dc:subject>
  <dc:creator>Alicia DORCA-GARCIA</dc:creator>
  <cp:keywords/>
  <dc:description/>
  <cp:lastModifiedBy>Pauline Anne Escalante</cp:lastModifiedBy>
  <cp:revision>2</cp:revision>
  <dcterms:created xsi:type="dcterms:W3CDTF">2024-04-18T12:23:00Z</dcterms:created>
  <dcterms:modified xsi:type="dcterms:W3CDTF">2024-04-18T12:23:00Z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