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591911" w14:paraId="50F2B899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2EAF81D" w14:textId="77777777" w:rsidR="00132EA9" w:rsidRPr="00DB58B5" w:rsidRDefault="00132EA9" w:rsidP="0059191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B3D5936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943CF2" w14:textId="4FCA5B8D" w:rsidR="00591911" w:rsidRPr="00591911" w:rsidRDefault="00591911" w:rsidP="00591911">
            <w:pPr>
              <w:jc w:val="right"/>
              <w:rPr>
                <w:lang w:val="en-US"/>
              </w:rPr>
            </w:pPr>
            <w:r w:rsidRPr="00591911">
              <w:rPr>
                <w:sz w:val="40"/>
                <w:lang w:val="en-US"/>
              </w:rPr>
              <w:t>ST</w:t>
            </w:r>
            <w:r w:rsidRPr="00591911">
              <w:rPr>
                <w:lang w:val="en-US"/>
              </w:rPr>
              <w:t>/SG/AC.10/C.3/2024/5−</w:t>
            </w:r>
            <w:r w:rsidRPr="00591911">
              <w:rPr>
                <w:sz w:val="40"/>
                <w:lang w:val="en-US"/>
              </w:rPr>
              <w:t>ST</w:t>
            </w:r>
            <w:r w:rsidRPr="00591911">
              <w:rPr>
                <w:lang w:val="en-US"/>
              </w:rPr>
              <w:t>/SG/AC.10/C.4/2024/2</w:t>
            </w:r>
          </w:p>
        </w:tc>
      </w:tr>
      <w:tr w:rsidR="00132EA9" w:rsidRPr="00DB58B5" w14:paraId="2729EA3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A0B7A0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99426A4" wp14:editId="539B35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B13A22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CBD1342" w14:textId="77777777" w:rsidR="00132EA9" w:rsidRDefault="00591911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E87D807" w14:textId="77777777" w:rsidR="00591911" w:rsidRDefault="00591911" w:rsidP="00591911">
            <w:pPr>
              <w:spacing w:line="240" w:lineRule="exact"/>
            </w:pPr>
            <w:r>
              <w:t>21 mars 2024</w:t>
            </w:r>
          </w:p>
          <w:p w14:paraId="363F4301" w14:textId="77777777" w:rsidR="00591911" w:rsidRDefault="00591911" w:rsidP="00591911">
            <w:pPr>
              <w:spacing w:line="240" w:lineRule="exact"/>
            </w:pPr>
            <w:r>
              <w:t>Français</w:t>
            </w:r>
          </w:p>
          <w:p w14:paraId="74100F5A" w14:textId="253B1FB6" w:rsidR="00591911" w:rsidRPr="00DB58B5" w:rsidRDefault="00591911" w:rsidP="00591911">
            <w:pPr>
              <w:spacing w:line="240" w:lineRule="exact"/>
            </w:pPr>
            <w:r>
              <w:t>Original : anglais</w:t>
            </w:r>
          </w:p>
        </w:tc>
      </w:tr>
    </w:tbl>
    <w:p w14:paraId="363434C9" w14:textId="77777777" w:rsidR="00591911" w:rsidRPr="00CA0680" w:rsidRDefault="00591911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Grilledutableau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591911" w14:paraId="29A8C230" w14:textId="77777777" w:rsidTr="009C3129">
        <w:tc>
          <w:tcPr>
            <w:tcW w:w="4820" w:type="dxa"/>
          </w:tcPr>
          <w:p w14:paraId="0BD9DDD6" w14:textId="77777777" w:rsidR="00591911" w:rsidRDefault="00591911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402013EA" w14:textId="77777777" w:rsidR="00591911" w:rsidRDefault="00591911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591911" w14:paraId="7AF86275" w14:textId="77777777" w:rsidTr="009C3129">
        <w:tc>
          <w:tcPr>
            <w:tcW w:w="4820" w:type="dxa"/>
          </w:tcPr>
          <w:p w14:paraId="4A2E7E88" w14:textId="20E02ABB" w:rsidR="00591911" w:rsidRPr="00CA0680" w:rsidRDefault="00591911" w:rsidP="009C3129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Soixante-quatrième session</w:t>
            </w:r>
          </w:p>
        </w:tc>
        <w:tc>
          <w:tcPr>
            <w:tcW w:w="4820" w:type="dxa"/>
          </w:tcPr>
          <w:p w14:paraId="74B9121A" w14:textId="6E972EDF" w:rsidR="00591911" w:rsidRDefault="00591911" w:rsidP="009C3129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Quarante-sixième session</w:t>
            </w:r>
          </w:p>
        </w:tc>
      </w:tr>
      <w:tr w:rsidR="00591911" w14:paraId="2C79B0B2" w14:textId="77777777" w:rsidTr="009C3129">
        <w:tc>
          <w:tcPr>
            <w:tcW w:w="4820" w:type="dxa"/>
          </w:tcPr>
          <w:p w14:paraId="25E61BD1" w14:textId="5A9C3A70" w:rsidR="00591911" w:rsidRDefault="00591911" w:rsidP="009C3129">
            <w:r>
              <w:rPr>
                <w:lang w:val="fr-FR"/>
              </w:rPr>
              <w:t>Genève, 24 juin-3 juillet 2024</w:t>
            </w:r>
          </w:p>
          <w:p w14:paraId="607270F0" w14:textId="77777777" w:rsidR="00591911" w:rsidRPr="00093F8B" w:rsidRDefault="00591911" w:rsidP="00591911">
            <w:pPr>
              <w:rPr>
                <w:lang w:val="fr-FR"/>
              </w:rPr>
            </w:pPr>
            <w:r>
              <w:rPr>
                <w:lang w:val="fr-FR"/>
              </w:rPr>
              <w:t>Point 10 b) de l’ordre du jour provisoire</w:t>
            </w:r>
          </w:p>
          <w:p w14:paraId="4BE53FEB" w14:textId="1EBD95FF" w:rsidR="00591911" w:rsidRPr="00591911" w:rsidRDefault="00591911" w:rsidP="009C3129">
            <w:r>
              <w:rPr>
                <w:b/>
                <w:bCs/>
                <w:lang w:val="fr-FR"/>
              </w:rPr>
              <w:t xml:space="preserve">Questions relatives au Système général harmonisé de classification et d’étiquetage des produits chimiques : Affectation à plusieurs classes de danger physique </w:t>
            </w:r>
            <w:r w:rsidR="005E5A3A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et éventuelle combinaison de dangers</w:t>
            </w:r>
          </w:p>
        </w:tc>
        <w:tc>
          <w:tcPr>
            <w:tcW w:w="4820" w:type="dxa"/>
          </w:tcPr>
          <w:p w14:paraId="34D1E85F" w14:textId="0740810D" w:rsidR="00591911" w:rsidRDefault="00591911" w:rsidP="009C3129">
            <w:r>
              <w:rPr>
                <w:lang w:val="fr-FR"/>
              </w:rPr>
              <w:t>Genève, 3-5 juillet 2024</w:t>
            </w:r>
          </w:p>
          <w:p w14:paraId="6DC90C3D" w14:textId="77777777" w:rsidR="00591911" w:rsidRPr="00093F8B" w:rsidRDefault="00591911" w:rsidP="00591911">
            <w:pPr>
              <w:rPr>
                <w:lang w:val="fr-FR"/>
              </w:rPr>
            </w:pPr>
            <w:r>
              <w:rPr>
                <w:lang w:val="fr-FR"/>
              </w:rPr>
              <w:t>Point 2 b) de l’ordre du jour provisoire</w:t>
            </w:r>
          </w:p>
          <w:p w14:paraId="02CDCE8D" w14:textId="6A300A70" w:rsidR="00591911" w:rsidRPr="003B79D9" w:rsidRDefault="00591911" w:rsidP="00591911">
            <w:pPr>
              <w:rPr>
                <w:b/>
              </w:rPr>
            </w:pPr>
            <w:r>
              <w:rPr>
                <w:b/>
                <w:bCs/>
                <w:lang w:val="fr-FR"/>
              </w:rPr>
              <w:t xml:space="preserve">Travaux relatifs au Système général harmonisé de classification et d’étiquetage des produits chimiques : Affectation à plusieurs classes de danger physique </w:t>
            </w:r>
            <w:r w:rsidR="005E5A3A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et hiérarchisation des dangers</w:t>
            </w:r>
          </w:p>
        </w:tc>
      </w:tr>
    </w:tbl>
    <w:p w14:paraId="645693EC" w14:textId="23B723EB" w:rsidR="00591911" w:rsidRPr="00093F8B" w:rsidRDefault="00591911" w:rsidP="0059191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clarification de la classe de danger </w:t>
      </w:r>
      <w:r>
        <w:rPr>
          <w:lang w:val="fr-FR"/>
        </w:rPr>
        <w:br/>
      </w:r>
      <w:r>
        <w:rPr>
          <w:lang w:val="fr-FR"/>
        </w:rPr>
        <w:t xml:space="preserve">des </w:t>
      </w:r>
      <w:r>
        <w:rPr>
          <w:lang w:val="fr-FR"/>
        </w:rPr>
        <w:t>« </w:t>
      </w:r>
      <w:r>
        <w:rPr>
          <w:lang w:val="fr-FR"/>
        </w:rPr>
        <w:t>aérosols</w:t>
      </w:r>
      <w:r>
        <w:rPr>
          <w:lang w:val="fr-FR"/>
        </w:rPr>
        <w:t> »</w:t>
      </w:r>
      <w:r>
        <w:rPr>
          <w:lang w:val="fr-FR"/>
        </w:rPr>
        <w:t xml:space="preserve"> dans le Système général harmonisé</w:t>
      </w:r>
      <w:bookmarkStart w:id="0" w:name="_Hlk156568784"/>
      <w:bookmarkEnd w:id="0"/>
    </w:p>
    <w:p w14:paraId="6875C3F6" w14:textId="77777777" w:rsidR="00591911" w:rsidRPr="00093F8B" w:rsidRDefault="00591911" w:rsidP="00591911">
      <w:pPr>
        <w:pStyle w:val="H1G"/>
        <w:rPr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la Fédération européenne des aérosols (FEA)</w:t>
      </w:r>
      <w:r w:rsidRPr="00591911">
        <w:rPr>
          <w:rStyle w:val="Appelnotedebasdep"/>
          <w:b w:val="0"/>
          <w:bCs/>
          <w:sz w:val="20"/>
          <w:vertAlign w:val="baseline"/>
          <w:lang w:val="fr-FR" w:eastAsia="ja-JP"/>
        </w:rPr>
        <w:footnoteReference w:customMarkFollows="1" w:id="2"/>
        <w:t>*</w:t>
      </w:r>
    </w:p>
    <w:p w14:paraId="08EB9E8B" w14:textId="3F364FC1" w:rsidR="00591911" w:rsidRPr="00093F8B" w:rsidRDefault="00591911" w:rsidP="00591911">
      <w:pPr>
        <w:pStyle w:val="HChG"/>
        <w:ind w:left="1080" w:hanging="720"/>
        <w:rPr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>I.</w:t>
      </w:r>
      <w:r>
        <w:rPr>
          <w:lang w:val="fr-FR"/>
        </w:rPr>
        <w:tab/>
      </w:r>
      <w:r>
        <w:rPr>
          <w:bCs/>
          <w:lang w:val="fr-FR"/>
        </w:rPr>
        <w:t>Introduction</w:t>
      </w:r>
    </w:p>
    <w:p w14:paraId="522DFCBB" w14:textId="77777777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sa quarante-cinquième session, le Sous-Comité d’experts du Système général harmonisé de classification et d’étiquetage des produits chimiques (Sous-Comité SGH) a reconnu que l’amélioration du libellé du nota 2 sous le tableau 2.3.1 du SGH n’entrait pas dans le cadre actuel des activités du groupe de travail informel des combinaisons de dangers physiques et a invité la FEA à envisager de montrer la voie sur ce sujet en soumettant une proposition.</w:t>
      </w:r>
    </w:p>
    <w:p w14:paraId="494581A7" w14:textId="77777777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La FEA convient qu’il serait judicieux de clarifier le texte du chapitre 2.3 en une seule fois.</w:t>
      </w:r>
    </w:p>
    <w:p w14:paraId="0A8BB6D8" w14:textId="77777777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 présent document fait fond sur le document ST/SG/AC.10/C.3/2024/4-ST/SG/AC.10/C.4/2024/1 et sur les documents informels connexes INF.4 et INF.3 soumis par l’expert de l’Allemagne au nom du groupe de travail informel des combinaisons de dangers physiques.</w:t>
      </w:r>
    </w:p>
    <w:p w14:paraId="2CF22169" w14:textId="77777777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La proposition ci-dessous a été préparée en coopération avec la </w:t>
      </w:r>
      <w:proofErr w:type="spellStart"/>
      <w:r>
        <w:rPr>
          <w:lang w:val="fr-FR"/>
        </w:rPr>
        <w:t>Household</w:t>
      </w:r>
      <w:proofErr w:type="spellEnd"/>
      <w:r>
        <w:rPr>
          <w:lang w:val="fr-FR"/>
        </w:rPr>
        <w:t xml:space="preserve"> and Commercial </w:t>
      </w:r>
      <w:proofErr w:type="spellStart"/>
      <w:r>
        <w:rPr>
          <w:lang w:val="fr-FR"/>
        </w:rPr>
        <w:t>Products</w:t>
      </w:r>
      <w:proofErr w:type="spellEnd"/>
      <w:r>
        <w:rPr>
          <w:lang w:val="fr-FR"/>
        </w:rPr>
        <w:t xml:space="preserve"> Association (HCPA) des États-Unis d’Amérique.</w:t>
      </w:r>
    </w:p>
    <w:p w14:paraId="5B0D70C8" w14:textId="77777777" w:rsidR="00041345" w:rsidRDefault="0004134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sz w:val="28"/>
          <w:lang w:val="fr-FR"/>
        </w:rPr>
      </w:pPr>
      <w:r>
        <w:rPr>
          <w:bCs/>
          <w:lang w:val="fr-FR"/>
        </w:rPr>
        <w:br w:type="page"/>
      </w:r>
    </w:p>
    <w:p w14:paraId="5FF881AC" w14:textId="02F062DD" w:rsidR="00591911" w:rsidRPr="00093F8B" w:rsidRDefault="00591911" w:rsidP="00591911">
      <w:pPr>
        <w:pStyle w:val="HChG"/>
        <w:rPr>
          <w:lang w:val="fr-FR"/>
        </w:rPr>
      </w:pPr>
      <w:r>
        <w:rPr>
          <w:bCs/>
          <w:lang w:val="fr-FR"/>
        </w:rPr>
        <w:lastRenderedPageBreak/>
        <w:tab/>
      </w:r>
      <w:r>
        <w:rPr>
          <w:bCs/>
          <w:lang w:val="fr-FR"/>
        </w:rPr>
        <w:t>II.</w:t>
      </w:r>
      <w:r>
        <w:rPr>
          <w:lang w:val="fr-FR"/>
        </w:rPr>
        <w:tab/>
      </w:r>
      <w:r>
        <w:rPr>
          <w:bCs/>
          <w:lang w:val="fr-FR"/>
        </w:rPr>
        <w:t>Examen</w:t>
      </w:r>
    </w:p>
    <w:p w14:paraId="5B939D17" w14:textId="3E85FBBE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Dans le cadre de discussions informelles, il a été considéré que le libellé actuel du nota 2, à savoir </w:t>
      </w:r>
      <w:r w:rsidR="005E5A3A">
        <w:rPr>
          <w:lang w:val="fr-FR"/>
        </w:rPr>
        <w:t>« </w:t>
      </w:r>
      <w:r>
        <w:rPr>
          <w:i/>
          <w:iCs/>
          <w:lang w:val="fr-FR"/>
        </w:rPr>
        <w:t>Les aérosols contenant plus de 1</w:t>
      </w:r>
      <w:r w:rsidR="005E5A3A">
        <w:rPr>
          <w:i/>
          <w:iCs/>
          <w:lang w:val="fr-FR"/>
        </w:rPr>
        <w:t> </w:t>
      </w:r>
      <w:r>
        <w:rPr>
          <w:i/>
          <w:iCs/>
          <w:lang w:val="fr-FR"/>
        </w:rPr>
        <w:t>% de composants inflammables ou avec une chaleur de combustion d’au moins 20</w:t>
      </w:r>
      <w:r w:rsidR="005E5A3A">
        <w:rPr>
          <w:i/>
          <w:iCs/>
          <w:lang w:val="fr-FR"/>
        </w:rPr>
        <w:t> </w:t>
      </w:r>
      <w:r>
        <w:rPr>
          <w:i/>
          <w:iCs/>
          <w:lang w:val="fr-FR"/>
        </w:rPr>
        <w:t>kJ/g, qui ne sont pas soumis aux procédures de classification du présent chapitre relatives aux aérosols inflammables, devraient être classés en tant qu’aérosols, catégorie 1.</w:t>
      </w:r>
      <w:r w:rsidR="005E5A3A">
        <w:rPr>
          <w:lang w:val="fr-FR"/>
        </w:rPr>
        <w:t> »</w:t>
      </w:r>
      <w:r>
        <w:rPr>
          <w:lang w:val="fr-FR"/>
        </w:rPr>
        <w:t>, était normatif et devrait donc figurer dans le corps du texte plutôt que dans une note. Le libellé pourrait également être plus précis.</w:t>
      </w:r>
    </w:p>
    <w:p w14:paraId="48FE73FD" w14:textId="70CDC856" w:rsidR="00591911" w:rsidRPr="00093F8B" w:rsidRDefault="00591911" w:rsidP="00591911">
      <w:pPr>
        <w:pStyle w:val="HChG"/>
        <w:rPr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>III.</w:t>
      </w:r>
      <w:r>
        <w:rPr>
          <w:lang w:val="fr-FR"/>
        </w:rPr>
        <w:tab/>
      </w:r>
      <w:r>
        <w:rPr>
          <w:bCs/>
          <w:lang w:val="fr-FR"/>
        </w:rPr>
        <w:t>Proposition pour le SGH</w:t>
      </w:r>
    </w:p>
    <w:p w14:paraId="64B49BAE" w14:textId="77777777" w:rsidR="00591911" w:rsidRPr="00093F8B" w:rsidRDefault="00591911" w:rsidP="005E5A3A">
      <w:pPr>
        <w:pStyle w:val="SingleTxtG"/>
        <w:keepNext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 xml:space="preserve">Au chapitre 2.3, la FEA propose de modifier le nota 2 sous le tableau 2.3.1 (Critères de classification des aérosols) comme suit (les ajouts figurent en caractères </w:t>
      </w:r>
      <w:r>
        <w:rPr>
          <w:b/>
          <w:bCs/>
          <w:u w:val="single"/>
          <w:lang w:val="fr-FR"/>
        </w:rPr>
        <w:t>gras soulignés,</w:t>
      </w:r>
      <w:r>
        <w:rPr>
          <w:lang w:val="fr-FR"/>
        </w:rPr>
        <w:t xml:space="preserve"> les suppressions en caractères </w:t>
      </w:r>
      <w:r>
        <w:rPr>
          <w:strike/>
          <w:lang w:val="fr-FR"/>
        </w:rPr>
        <w:t>biffés</w:t>
      </w:r>
      <w:r>
        <w:rPr>
          <w:lang w:val="fr-FR"/>
        </w:rPr>
        <w:t>) :</w:t>
      </w:r>
    </w:p>
    <w:p w14:paraId="7FC55C31" w14:textId="6ECD7A3B" w:rsidR="00591911" w:rsidRPr="00093F8B" w:rsidRDefault="008E5544" w:rsidP="008E5544">
      <w:pPr>
        <w:pStyle w:val="SingleTxtG"/>
        <w:ind w:left="2835" w:hanging="1134"/>
        <w:rPr>
          <w:lang w:val="fr-FR"/>
        </w:rPr>
      </w:pPr>
      <w:r>
        <w:rPr>
          <w:lang w:val="fr-FR"/>
        </w:rPr>
        <w:t>« </w:t>
      </w:r>
      <w:r w:rsidR="00591911">
        <w:rPr>
          <w:b/>
          <w:bCs/>
          <w:u w:val="single"/>
          <w:lang w:val="fr-FR"/>
        </w:rPr>
        <w:t>2.3.1.2.2</w:t>
      </w:r>
      <w:r w:rsidR="00591911">
        <w:rPr>
          <w:lang w:val="fr-FR"/>
        </w:rPr>
        <w:tab/>
        <w:t>Les aérosols contenant plus de 1</w:t>
      </w:r>
      <w:r>
        <w:rPr>
          <w:lang w:val="fr-FR"/>
        </w:rPr>
        <w:t> </w:t>
      </w:r>
      <w:r w:rsidR="00591911">
        <w:rPr>
          <w:lang w:val="fr-FR"/>
        </w:rPr>
        <w:t xml:space="preserve">% de composants inflammables ou avec une chaleur de combustion d’au moins 20 kJ/g </w:t>
      </w:r>
      <w:r w:rsidR="00591911">
        <w:rPr>
          <w:b/>
          <w:bCs/>
          <w:u w:val="single"/>
          <w:lang w:val="fr-FR"/>
        </w:rPr>
        <w:t>qui n’ont pas été soumis aux épreuves visées au troisième alinéa du 2.3.1.2.1</w:t>
      </w:r>
      <w:r w:rsidR="00591911">
        <w:rPr>
          <w:strike/>
          <w:lang w:val="fr-FR"/>
        </w:rPr>
        <w:t>, qui ne sont pas soumis aux procédures de classification du présent chapitre relatives aux aérosols inflammables,</w:t>
      </w:r>
      <w:r w:rsidR="00591911">
        <w:rPr>
          <w:lang w:val="fr-FR"/>
        </w:rPr>
        <w:t xml:space="preserve"> devraient être classés en tant qu’aérosols, catégorie 1.</w:t>
      </w:r>
      <w:r>
        <w:rPr>
          <w:lang w:val="fr-FR"/>
        </w:rPr>
        <w:t> »</w:t>
      </w:r>
      <w:r w:rsidR="00591911">
        <w:rPr>
          <w:lang w:val="fr-FR"/>
        </w:rPr>
        <w:t>.</w:t>
      </w:r>
    </w:p>
    <w:p w14:paraId="516EB8EA" w14:textId="094CB29F" w:rsidR="00591911" w:rsidRPr="00093F8B" w:rsidRDefault="00591911" w:rsidP="0059191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IV.</w:t>
      </w:r>
      <w:r>
        <w:rPr>
          <w:lang w:val="fr-FR"/>
        </w:rPr>
        <w:tab/>
        <w:t>Amendement de conséquence</w:t>
      </w:r>
    </w:p>
    <w:p w14:paraId="1FB8BF41" w14:textId="6DC78EF0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 xml:space="preserve">Si l’option 1 pour les aérosols figurant dans le document ST/SG/AC.10/C.3/2024/4- ST/SG/AC.10/C.4/2024/1 est choisie et que la présente proposition est approuvée, le </w:t>
      </w:r>
      <w:r w:rsidR="008E5544">
        <w:rPr>
          <w:lang w:val="fr-FR"/>
        </w:rPr>
        <w:t>« </w:t>
      </w:r>
      <w:r>
        <w:rPr>
          <w:lang w:val="fr-FR"/>
        </w:rPr>
        <w:t>NOTA 2</w:t>
      </w:r>
      <w:r w:rsidR="008E5544">
        <w:rPr>
          <w:lang w:val="fr-FR"/>
        </w:rPr>
        <w:t> »</w:t>
      </w:r>
      <w:r>
        <w:rPr>
          <w:lang w:val="fr-FR"/>
        </w:rPr>
        <w:t xml:space="preserve"> proposé se trouvera sous le nouveau paragraphe 2.3.1.2.2 et devrait être renommé </w:t>
      </w:r>
      <w:r w:rsidR="008E5544">
        <w:rPr>
          <w:lang w:val="fr-FR"/>
        </w:rPr>
        <w:t>« </w:t>
      </w:r>
      <w:r>
        <w:rPr>
          <w:lang w:val="fr-FR"/>
        </w:rPr>
        <w:t>NOTA</w:t>
      </w:r>
      <w:r w:rsidR="008E5544">
        <w:rPr>
          <w:lang w:val="fr-FR"/>
        </w:rPr>
        <w:t> »</w:t>
      </w:r>
      <w:r>
        <w:rPr>
          <w:lang w:val="fr-FR"/>
        </w:rPr>
        <w:t>.</w:t>
      </w:r>
    </w:p>
    <w:p w14:paraId="0D8DD6B7" w14:textId="77777777" w:rsidR="00591911" w:rsidRPr="00093F8B" w:rsidRDefault="00591911" w:rsidP="00591911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Si l’option 2 est choisie et que la présente proposition est acceptée, il n’y aura pas d’amendement de conséquence.</w:t>
      </w:r>
    </w:p>
    <w:p w14:paraId="1572E381" w14:textId="00E5C1E9" w:rsidR="00591911" w:rsidRPr="00093F8B" w:rsidRDefault="00591911" w:rsidP="0059191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V.</w:t>
      </w:r>
      <w:r>
        <w:rPr>
          <w:lang w:val="fr-FR"/>
        </w:rPr>
        <w:tab/>
        <w:t>Demande soumise aux Sous-Comités</w:t>
      </w:r>
    </w:p>
    <w:p w14:paraId="0E0AA622" w14:textId="738E881A" w:rsidR="00591911" w:rsidRDefault="00591911" w:rsidP="00591911">
      <w:pPr>
        <w:pStyle w:val="SingleTxtG"/>
      </w:pPr>
      <w:r>
        <w:rPr>
          <w:lang w:val="fr-FR"/>
        </w:rPr>
        <w:t>9.</w:t>
      </w:r>
      <w:r>
        <w:rPr>
          <w:lang w:val="fr-FR"/>
        </w:rPr>
        <w:tab/>
        <w:t>Les Sous-Comités TMD et SGH sont invités à examiner la proposition relative aux aérosols figurant au paragraphe 6 du présent document en lien avec les propositions soumises par le groupe de travail informel des combinaisons de dangers physiques.</w:t>
      </w:r>
    </w:p>
    <w:p w14:paraId="7C9237B4" w14:textId="7E6A72B1" w:rsidR="00446FE5" w:rsidRPr="00041345" w:rsidRDefault="00041345" w:rsidP="000413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041345" w:rsidSect="005919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2667D" w14:textId="77777777" w:rsidR="00104EDD" w:rsidRDefault="00104EDD" w:rsidP="00F95C08">
      <w:pPr>
        <w:spacing w:line="240" w:lineRule="auto"/>
      </w:pPr>
    </w:p>
  </w:endnote>
  <w:endnote w:type="continuationSeparator" w:id="0">
    <w:p w14:paraId="53981C3E" w14:textId="77777777" w:rsidR="00104EDD" w:rsidRPr="00AC3823" w:rsidRDefault="00104EDD" w:rsidP="00AC3823">
      <w:pPr>
        <w:pStyle w:val="Pieddepage"/>
      </w:pPr>
    </w:p>
  </w:endnote>
  <w:endnote w:type="continuationNotice" w:id="1">
    <w:p w14:paraId="118BCF73" w14:textId="77777777" w:rsidR="00104EDD" w:rsidRDefault="00104E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B3EC3" w14:textId="26C495DB" w:rsidR="00591911" w:rsidRPr="00591911" w:rsidRDefault="00591911" w:rsidP="00591911">
    <w:pPr>
      <w:pStyle w:val="Pieddepage"/>
      <w:tabs>
        <w:tab w:val="right" w:pos="9638"/>
      </w:tabs>
    </w:pPr>
    <w:r w:rsidRPr="00591911">
      <w:rPr>
        <w:b/>
        <w:sz w:val="18"/>
      </w:rPr>
      <w:fldChar w:fldCharType="begin"/>
    </w:r>
    <w:r w:rsidRPr="00591911">
      <w:rPr>
        <w:b/>
        <w:sz w:val="18"/>
      </w:rPr>
      <w:instrText xml:space="preserve"> PAGE  \* MERGEFORMAT </w:instrText>
    </w:r>
    <w:r w:rsidRPr="00591911">
      <w:rPr>
        <w:b/>
        <w:sz w:val="18"/>
      </w:rPr>
      <w:fldChar w:fldCharType="separate"/>
    </w:r>
    <w:r w:rsidRPr="00591911">
      <w:rPr>
        <w:b/>
        <w:noProof/>
        <w:sz w:val="18"/>
      </w:rPr>
      <w:t>2</w:t>
    </w:r>
    <w:r w:rsidRPr="00591911">
      <w:rPr>
        <w:b/>
        <w:sz w:val="18"/>
      </w:rPr>
      <w:fldChar w:fldCharType="end"/>
    </w:r>
    <w:r>
      <w:rPr>
        <w:b/>
        <w:sz w:val="18"/>
      </w:rPr>
      <w:tab/>
    </w:r>
    <w:r>
      <w:t>GE.24-05431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71E63" w14:textId="41F83267" w:rsidR="00591911" w:rsidRPr="00591911" w:rsidRDefault="00591911" w:rsidP="00591911">
    <w:pPr>
      <w:pStyle w:val="Pieddepage"/>
      <w:tabs>
        <w:tab w:val="right" w:pos="9638"/>
      </w:tabs>
      <w:rPr>
        <w:b/>
        <w:sz w:val="18"/>
      </w:rPr>
    </w:pPr>
    <w:r>
      <w:t>GE.24-05431</w:t>
    </w:r>
    <w:r>
      <w:tab/>
    </w:r>
    <w:r w:rsidRPr="00591911">
      <w:rPr>
        <w:b/>
        <w:sz w:val="18"/>
      </w:rPr>
      <w:fldChar w:fldCharType="begin"/>
    </w:r>
    <w:r w:rsidRPr="00591911">
      <w:rPr>
        <w:b/>
        <w:sz w:val="18"/>
      </w:rPr>
      <w:instrText xml:space="preserve"> PAGE  \* MERGEFORMAT </w:instrText>
    </w:r>
    <w:r w:rsidRPr="00591911">
      <w:rPr>
        <w:b/>
        <w:sz w:val="18"/>
      </w:rPr>
      <w:fldChar w:fldCharType="separate"/>
    </w:r>
    <w:r w:rsidRPr="00591911">
      <w:rPr>
        <w:b/>
        <w:noProof/>
        <w:sz w:val="18"/>
      </w:rPr>
      <w:t>3</w:t>
    </w:r>
    <w:r w:rsidRPr="005919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4DABE" w14:textId="716B10CB" w:rsidR="0068456F" w:rsidRPr="00591911" w:rsidRDefault="00591911" w:rsidP="00591911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D48D9F4" wp14:editId="4915ED1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24-05431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F9B1BD" wp14:editId="4865E85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46753453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300424    300424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4EF69" w14:textId="77777777" w:rsidR="00104EDD" w:rsidRPr="00AC3823" w:rsidRDefault="00104ED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D63F45" w14:textId="77777777" w:rsidR="00104EDD" w:rsidRPr="00AC3823" w:rsidRDefault="00104ED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8739A6" w14:textId="77777777" w:rsidR="00104EDD" w:rsidRPr="00AC3823" w:rsidRDefault="00104EDD">
      <w:pPr>
        <w:spacing w:line="240" w:lineRule="auto"/>
        <w:rPr>
          <w:sz w:val="2"/>
          <w:szCs w:val="2"/>
        </w:rPr>
      </w:pPr>
    </w:p>
  </w:footnote>
  <w:footnote w:id="2">
    <w:p w14:paraId="5FD12877" w14:textId="01CD6207" w:rsidR="00591911" w:rsidRPr="005F1378" w:rsidRDefault="00591911" w:rsidP="00591911">
      <w:pPr>
        <w:pStyle w:val="Notedebasdepage"/>
      </w:pPr>
      <w:r>
        <w:rPr>
          <w:lang w:val="fr-FR"/>
        </w:rPr>
        <w:tab/>
        <w:t>*</w:t>
      </w:r>
      <w:r>
        <w:rPr>
          <w:lang w:val="fr-FR"/>
        </w:rPr>
        <w:tab/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9211B" w14:textId="4AE8AA5E" w:rsidR="00591911" w:rsidRPr="00591911" w:rsidRDefault="00591911">
    <w:pPr>
      <w:pStyle w:val="En-tte"/>
      <w:rPr>
        <w:lang w:val="en-US"/>
      </w:rPr>
    </w:pPr>
    <w:r>
      <w:fldChar w:fldCharType="begin"/>
    </w:r>
    <w:r w:rsidRPr="00591911">
      <w:rPr>
        <w:lang w:val="en-US"/>
      </w:rPr>
      <w:instrText xml:space="preserve"> TITLE  \* MERGEFORMAT </w:instrText>
    </w:r>
    <w:r>
      <w:fldChar w:fldCharType="separate"/>
    </w:r>
    <w:r w:rsidRPr="00591911">
      <w:rPr>
        <w:lang w:val="en-US"/>
      </w:rPr>
      <w:t>ST/SG/AC.10/C.3/2024/5</w:t>
    </w:r>
    <w:r>
      <w:fldChar w:fldCharType="end"/>
    </w:r>
    <w:r w:rsidRPr="00591911">
      <w:rPr>
        <w:lang w:val="en-US"/>
      </w:rPr>
      <w:br/>
    </w:r>
    <w:r>
      <w:fldChar w:fldCharType="begin"/>
    </w:r>
    <w:r w:rsidRPr="00591911">
      <w:rPr>
        <w:lang w:val="en-US"/>
      </w:rPr>
      <w:instrText xml:space="preserve"> KEYWORDS  \* MERGEFORMAT </w:instrText>
    </w:r>
    <w:r>
      <w:fldChar w:fldCharType="separate"/>
    </w:r>
    <w:r w:rsidRPr="00591911">
      <w:rPr>
        <w:lang w:val="en-US"/>
      </w:rPr>
      <w:t>ST/SG/AC.10/C.4/2024/2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8060A" w14:textId="7E4C0B8C" w:rsidR="00591911" w:rsidRPr="00591911" w:rsidRDefault="00591911" w:rsidP="00591911">
    <w:pPr>
      <w:pStyle w:val="En-tte"/>
      <w:jc w:val="right"/>
      <w:rPr>
        <w:lang w:val="en-US"/>
      </w:rPr>
    </w:pPr>
    <w:r>
      <w:fldChar w:fldCharType="begin"/>
    </w:r>
    <w:r w:rsidRPr="00591911">
      <w:rPr>
        <w:lang w:val="en-US"/>
      </w:rPr>
      <w:instrText xml:space="preserve"> TITLE  \* MERGEFORMAT </w:instrText>
    </w:r>
    <w:r>
      <w:fldChar w:fldCharType="separate"/>
    </w:r>
    <w:r w:rsidRPr="00591911">
      <w:rPr>
        <w:lang w:val="en-US"/>
      </w:rPr>
      <w:t>ST/SG/AC.10/C.3/2024/5</w:t>
    </w:r>
    <w:r>
      <w:fldChar w:fldCharType="end"/>
    </w:r>
    <w:r w:rsidRPr="00591911">
      <w:rPr>
        <w:lang w:val="en-US"/>
      </w:rPr>
      <w:br/>
    </w:r>
    <w:r>
      <w:fldChar w:fldCharType="begin"/>
    </w:r>
    <w:r w:rsidRPr="00591911">
      <w:rPr>
        <w:lang w:val="en-US"/>
      </w:rPr>
      <w:instrText xml:space="preserve"> KEYWORDS  \* MERGEFORMAT </w:instrText>
    </w:r>
    <w:r>
      <w:fldChar w:fldCharType="separate"/>
    </w:r>
    <w:r w:rsidRPr="00591911">
      <w:rPr>
        <w:lang w:val="en-US"/>
      </w:rPr>
      <w:t>ST/SG/AC.10/C.4/2024/2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134518259">
    <w:abstractNumId w:val="12"/>
  </w:num>
  <w:num w:numId="2" w16cid:durableId="459031817">
    <w:abstractNumId w:val="11"/>
  </w:num>
  <w:num w:numId="3" w16cid:durableId="1160846166">
    <w:abstractNumId w:val="10"/>
  </w:num>
  <w:num w:numId="4" w16cid:durableId="151609187">
    <w:abstractNumId w:val="8"/>
  </w:num>
  <w:num w:numId="5" w16cid:durableId="278877184">
    <w:abstractNumId w:val="3"/>
  </w:num>
  <w:num w:numId="6" w16cid:durableId="1076971707">
    <w:abstractNumId w:val="2"/>
  </w:num>
  <w:num w:numId="7" w16cid:durableId="340662896">
    <w:abstractNumId w:val="1"/>
  </w:num>
  <w:num w:numId="8" w16cid:durableId="1372925261">
    <w:abstractNumId w:val="0"/>
  </w:num>
  <w:num w:numId="9" w16cid:durableId="1122261428">
    <w:abstractNumId w:val="9"/>
  </w:num>
  <w:num w:numId="10" w16cid:durableId="1813986090">
    <w:abstractNumId w:val="7"/>
  </w:num>
  <w:num w:numId="11" w16cid:durableId="403186047">
    <w:abstractNumId w:val="6"/>
  </w:num>
  <w:num w:numId="12" w16cid:durableId="307248593">
    <w:abstractNumId w:val="5"/>
  </w:num>
  <w:num w:numId="13" w16cid:durableId="494809315">
    <w:abstractNumId w:val="4"/>
  </w:num>
  <w:num w:numId="14" w16cid:durableId="2003659534">
    <w:abstractNumId w:val="12"/>
  </w:num>
  <w:num w:numId="15" w16cid:durableId="906571525">
    <w:abstractNumId w:val="11"/>
  </w:num>
  <w:num w:numId="16" w16cid:durableId="1375232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DD"/>
    <w:rsid w:val="00017F94"/>
    <w:rsid w:val="00023842"/>
    <w:rsid w:val="000305D3"/>
    <w:rsid w:val="000334F9"/>
    <w:rsid w:val="00041345"/>
    <w:rsid w:val="0007796D"/>
    <w:rsid w:val="000B7790"/>
    <w:rsid w:val="00104EDD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1911"/>
    <w:rsid w:val="00596AA9"/>
    <w:rsid w:val="005E5A3A"/>
    <w:rsid w:val="0068456F"/>
    <w:rsid w:val="0071601D"/>
    <w:rsid w:val="007A62E6"/>
    <w:rsid w:val="0080684C"/>
    <w:rsid w:val="008123E0"/>
    <w:rsid w:val="00871C75"/>
    <w:rsid w:val="008776DC"/>
    <w:rsid w:val="008B40CD"/>
    <w:rsid w:val="008E5544"/>
    <w:rsid w:val="009705C8"/>
    <w:rsid w:val="009C1CF4"/>
    <w:rsid w:val="00A055DC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ADB1F"/>
  <w15:docId w15:val="{BDA5050E-915F-4DA1-9334-4ECE89C8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59191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59191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qFormat/>
    <w:locked/>
    <w:rsid w:val="0059191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BA9E950-A927-4887-BB6C-936FD7008533}"/>
</file>

<file path=customXml/itemProps2.xml><?xml version="1.0" encoding="utf-8"?>
<ds:datastoreItem xmlns:ds="http://schemas.openxmlformats.org/officeDocument/2006/customXml" ds:itemID="{D1A3C5BC-B0EC-4B9B-B1F8-F91A071DE43E}"/>
</file>

<file path=customXml/itemProps3.xml><?xml version="1.0" encoding="utf-8"?>
<ds:datastoreItem xmlns:ds="http://schemas.openxmlformats.org/officeDocument/2006/customXml" ds:itemID="{9C8DE7EF-61C0-4B50-864A-31A703A0E7CC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0</TotalTime>
  <Pages>2</Pages>
  <Words>470</Words>
  <Characters>3603</Characters>
  <Application>Microsoft Office Word</Application>
  <DocSecurity>0</DocSecurity>
  <Lines>1201</Lines>
  <Paragraphs>339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ST/SG/AC.10/C.3/2024/5</vt:lpstr>
    </vt:vector>
  </TitlesOfParts>
  <Company>DCM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</dc:title>
  <dc:subject/>
  <dc:creator>Nathalie VITTOZ</dc:creator>
  <cp:keywords>ST/SG/AC.10/C.4/2024/2</cp:keywords>
  <cp:lastModifiedBy>Nathalie VITTOZ</cp:lastModifiedBy>
  <cp:revision>2</cp:revision>
  <cp:lastPrinted>2014-05-14T10:59:00Z</cp:lastPrinted>
  <dcterms:created xsi:type="dcterms:W3CDTF">2024-04-30T08:49:00Z</dcterms:created>
  <dcterms:modified xsi:type="dcterms:W3CDTF">2024-04-30T08:49:00Z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