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8A4EDF" w14:paraId="69422C9F" w14:textId="77777777" w:rsidTr="00A15023">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019EE9EC" w:rsidR="003F1AB4" w:rsidRPr="008A4EDF" w:rsidRDefault="003F1AB4" w:rsidP="003F1AB4">
            <w:pPr>
              <w:jc w:val="right"/>
            </w:pPr>
            <w:r w:rsidRPr="008A4EDF">
              <w:rPr>
                <w:sz w:val="40"/>
              </w:rPr>
              <w:t>ECE</w:t>
            </w:r>
            <w:r w:rsidRPr="008A4EDF">
              <w:t>/TRANS/WP.29/GRE/202</w:t>
            </w:r>
            <w:r w:rsidR="00A15023">
              <w:t>4</w:t>
            </w:r>
            <w:r w:rsidRPr="008A4EDF">
              <w:t>/</w:t>
            </w:r>
            <w:r w:rsidR="005B43C6">
              <w:t>9</w:t>
            </w:r>
          </w:p>
        </w:tc>
      </w:tr>
      <w:tr w:rsidR="003F1AB4" w:rsidRPr="00525E6C" w14:paraId="6AF415C9" w14:textId="77777777" w:rsidTr="00A15023">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4"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1C5F9E" w:rsidRDefault="003F1AB4" w:rsidP="003F1AB4">
            <w:pPr>
              <w:spacing w:before="240" w:line="240" w:lineRule="exact"/>
            </w:pPr>
            <w:r w:rsidRPr="001C5F9E">
              <w:t>Distr.: General</w:t>
            </w:r>
          </w:p>
          <w:p w14:paraId="2ACA1E89" w14:textId="70EF5ACD" w:rsidR="000A0737" w:rsidRPr="00DE7BEA" w:rsidRDefault="00EB3C57" w:rsidP="000A0737">
            <w:pPr>
              <w:spacing w:line="240" w:lineRule="exact"/>
            </w:pPr>
            <w:r>
              <w:t>1</w:t>
            </w:r>
            <w:r w:rsidR="005B43C6">
              <w:t>3</w:t>
            </w:r>
            <w:r w:rsidR="00C9158E">
              <w:t xml:space="preserve"> </w:t>
            </w:r>
            <w:r w:rsidR="000A0737" w:rsidRPr="00DE7BEA">
              <w:t>February 202</w:t>
            </w:r>
            <w:r w:rsidR="00A15023">
              <w:t>4</w:t>
            </w:r>
          </w:p>
          <w:p w14:paraId="5FF26AE7" w14:textId="77777777" w:rsidR="003F1AB4" w:rsidRPr="001C5F9E" w:rsidRDefault="003F1AB4" w:rsidP="003F1AB4">
            <w:pPr>
              <w:spacing w:line="240" w:lineRule="exact"/>
            </w:pPr>
          </w:p>
          <w:p w14:paraId="71FBFBB4" w14:textId="711B7C45" w:rsidR="000A0737" w:rsidRPr="001C5F9E" w:rsidRDefault="003F1AB4" w:rsidP="002C1AD7">
            <w:pPr>
              <w:spacing w:line="240" w:lineRule="exact"/>
            </w:pPr>
            <w:r w:rsidRPr="001C5F9E">
              <w:t>Original: English</w:t>
            </w:r>
          </w:p>
        </w:tc>
      </w:tr>
    </w:tbl>
    <w:p w14:paraId="32D3E06F" w14:textId="394FCE03"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08DD773" w14:textId="77777777" w:rsidR="00E458DE" w:rsidRPr="00F61414" w:rsidRDefault="00E458DE" w:rsidP="00E458DE">
      <w:pPr>
        <w:ind w:right="1134"/>
        <w:rPr>
          <w:b/>
        </w:rPr>
      </w:pPr>
      <w:r w:rsidRPr="002B7088">
        <w:rPr>
          <w:b/>
        </w:rPr>
        <w:t>Nin</w:t>
      </w:r>
      <w:r>
        <w:rPr>
          <w:b/>
        </w:rPr>
        <w:t>e</w:t>
      </w:r>
      <w:r w:rsidRPr="002B7088">
        <w:rPr>
          <w:b/>
        </w:rPr>
        <w:t>tieth</w:t>
      </w:r>
      <w:r>
        <w:rPr>
          <w:b/>
        </w:rPr>
        <w:t xml:space="preserve"> </w:t>
      </w:r>
      <w:r w:rsidRPr="00F61414">
        <w:rPr>
          <w:b/>
        </w:rPr>
        <w:t>session</w:t>
      </w:r>
    </w:p>
    <w:p w14:paraId="5C8F0F46" w14:textId="77777777" w:rsidR="00E458DE" w:rsidRPr="00F61414" w:rsidRDefault="00E458DE" w:rsidP="00E458DE">
      <w:pPr>
        <w:ind w:right="1134"/>
      </w:pPr>
      <w:r w:rsidRPr="00F61414">
        <w:t xml:space="preserve">Geneva, </w:t>
      </w:r>
      <w:r>
        <w:t xml:space="preserve">29 April – 3 May </w:t>
      </w:r>
      <w:r w:rsidRPr="00F61414">
        <w:t>202</w:t>
      </w:r>
      <w:r>
        <w:t>4</w:t>
      </w:r>
    </w:p>
    <w:p w14:paraId="7749C89E" w14:textId="7CE1545E" w:rsidR="00E458DE" w:rsidRPr="00F61414" w:rsidRDefault="00E458DE" w:rsidP="00E458DE">
      <w:pPr>
        <w:ind w:right="1134"/>
        <w:rPr>
          <w:bCs/>
        </w:rPr>
      </w:pPr>
      <w:r w:rsidRPr="002609B3">
        <w:rPr>
          <w:bCs/>
        </w:rPr>
        <w:t>Item 6 (</w:t>
      </w:r>
      <w:r>
        <w:rPr>
          <w:bCs/>
        </w:rPr>
        <w:t>b</w:t>
      </w:r>
      <w:r w:rsidRPr="002609B3">
        <w:rPr>
          <w:bCs/>
        </w:rPr>
        <w:t xml:space="preserve">) </w:t>
      </w:r>
      <w:r w:rsidRPr="00D56693">
        <w:rPr>
          <w:bCs/>
        </w:rPr>
        <w:t>of the provisional agenda</w:t>
      </w:r>
    </w:p>
    <w:p w14:paraId="64A2590C" w14:textId="1BE7052B" w:rsidR="00E458DE" w:rsidRPr="005C0062" w:rsidRDefault="00E458DE" w:rsidP="00E458DE">
      <w:pPr>
        <w:ind w:right="1467"/>
        <w:rPr>
          <w:b/>
          <w:bCs/>
        </w:rPr>
      </w:pPr>
      <w:r w:rsidRPr="00D76B1F">
        <w:rPr>
          <w:b/>
          <w:bCs/>
        </w:rPr>
        <w:t xml:space="preserve">Installation UN Regulations:  </w:t>
      </w:r>
      <w:r>
        <w:rPr>
          <w:b/>
          <w:bCs/>
        </w:rPr>
        <w:t xml:space="preserve">UN </w:t>
      </w:r>
      <w:r w:rsidRPr="00DC35BB">
        <w:rPr>
          <w:b/>
          <w:bCs/>
        </w:rPr>
        <w:t xml:space="preserve">Regulation No. </w:t>
      </w:r>
      <w:r>
        <w:rPr>
          <w:b/>
          <w:bCs/>
        </w:rPr>
        <w:t>74</w:t>
      </w:r>
      <w:r w:rsidRPr="00DC35BB">
        <w:rPr>
          <w:b/>
          <w:bCs/>
        </w:rPr>
        <w:t xml:space="preserve"> (</w:t>
      </w:r>
      <w:r>
        <w:rPr>
          <w:b/>
          <w:bCs/>
        </w:rPr>
        <w:t>Installation of lighting and light-signalling devices for mopeds)</w:t>
      </w:r>
    </w:p>
    <w:p w14:paraId="18EC8CFA" w14:textId="6A40B62C" w:rsidR="000A0737" w:rsidRPr="005C0062" w:rsidRDefault="000A0737" w:rsidP="000A0737">
      <w:pPr>
        <w:ind w:right="1467"/>
        <w:rPr>
          <w:b/>
          <w:bCs/>
        </w:rPr>
      </w:pPr>
    </w:p>
    <w:p w14:paraId="1BE1B729" w14:textId="5EFE3A76" w:rsidR="00732AD2" w:rsidRPr="00525E6C" w:rsidRDefault="00732AD2" w:rsidP="003F1AB4">
      <w:pPr>
        <w:pStyle w:val="HChG"/>
      </w:pPr>
      <w:r w:rsidRPr="00525E6C">
        <w:tab/>
      </w:r>
      <w:r w:rsidRPr="00525E6C">
        <w:tab/>
      </w:r>
      <w:r w:rsidR="00F3615B" w:rsidRPr="00E7399D">
        <w:t xml:space="preserve">Proposal </w:t>
      </w:r>
      <w:r w:rsidR="00AD217F">
        <w:t xml:space="preserve">for </w:t>
      </w:r>
      <w:r w:rsidR="00270AAF">
        <w:t xml:space="preserve">a </w:t>
      </w:r>
      <w:r w:rsidR="00A15023">
        <w:t>Supplement to the 03 series</w:t>
      </w:r>
      <w:r w:rsidR="00270AAF">
        <w:t xml:space="preserve"> </w:t>
      </w:r>
      <w:r w:rsidR="00AD217F">
        <w:t xml:space="preserve">of amendments to </w:t>
      </w:r>
      <w:r w:rsidR="00F3615B">
        <w:t xml:space="preserve">UN </w:t>
      </w:r>
      <w:r w:rsidR="00F3615B" w:rsidRPr="00137502">
        <w:t>Regulation</w:t>
      </w:r>
      <w:r w:rsidR="00F3615B">
        <w:t xml:space="preserve"> No. </w:t>
      </w:r>
      <w:r w:rsidR="00673B20">
        <w:t>74</w:t>
      </w:r>
      <w:r w:rsidR="00E251AF">
        <w:t xml:space="preserve"> and to the 01 series of amendments to the UN Regulation No. 148</w:t>
      </w:r>
    </w:p>
    <w:p w14:paraId="51369146" w14:textId="2E596E9F" w:rsidR="00E317C2" w:rsidRPr="00525E6C" w:rsidRDefault="00E317C2" w:rsidP="00E317C2">
      <w:pPr>
        <w:pStyle w:val="H1G"/>
        <w:rPr>
          <w:szCs w:val="24"/>
        </w:rPr>
      </w:pPr>
      <w:r>
        <w:tab/>
      </w:r>
      <w:r>
        <w:tab/>
      </w:r>
      <w:r w:rsidR="00A15023" w:rsidRPr="00D86E9C">
        <w:rPr>
          <w:szCs w:val="24"/>
        </w:rPr>
        <w:t>Submitted by the expert</w:t>
      </w:r>
      <w:r w:rsidR="00A15023">
        <w:rPr>
          <w:szCs w:val="24"/>
        </w:rPr>
        <w:t>s</w:t>
      </w:r>
      <w:r w:rsidR="00A15023" w:rsidRPr="00D86E9C">
        <w:rPr>
          <w:szCs w:val="24"/>
        </w:rPr>
        <w:t xml:space="preserve"> from Germany</w:t>
      </w:r>
      <w:r w:rsidR="00DE5564" w:rsidRPr="00DE7053">
        <w:footnoteReference w:customMarkFollows="1" w:id="2"/>
        <w:t>*</w:t>
      </w:r>
    </w:p>
    <w:p w14:paraId="20CA5035" w14:textId="4551F8C8" w:rsidR="0053129E" w:rsidRPr="00E251AF" w:rsidRDefault="00A15023" w:rsidP="00E251AF">
      <w:pPr>
        <w:pStyle w:val="SingleTxtG"/>
        <w:tabs>
          <w:tab w:val="left" w:pos="8505"/>
        </w:tabs>
        <w:ind w:firstLine="567"/>
        <w:rPr>
          <w:bCs/>
        </w:rPr>
        <w:sectPr w:rsidR="0053129E" w:rsidRPr="00E251AF"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r w:rsidRPr="00D86E9C">
        <w:t>The text reproduced below was prepared by the experts from Germany. The modifications to the existing text of the UN Regulation</w:t>
      </w:r>
      <w:r>
        <w:t>s</w:t>
      </w:r>
      <w:r w:rsidRPr="00D86E9C">
        <w:t xml:space="preserve"> are marked bold for new and strikethrough for deleted character</w:t>
      </w:r>
      <w:r w:rsidR="005B43C6">
        <w:t>.</w:t>
      </w:r>
    </w:p>
    <w:p w14:paraId="41767B18" w14:textId="2A5BFDE8" w:rsidR="00280562" w:rsidRDefault="00E251AF" w:rsidP="00392CDC">
      <w:pPr>
        <w:pStyle w:val="HChG"/>
      </w:pPr>
      <w:r>
        <w:lastRenderedPageBreak/>
        <w:tab/>
      </w:r>
      <w:r w:rsidRPr="007958C9">
        <w:t>I.</w:t>
      </w:r>
      <w:r w:rsidRPr="007958C9">
        <w:tab/>
        <w:t>Proposal</w:t>
      </w:r>
      <w:r w:rsidR="00BF7277">
        <w:t xml:space="preserve"> for a Supplement to </w:t>
      </w:r>
      <w:r w:rsidR="00D032F8">
        <w:t xml:space="preserve">the </w:t>
      </w:r>
      <w:r w:rsidR="00BF7277">
        <w:t>03 serie</w:t>
      </w:r>
      <w:r w:rsidR="00D032F8">
        <w:t>s</w:t>
      </w:r>
      <w:r w:rsidR="00BF7277">
        <w:t xml:space="preserve"> of amendment to UN Regulation No. 74</w:t>
      </w:r>
    </w:p>
    <w:p w14:paraId="0E86DFF1" w14:textId="77777777" w:rsidR="00280562" w:rsidRPr="00696E77" w:rsidRDefault="00280562" w:rsidP="00154A01">
      <w:pPr>
        <w:tabs>
          <w:tab w:val="left" w:pos="2268"/>
        </w:tabs>
        <w:spacing w:after="120"/>
        <w:ind w:left="1134" w:rightChars="540" w:right="1080"/>
        <w:jc w:val="both"/>
        <w:rPr>
          <w:bCs/>
        </w:rPr>
      </w:pPr>
      <w:r w:rsidRPr="00696E77">
        <w:rPr>
          <w:bCs/>
          <w:i/>
        </w:rPr>
        <w:t>Paragraph 6.</w:t>
      </w:r>
      <w:r>
        <w:rPr>
          <w:bCs/>
          <w:i/>
        </w:rPr>
        <w:t>8</w:t>
      </w:r>
      <w:r w:rsidRPr="00696E77">
        <w:rPr>
          <w:bCs/>
          <w:i/>
        </w:rPr>
        <w:t>.</w:t>
      </w:r>
      <w:r>
        <w:rPr>
          <w:bCs/>
          <w:i/>
        </w:rPr>
        <w:t>2</w:t>
      </w:r>
      <w:r w:rsidRPr="00696E77">
        <w:rPr>
          <w:bCs/>
          <w:i/>
        </w:rPr>
        <w:t xml:space="preserve">., </w:t>
      </w:r>
      <w:r w:rsidRPr="00696E77">
        <w:rPr>
          <w:bCs/>
        </w:rPr>
        <w:t>amend to read:</w:t>
      </w:r>
    </w:p>
    <w:p w14:paraId="6749CB7C" w14:textId="77777777" w:rsidR="00280562" w:rsidRPr="00696E77" w:rsidRDefault="00280562" w:rsidP="00154A01">
      <w:pPr>
        <w:spacing w:after="120"/>
        <w:ind w:left="2268" w:right="1134" w:hanging="1134"/>
        <w:jc w:val="both"/>
      </w:pPr>
      <w:r>
        <w:rPr>
          <w:bCs/>
        </w:rPr>
        <w:t>“</w:t>
      </w:r>
      <w:r w:rsidRPr="00696E77">
        <w:t>6.</w:t>
      </w:r>
      <w:r>
        <w:t>8.2</w:t>
      </w:r>
      <w:r w:rsidRPr="00696E77">
        <w:t xml:space="preserve">. </w:t>
      </w:r>
      <w:r w:rsidRPr="00696E77">
        <w:tab/>
      </w:r>
      <w:r>
        <w:t>Arrangement</w:t>
      </w:r>
    </w:p>
    <w:p w14:paraId="151030F6" w14:textId="217B942E" w:rsidR="00280562" w:rsidRPr="00002F57" w:rsidRDefault="00280562" w:rsidP="00154A01">
      <w:pPr>
        <w:spacing w:after="120"/>
        <w:ind w:left="2268" w:right="1134"/>
        <w:jc w:val="both"/>
        <w:rPr>
          <w:b/>
          <w:bCs/>
          <w:strike/>
        </w:rPr>
      </w:pPr>
      <w:r w:rsidRPr="00002F57">
        <w:t>Two front indicators</w:t>
      </w:r>
      <w:r w:rsidRPr="005372FA">
        <w:rPr>
          <w:bCs/>
        </w:rPr>
        <w:t xml:space="preserve">, </w:t>
      </w:r>
      <w:proofErr w:type="gramStart"/>
      <w:r w:rsidRPr="005372FA">
        <w:rPr>
          <w:bCs/>
        </w:rPr>
        <w:t>type-approved</w:t>
      </w:r>
      <w:proofErr w:type="gramEnd"/>
      <w:r w:rsidRPr="005372FA">
        <w:rPr>
          <w:bCs/>
        </w:rPr>
        <w:t xml:space="preserve"> as</w:t>
      </w:r>
      <w:r w:rsidRPr="00002F57">
        <w:rPr>
          <w:b/>
          <w:bCs/>
        </w:rPr>
        <w:t xml:space="preserve"> </w:t>
      </w:r>
      <w:r w:rsidRPr="00002F57">
        <w:t>category</w:t>
      </w:r>
      <w:r>
        <w:t xml:space="preserve"> </w:t>
      </w:r>
      <w:r w:rsidRPr="005372FA">
        <w:rPr>
          <w:bCs/>
        </w:rPr>
        <w:t>1, 1a or 1b</w:t>
      </w:r>
      <w:r w:rsidRPr="005372FA">
        <w:rPr>
          <w:strike/>
        </w:rPr>
        <w:t xml:space="preserve"> </w:t>
      </w:r>
      <w:r w:rsidRPr="005372FA">
        <w:rPr>
          <w:bCs/>
        </w:rPr>
        <w:t>according to the 01 or subsequent series of amendments to UN Regulation No. 6, or to</w:t>
      </w:r>
      <w:r w:rsidRPr="005372FA">
        <w:rPr>
          <w:bCs/>
          <w:lang w:eastAsia="ja-JP"/>
        </w:rPr>
        <w:t xml:space="preserve"> </w:t>
      </w:r>
      <w:r w:rsidRPr="005372FA">
        <w:rPr>
          <w:bCs/>
        </w:rPr>
        <w:t>the 00 or subsequent series of amendments to UN Regulation 148; or category 11, 11a, 11b or 11c</w:t>
      </w:r>
      <w:r w:rsidRPr="005372FA">
        <w:t xml:space="preserve"> </w:t>
      </w:r>
      <w:r w:rsidRPr="005372FA">
        <w:rPr>
          <w:bCs/>
        </w:rPr>
        <w:t>according to the 00 or subsequent series of amendments to UN Regulation Nos. 50 or 148</w:t>
      </w:r>
      <w:r w:rsidRPr="00002F57">
        <w:t>.</w:t>
      </w:r>
    </w:p>
    <w:p w14:paraId="1F251BCA" w14:textId="77777777" w:rsidR="005372FA" w:rsidRDefault="00280562" w:rsidP="005B43C6">
      <w:pPr>
        <w:spacing w:after="120"/>
        <w:ind w:left="2268" w:right="1134"/>
        <w:jc w:val="both"/>
      </w:pPr>
      <w:r w:rsidRPr="00002F57">
        <w:t>Two rear indicators</w:t>
      </w:r>
      <w:r w:rsidRPr="005372FA">
        <w:rPr>
          <w:bCs/>
        </w:rPr>
        <w:t xml:space="preserve">, </w:t>
      </w:r>
      <w:proofErr w:type="gramStart"/>
      <w:r w:rsidRPr="005372FA">
        <w:rPr>
          <w:bCs/>
        </w:rPr>
        <w:t>type-approved</w:t>
      </w:r>
      <w:proofErr w:type="gramEnd"/>
      <w:r w:rsidRPr="005372FA">
        <w:rPr>
          <w:bCs/>
        </w:rPr>
        <w:t xml:space="preserve"> as</w:t>
      </w:r>
      <w:r w:rsidRPr="00002F57">
        <w:t xml:space="preserve"> category </w:t>
      </w:r>
      <w:r w:rsidRPr="005372FA">
        <w:rPr>
          <w:bCs/>
        </w:rPr>
        <w:t>2</w:t>
      </w:r>
      <w:r w:rsidRPr="005372FA">
        <w:t xml:space="preserve"> </w:t>
      </w:r>
      <w:r w:rsidRPr="005372FA">
        <w:rPr>
          <w:bCs/>
        </w:rPr>
        <w:t>according to the 01 or subsequent series of amendments to UN Regulation No. 6, or</w:t>
      </w:r>
      <w:r w:rsidRPr="005372FA">
        <w:t xml:space="preserve"> </w:t>
      </w:r>
      <w:r w:rsidRPr="005372FA">
        <w:rPr>
          <w:bCs/>
        </w:rPr>
        <w:t>to</w:t>
      </w:r>
      <w:r w:rsidRPr="005372FA">
        <w:rPr>
          <w:bCs/>
          <w:lang w:eastAsia="ja-JP"/>
        </w:rPr>
        <w:t xml:space="preserve"> </w:t>
      </w:r>
      <w:r w:rsidRPr="005372FA">
        <w:rPr>
          <w:bCs/>
        </w:rPr>
        <w:t xml:space="preserve">the 00 or subsequent series of amendments to UN Regulation No. 148; or category 12 according to </w:t>
      </w:r>
      <w:r w:rsidRPr="005372FA">
        <w:rPr>
          <w:bCs/>
          <w:lang w:eastAsia="ja-JP"/>
        </w:rPr>
        <w:t>t</w:t>
      </w:r>
      <w:r w:rsidRPr="005372FA">
        <w:rPr>
          <w:bCs/>
        </w:rPr>
        <w:t>he 00 or subsequent series of amendments to UN Regulation Nos. 50 or 148</w:t>
      </w:r>
      <w:r w:rsidRPr="005372FA">
        <w:t>.</w:t>
      </w:r>
    </w:p>
    <w:p w14:paraId="338BC818" w14:textId="1B47F015" w:rsidR="005372FA" w:rsidRDefault="005372FA" w:rsidP="00154A01">
      <w:pPr>
        <w:spacing w:after="120"/>
        <w:ind w:left="2268" w:right="1134"/>
      </w:pPr>
      <w:r w:rsidRPr="0017271A">
        <w:rPr>
          <w:b/>
          <w:iCs/>
          <w:kern w:val="2"/>
          <w:lang w:eastAsia="ja-JP"/>
        </w:rPr>
        <w:t>Two optional front indicators of category 11 and two optional rear indicators of category 12</w:t>
      </w:r>
      <w:r>
        <w:rPr>
          <w:b/>
          <w:iCs/>
          <w:kern w:val="2"/>
          <w:lang w:eastAsia="ja-JP"/>
        </w:rPr>
        <w:t xml:space="preserve"> according to the </w:t>
      </w:r>
      <w:r w:rsidRPr="005372FA">
        <w:rPr>
          <w:b/>
          <w:bCs/>
        </w:rPr>
        <w:t>0</w:t>
      </w:r>
      <w:r w:rsidR="00E251AF">
        <w:rPr>
          <w:b/>
          <w:bCs/>
        </w:rPr>
        <w:t>1</w:t>
      </w:r>
      <w:r w:rsidRPr="005372FA">
        <w:rPr>
          <w:b/>
          <w:bCs/>
        </w:rPr>
        <w:t xml:space="preserve"> or subsequent series of amendments to UN Regulation </w:t>
      </w:r>
      <w:r w:rsidR="00E251AF">
        <w:rPr>
          <w:b/>
          <w:bCs/>
        </w:rPr>
        <w:t>No.</w:t>
      </w:r>
      <w:r w:rsidRPr="005372FA">
        <w:rPr>
          <w:b/>
          <w:bCs/>
        </w:rPr>
        <w:t xml:space="preserve"> 148</w:t>
      </w:r>
      <w:r>
        <w:rPr>
          <w:bCs/>
        </w:rPr>
        <w:t>.</w:t>
      </w:r>
      <w:r w:rsidR="00280562">
        <w:t>”</w:t>
      </w:r>
    </w:p>
    <w:p w14:paraId="03DCB79F" w14:textId="204271DD" w:rsidR="005372FA" w:rsidRDefault="005372FA" w:rsidP="00154A01">
      <w:pPr>
        <w:pStyle w:val="SingleTxtG"/>
        <w:ind w:left="2268" w:hanging="1134"/>
      </w:pPr>
      <w:r w:rsidRPr="00BB44EF">
        <w:rPr>
          <w:i/>
          <w:iCs/>
          <w:kern w:val="2"/>
          <w:lang w:eastAsia="ja-JP"/>
        </w:rPr>
        <w:t>Paragraph 6.</w:t>
      </w:r>
      <w:r>
        <w:rPr>
          <w:i/>
          <w:iCs/>
          <w:kern w:val="2"/>
          <w:lang w:eastAsia="ja-JP"/>
        </w:rPr>
        <w:t>8.3.3</w:t>
      </w:r>
      <w:r w:rsidRPr="00BB44EF">
        <w:rPr>
          <w:i/>
          <w:iCs/>
          <w:kern w:val="2"/>
          <w:lang w:eastAsia="ja-JP"/>
        </w:rPr>
        <w:t xml:space="preserve">., </w:t>
      </w:r>
      <w:r w:rsidRPr="00BB44EF">
        <w:rPr>
          <w:iCs/>
          <w:kern w:val="2"/>
          <w:lang w:eastAsia="ja-JP"/>
        </w:rPr>
        <w:t xml:space="preserve">amend to </w:t>
      </w:r>
      <w:r w:rsidRPr="00BB44EF">
        <w:t>read</w:t>
      </w:r>
      <w:r>
        <w:t>:</w:t>
      </w:r>
    </w:p>
    <w:p w14:paraId="6977FC8F" w14:textId="49193565" w:rsidR="005372FA" w:rsidRDefault="005372FA" w:rsidP="00154A01">
      <w:pPr>
        <w:pStyle w:val="SingleTxtG"/>
        <w:ind w:left="2268" w:hanging="1134"/>
        <w:rPr>
          <w:iCs/>
          <w:kern w:val="2"/>
          <w:lang w:eastAsia="ja-JP"/>
        </w:rPr>
      </w:pPr>
      <w:r>
        <w:rPr>
          <w:iCs/>
          <w:kern w:val="2"/>
          <w:lang w:eastAsia="ja-JP"/>
        </w:rPr>
        <w:t>“6.8.3.3.</w:t>
      </w:r>
      <w:r>
        <w:rPr>
          <w:iCs/>
          <w:kern w:val="2"/>
          <w:lang w:eastAsia="ja-JP"/>
        </w:rPr>
        <w:tab/>
        <w:t xml:space="preserve">in length: the forward distance between the centre of reference of the rear indicators and the transverse plane which constitutes the rearmost limit of the vehicle’s over-all length shall not exceed 300 mm. </w:t>
      </w:r>
      <w:r w:rsidRPr="0017271A">
        <w:rPr>
          <w:b/>
          <w:iCs/>
          <w:kern w:val="2"/>
          <w:lang w:eastAsia="ja-JP"/>
        </w:rPr>
        <w:t>This condition shall not apply to the optional rear indicators.</w:t>
      </w:r>
      <w:r>
        <w:rPr>
          <w:iCs/>
          <w:kern w:val="2"/>
          <w:lang w:eastAsia="ja-JP"/>
        </w:rPr>
        <w:t>”</w:t>
      </w:r>
      <w:r>
        <w:rPr>
          <w:iCs/>
          <w:kern w:val="2"/>
          <w:lang w:eastAsia="ja-JP"/>
        </w:rPr>
        <w:tab/>
      </w:r>
    </w:p>
    <w:p w14:paraId="7B0F9D00" w14:textId="3568F588" w:rsidR="005372FA" w:rsidRDefault="005372FA" w:rsidP="00154A01">
      <w:pPr>
        <w:pStyle w:val="SingleTxtG"/>
        <w:ind w:left="2268" w:hanging="1134"/>
      </w:pPr>
      <w:r w:rsidRPr="00BB44EF">
        <w:rPr>
          <w:i/>
          <w:iCs/>
          <w:kern w:val="2"/>
          <w:lang w:eastAsia="ja-JP"/>
        </w:rPr>
        <w:t>Paragraph 6.</w:t>
      </w:r>
      <w:r>
        <w:rPr>
          <w:i/>
          <w:iCs/>
          <w:kern w:val="2"/>
          <w:lang w:eastAsia="ja-JP"/>
        </w:rPr>
        <w:t>8.5</w:t>
      </w:r>
      <w:r w:rsidRPr="00BB44EF">
        <w:rPr>
          <w:i/>
          <w:iCs/>
          <w:kern w:val="2"/>
          <w:lang w:eastAsia="ja-JP"/>
        </w:rPr>
        <w:t xml:space="preserve">., </w:t>
      </w:r>
      <w:r w:rsidRPr="00BB44EF">
        <w:rPr>
          <w:iCs/>
          <w:kern w:val="2"/>
          <w:lang w:eastAsia="ja-JP"/>
        </w:rPr>
        <w:t xml:space="preserve">amend to </w:t>
      </w:r>
      <w:r w:rsidRPr="00BB44EF">
        <w:t>read</w:t>
      </w:r>
      <w:r>
        <w:t>:</w:t>
      </w:r>
    </w:p>
    <w:p w14:paraId="2107077B" w14:textId="77777777" w:rsidR="005372FA" w:rsidRDefault="005372FA" w:rsidP="00154A01">
      <w:pPr>
        <w:pStyle w:val="SingleTxtG"/>
        <w:ind w:left="2268" w:hanging="1134"/>
        <w:rPr>
          <w:iCs/>
          <w:kern w:val="2"/>
          <w:lang w:eastAsia="ja-JP"/>
        </w:rPr>
      </w:pPr>
      <w:r>
        <w:rPr>
          <w:iCs/>
          <w:kern w:val="2"/>
          <w:lang w:eastAsia="ja-JP"/>
        </w:rPr>
        <w:t>“6.8.5.</w:t>
      </w:r>
      <w:r>
        <w:rPr>
          <w:iCs/>
          <w:kern w:val="2"/>
          <w:lang w:eastAsia="ja-JP"/>
        </w:rPr>
        <w:tab/>
        <w:t>Orientation</w:t>
      </w:r>
    </w:p>
    <w:p w14:paraId="6F9EA737" w14:textId="37D12659" w:rsidR="005372FA" w:rsidRDefault="005372FA" w:rsidP="00154A01">
      <w:pPr>
        <w:pStyle w:val="SingleTxtG"/>
        <w:ind w:left="2268" w:hanging="1134"/>
        <w:rPr>
          <w:iCs/>
          <w:kern w:val="2"/>
          <w:lang w:eastAsia="ja-JP"/>
        </w:rPr>
      </w:pPr>
      <w:r>
        <w:rPr>
          <w:iCs/>
          <w:kern w:val="2"/>
          <w:lang w:eastAsia="ja-JP"/>
        </w:rPr>
        <w:tab/>
        <w:t xml:space="preserve">The front indicators </w:t>
      </w:r>
      <w:r w:rsidRPr="00A00D49">
        <w:rPr>
          <w:b/>
          <w:iCs/>
          <w:kern w:val="2"/>
          <w:lang w:eastAsia="ja-JP"/>
        </w:rPr>
        <w:t>and the optional rear indicators</w:t>
      </w:r>
      <w:r>
        <w:rPr>
          <w:iCs/>
          <w:kern w:val="2"/>
          <w:lang w:eastAsia="ja-JP"/>
        </w:rPr>
        <w:t xml:space="preserve"> may move in line with the steering angle.”</w:t>
      </w:r>
    </w:p>
    <w:p w14:paraId="73D364BC" w14:textId="4F45D8E1" w:rsidR="005372FA" w:rsidRDefault="005372FA" w:rsidP="00154A01">
      <w:pPr>
        <w:pStyle w:val="SingleTxtG"/>
        <w:ind w:left="2268" w:hanging="1134"/>
        <w:rPr>
          <w:iCs/>
          <w:kern w:val="2"/>
          <w:lang w:eastAsia="ja-JP"/>
        </w:rPr>
      </w:pPr>
      <w:r>
        <w:rPr>
          <w:i/>
          <w:iCs/>
          <w:kern w:val="2"/>
          <w:lang w:eastAsia="ja-JP"/>
        </w:rPr>
        <w:t>I</w:t>
      </w:r>
      <w:r w:rsidRPr="00F73502">
        <w:rPr>
          <w:i/>
          <w:iCs/>
          <w:kern w:val="2"/>
          <w:lang w:eastAsia="ja-JP"/>
        </w:rPr>
        <w:t>nsert a new paragraph</w:t>
      </w:r>
      <w:r w:rsidRPr="00BB44EF">
        <w:rPr>
          <w:i/>
          <w:iCs/>
          <w:kern w:val="2"/>
          <w:lang w:eastAsia="ja-JP"/>
        </w:rPr>
        <w:t xml:space="preserve"> 6.</w:t>
      </w:r>
      <w:r>
        <w:rPr>
          <w:i/>
          <w:iCs/>
          <w:kern w:val="2"/>
          <w:lang w:eastAsia="ja-JP"/>
        </w:rPr>
        <w:t>8.8</w:t>
      </w:r>
      <w:r w:rsidRPr="00BB44EF">
        <w:rPr>
          <w:i/>
          <w:iCs/>
          <w:kern w:val="2"/>
          <w:lang w:eastAsia="ja-JP"/>
        </w:rPr>
        <w:t xml:space="preserve">., </w:t>
      </w:r>
      <w:r w:rsidRPr="00F73502">
        <w:rPr>
          <w:iCs/>
          <w:kern w:val="2"/>
          <w:lang w:eastAsia="ja-JP"/>
        </w:rPr>
        <w:t>to read:</w:t>
      </w:r>
    </w:p>
    <w:p w14:paraId="0FCC872C" w14:textId="26510ED7" w:rsidR="005372FA" w:rsidRDefault="005372FA" w:rsidP="00154A01">
      <w:pPr>
        <w:pStyle w:val="SingleTxtG"/>
        <w:ind w:left="2268" w:hanging="1134"/>
        <w:rPr>
          <w:iCs/>
          <w:kern w:val="2"/>
          <w:lang w:eastAsia="ja-JP"/>
        </w:rPr>
      </w:pPr>
      <w:r>
        <w:rPr>
          <w:iCs/>
          <w:kern w:val="2"/>
          <w:lang w:eastAsia="ja-JP"/>
        </w:rPr>
        <w:t>“</w:t>
      </w:r>
      <w:r w:rsidRPr="00D46E16">
        <w:rPr>
          <w:b/>
          <w:iCs/>
          <w:kern w:val="2"/>
          <w:lang w:eastAsia="ja-JP"/>
        </w:rPr>
        <w:t>6.8.8.</w:t>
      </w:r>
      <w:r w:rsidRPr="00D46E16">
        <w:rPr>
          <w:b/>
          <w:iCs/>
          <w:kern w:val="2"/>
          <w:lang w:eastAsia="ja-JP"/>
        </w:rPr>
        <w:tab/>
      </w:r>
      <w:r>
        <w:rPr>
          <w:b/>
          <w:iCs/>
          <w:kern w:val="2"/>
          <w:lang w:eastAsia="ja-JP"/>
        </w:rPr>
        <w:t>T</w:t>
      </w:r>
      <w:r w:rsidRPr="00D46E16">
        <w:rPr>
          <w:b/>
          <w:iCs/>
          <w:kern w:val="2"/>
          <w:lang w:eastAsia="ja-JP"/>
        </w:rPr>
        <w:t>he front indicator</w:t>
      </w:r>
      <w:r>
        <w:rPr>
          <w:b/>
          <w:iCs/>
          <w:kern w:val="2"/>
          <w:lang w:eastAsia="ja-JP"/>
        </w:rPr>
        <w:t xml:space="preserve"> of category 11 </w:t>
      </w:r>
      <w:r w:rsidRPr="00D46E16">
        <w:rPr>
          <w:b/>
          <w:iCs/>
          <w:kern w:val="2"/>
          <w:lang w:eastAsia="ja-JP"/>
        </w:rPr>
        <w:t>may be grouped or combined with</w:t>
      </w:r>
      <w:r>
        <w:rPr>
          <w:b/>
          <w:iCs/>
          <w:kern w:val="2"/>
          <w:lang w:eastAsia="ja-JP"/>
        </w:rPr>
        <w:t xml:space="preserve"> t</w:t>
      </w:r>
      <w:r w:rsidRPr="00D46E16">
        <w:rPr>
          <w:b/>
          <w:iCs/>
          <w:kern w:val="2"/>
          <w:lang w:eastAsia="ja-JP"/>
        </w:rPr>
        <w:t>he optional rear indicator</w:t>
      </w:r>
      <w:r w:rsidR="00222510">
        <w:rPr>
          <w:b/>
          <w:iCs/>
          <w:kern w:val="2"/>
          <w:lang w:eastAsia="ja-JP"/>
        </w:rPr>
        <w:t xml:space="preserve"> of category </w:t>
      </w:r>
      <w:proofErr w:type="gramStart"/>
      <w:r w:rsidR="00222510">
        <w:rPr>
          <w:b/>
          <w:iCs/>
          <w:kern w:val="2"/>
          <w:lang w:eastAsia="ja-JP"/>
        </w:rPr>
        <w:t>12</w:t>
      </w:r>
      <w:r w:rsidR="00154A01">
        <w:rPr>
          <w:b/>
          <w:iCs/>
          <w:kern w:val="2"/>
          <w:lang w:eastAsia="ja-JP"/>
        </w:rPr>
        <w:t>.</w:t>
      </w:r>
      <w:r w:rsidR="007623D0">
        <w:rPr>
          <w:b/>
          <w:iCs/>
          <w:kern w:val="2"/>
          <w:vertAlign w:val="superscript"/>
          <w:lang w:eastAsia="ja-JP"/>
        </w:rPr>
        <w:t>1</w:t>
      </w:r>
      <w:r>
        <w:rPr>
          <w:iCs/>
          <w:kern w:val="2"/>
          <w:lang w:eastAsia="ja-JP"/>
        </w:rPr>
        <w:t>”</w:t>
      </w:r>
      <w:proofErr w:type="gramEnd"/>
    </w:p>
    <w:p w14:paraId="1B8C8DA5" w14:textId="35271E17" w:rsidR="007623D0" w:rsidRDefault="007623D0" w:rsidP="00154A01">
      <w:pPr>
        <w:pStyle w:val="SingleTxtG"/>
        <w:ind w:left="2268" w:hanging="1134"/>
        <w:rPr>
          <w:iCs/>
          <w:kern w:val="2"/>
          <w:lang w:eastAsia="ja-JP"/>
        </w:rPr>
      </w:pPr>
      <w:r w:rsidRPr="00510A54">
        <w:rPr>
          <w:i/>
          <w:iCs/>
          <w:kern w:val="2"/>
          <w:lang w:eastAsia="ja-JP"/>
        </w:rPr>
        <w:t>Insert a new footnote,</w:t>
      </w:r>
      <w:r>
        <w:rPr>
          <w:iCs/>
          <w:kern w:val="2"/>
          <w:lang w:eastAsia="ja-JP"/>
        </w:rPr>
        <w:t xml:space="preserve"> to read:</w:t>
      </w:r>
    </w:p>
    <w:p w14:paraId="06D9CA07" w14:textId="03C012CC" w:rsidR="00510A54" w:rsidRPr="007623D0" w:rsidRDefault="00510A54" w:rsidP="00154A01">
      <w:pPr>
        <w:pStyle w:val="SingleTxtG"/>
        <w:ind w:hanging="567"/>
        <w:rPr>
          <w:iCs/>
          <w:kern w:val="2"/>
          <w:lang w:eastAsia="ja-JP"/>
        </w:rPr>
      </w:pPr>
      <w:r>
        <w:rPr>
          <w:iCs/>
          <w:kern w:val="2"/>
          <w:lang w:eastAsia="ja-JP"/>
        </w:rPr>
        <w:tab/>
      </w:r>
      <w:r w:rsidR="007623D0">
        <w:rPr>
          <w:iCs/>
          <w:kern w:val="2"/>
          <w:lang w:eastAsia="ja-JP"/>
        </w:rPr>
        <w:t>“</w:t>
      </w:r>
      <w:r w:rsidR="007623D0" w:rsidRPr="00510A54">
        <w:rPr>
          <w:b/>
          <w:iCs/>
          <w:kern w:val="2"/>
          <w:vertAlign w:val="superscript"/>
          <w:lang w:eastAsia="ja-JP"/>
        </w:rPr>
        <w:t>1</w:t>
      </w:r>
      <w:r w:rsidR="007623D0" w:rsidRPr="00510A54">
        <w:rPr>
          <w:b/>
          <w:iCs/>
          <w:kern w:val="2"/>
          <w:lang w:eastAsia="ja-JP"/>
        </w:rPr>
        <w:t xml:space="preserve"> </w:t>
      </w:r>
      <w:r>
        <w:rPr>
          <w:b/>
          <w:iCs/>
          <w:kern w:val="2"/>
          <w:lang w:eastAsia="ja-JP"/>
        </w:rPr>
        <w:t>The</w:t>
      </w:r>
      <w:r w:rsidR="007623D0" w:rsidRPr="00510A54">
        <w:rPr>
          <w:b/>
          <w:iCs/>
          <w:kern w:val="2"/>
          <w:lang w:eastAsia="ja-JP"/>
        </w:rPr>
        <w:t xml:space="preserve"> minimum distance </w:t>
      </w:r>
      <w:r w:rsidRPr="00510A54">
        <w:rPr>
          <w:b/>
          <w:iCs/>
          <w:kern w:val="2"/>
          <w:lang w:eastAsia="ja-JP"/>
        </w:rPr>
        <w:t xml:space="preserve">between the </w:t>
      </w:r>
      <w:proofErr w:type="spellStart"/>
      <w:r w:rsidRPr="00510A54">
        <w:rPr>
          <w:b/>
          <w:iCs/>
          <w:kern w:val="2"/>
          <w:lang w:eastAsia="ja-JP"/>
        </w:rPr>
        <w:t>center</w:t>
      </w:r>
      <w:proofErr w:type="spellEnd"/>
      <w:r w:rsidRPr="00510A54">
        <w:rPr>
          <w:b/>
          <w:iCs/>
          <w:kern w:val="2"/>
          <w:lang w:eastAsia="ja-JP"/>
        </w:rPr>
        <w:t xml:space="preserve"> of reference of the </w:t>
      </w:r>
      <w:r>
        <w:rPr>
          <w:b/>
          <w:iCs/>
          <w:kern w:val="2"/>
          <w:lang w:eastAsia="ja-JP"/>
        </w:rPr>
        <w:t xml:space="preserve">optional </w:t>
      </w:r>
      <w:r w:rsidRPr="00510A54">
        <w:rPr>
          <w:b/>
          <w:iCs/>
          <w:kern w:val="2"/>
          <w:lang w:eastAsia="ja-JP"/>
        </w:rPr>
        <w:t>rear indicator</w:t>
      </w:r>
      <w:r>
        <w:rPr>
          <w:b/>
          <w:iCs/>
          <w:kern w:val="2"/>
          <w:lang w:eastAsia="ja-JP"/>
        </w:rPr>
        <w:t xml:space="preserve"> installed in </w:t>
      </w:r>
      <w:proofErr w:type="spellStart"/>
      <w:r>
        <w:rPr>
          <w:b/>
          <w:iCs/>
          <w:kern w:val="2"/>
          <w:lang w:eastAsia="ja-JP"/>
        </w:rPr>
        <w:t>handelbars</w:t>
      </w:r>
      <w:proofErr w:type="spellEnd"/>
      <w:r w:rsidRPr="00510A54">
        <w:rPr>
          <w:b/>
          <w:iCs/>
          <w:kern w:val="2"/>
          <w:lang w:eastAsia="ja-JP"/>
        </w:rPr>
        <w:t xml:space="preserve"> shall </w:t>
      </w:r>
      <w:r>
        <w:rPr>
          <w:b/>
          <w:iCs/>
          <w:kern w:val="2"/>
          <w:lang w:eastAsia="ja-JP"/>
        </w:rPr>
        <w:t xml:space="preserve">not be less </w:t>
      </w:r>
      <w:proofErr w:type="spellStart"/>
      <w:r>
        <w:rPr>
          <w:b/>
          <w:iCs/>
          <w:kern w:val="2"/>
          <w:lang w:eastAsia="ja-JP"/>
        </w:rPr>
        <w:t>then</w:t>
      </w:r>
      <w:proofErr w:type="spellEnd"/>
      <w:r w:rsidRPr="00510A54">
        <w:rPr>
          <w:b/>
          <w:iCs/>
          <w:kern w:val="2"/>
          <w:lang w:eastAsia="ja-JP"/>
        </w:rPr>
        <w:t xml:space="preserve"> 550 mm</w:t>
      </w:r>
      <w:r>
        <w:rPr>
          <w:b/>
          <w:iCs/>
          <w:kern w:val="2"/>
          <w:lang w:eastAsia="ja-JP"/>
        </w:rPr>
        <w:t>.</w:t>
      </w:r>
      <w:r>
        <w:rPr>
          <w:iCs/>
          <w:kern w:val="2"/>
          <w:lang w:eastAsia="ja-JP"/>
        </w:rPr>
        <w:t>”</w:t>
      </w:r>
    </w:p>
    <w:p w14:paraId="7897A025" w14:textId="0D206022" w:rsidR="005372FA" w:rsidRDefault="005372FA" w:rsidP="00154A01">
      <w:pPr>
        <w:pStyle w:val="para0"/>
        <w:rPr>
          <w:bCs/>
          <w:lang w:val="en-US"/>
        </w:rPr>
      </w:pPr>
      <w:r w:rsidRPr="00D46E16">
        <w:rPr>
          <w:bCs/>
          <w:i/>
          <w:lang w:val="en-US"/>
        </w:rPr>
        <w:t>Paragraph 6.8.8. and related sub-paragraphs,</w:t>
      </w:r>
      <w:r>
        <w:rPr>
          <w:bCs/>
          <w:lang w:val="en-US"/>
        </w:rPr>
        <w:t xml:space="preserve"> renumber to read:</w:t>
      </w:r>
      <w:r w:rsidR="00154A01">
        <w:rPr>
          <w:bCs/>
          <w:lang w:val="en-US"/>
        </w:rPr>
        <w:t xml:space="preserve"> </w:t>
      </w:r>
    </w:p>
    <w:p w14:paraId="6BE7971C" w14:textId="77777777" w:rsidR="005372FA" w:rsidRPr="006A2CD4" w:rsidRDefault="005372FA" w:rsidP="00154A01">
      <w:pPr>
        <w:tabs>
          <w:tab w:val="left" w:pos="-1242"/>
          <w:tab w:val="left" w:pos="-720"/>
          <w:tab w:val="left" w:pos="2268"/>
        </w:tabs>
        <w:spacing w:after="120"/>
        <w:ind w:left="2268" w:right="1134" w:hanging="1134"/>
        <w:jc w:val="both"/>
      </w:pPr>
      <w:r>
        <w:rPr>
          <w:bCs/>
          <w:lang w:val="en-US"/>
        </w:rPr>
        <w:t>“</w:t>
      </w:r>
      <w:r w:rsidRPr="006A2CD4">
        <w:t>6.8.</w:t>
      </w:r>
      <w:r w:rsidRPr="00BF7277">
        <w:rPr>
          <w:strike/>
        </w:rPr>
        <w:t>8</w:t>
      </w:r>
      <w:r w:rsidRPr="00BF7277">
        <w:rPr>
          <w:b/>
        </w:rPr>
        <w:t>9</w:t>
      </w:r>
      <w:r w:rsidRPr="006A2CD4">
        <w:t xml:space="preserve">. </w:t>
      </w:r>
      <w:r w:rsidRPr="006A2CD4">
        <w:tab/>
        <w:t xml:space="preserve">Electrical connections </w:t>
      </w:r>
    </w:p>
    <w:p w14:paraId="5A33AC54" w14:textId="317AE5CE" w:rsidR="005372FA" w:rsidRPr="006A2CD4" w:rsidRDefault="005372FA" w:rsidP="00154A01">
      <w:pPr>
        <w:tabs>
          <w:tab w:val="left" w:pos="-1242"/>
          <w:tab w:val="left" w:pos="-720"/>
          <w:tab w:val="left" w:pos="2268"/>
        </w:tabs>
        <w:spacing w:after="120"/>
        <w:ind w:left="2268" w:right="1134" w:hanging="1134"/>
        <w:jc w:val="both"/>
      </w:pPr>
      <w:r w:rsidRPr="006A2CD4">
        <w:tab/>
        <w:t>Direction-indicator lamps shall light up independently of the other lamps.  All the direction-indicator lamps on one side of a vehicle shall be switched on and off by means of one control.</w:t>
      </w:r>
    </w:p>
    <w:p w14:paraId="0B66F008" w14:textId="77777777" w:rsidR="005372FA" w:rsidRDefault="005372FA" w:rsidP="00154A01">
      <w:pPr>
        <w:tabs>
          <w:tab w:val="left" w:pos="-1242"/>
          <w:tab w:val="left" w:pos="-720"/>
          <w:tab w:val="left" w:pos="2268"/>
        </w:tabs>
        <w:spacing w:after="120"/>
        <w:ind w:left="2268" w:right="1134" w:hanging="1134"/>
        <w:jc w:val="both"/>
      </w:pPr>
      <w:r w:rsidRPr="006A2CD4">
        <w:t>6.8.</w:t>
      </w:r>
      <w:r w:rsidRPr="00BF7277">
        <w:rPr>
          <w:strike/>
        </w:rPr>
        <w:t>9</w:t>
      </w:r>
      <w:r w:rsidRPr="00BF7277">
        <w:rPr>
          <w:b/>
        </w:rPr>
        <w:t>10</w:t>
      </w:r>
      <w:r w:rsidRPr="006A2CD4">
        <w:t xml:space="preserve">. </w:t>
      </w:r>
      <w:r w:rsidRPr="006A2CD4">
        <w:tab/>
        <w:t xml:space="preserve">Other requirements </w:t>
      </w:r>
    </w:p>
    <w:p w14:paraId="008293F8" w14:textId="13A2FA26" w:rsidR="005372FA" w:rsidRPr="006A2CD4" w:rsidRDefault="005372FA" w:rsidP="00154A01">
      <w:pPr>
        <w:tabs>
          <w:tab w:val="left" w:pos="-1242"/>
          <w:tab w:val="left" w:pos="-720"/>
          <w:tab w:val="left" w:pos="2268"/>
        </w:tabs>
        <w:spacing w:after="120"/>
        <w:ind w:left="2268" w:right="1134" w:hanging="1134"/>
        <w:jc w:val="both"/>
      </w:pPr>
      <w:r>
        <w:tab/>
      </w:r>
      <w:r w:rsidRPr="006A2CD4">
        <w:t>The characteristics indicated below shall be measured with no other load on the electrical system except that which is required for the operation of the engine and lighting devices.</w:t>
      </w:r>
    </w:p>
    <w:p w14:paraId="5E1D1B12" w14:textId="0BB648A1" w:rsidR="005372FA" w:rsidRPr="006A2CD4" w:rsidRDefault="005372FA" w:rsidP="00154A01">
      <w:pPr>
        <w:tabs>
          <w:tab w:val="left" w:pos="-1242"/>
          <w:tab w:val="left" w:pos="-720"/>
          <w:tab w:val="left" w:pos="2268"/>
        </w:tabs>
        <w:spacing w:after="120"/>
        <w:ind w:left="2268" w:right="1134" w:hanging="1134"/>
        <w:jc w:val="both"/>
      </w:pPr>
      <w:r w:rsidRPr="006A2CD4">
        <w:t>6.8.</w:t>
      </w:r>
      <w:r w:rsidRPr="00BF7277">
        <w:rPr>
          <w:strike/>
        </w:rPr>
        <w:t xml:space="preserve"> 9</w:t>
      </w:r>
      <w:r w:rsidRPr="00BF7277">
        <w:rPr>
          <w:b/>
        </w:rPr>
        <w:t>10</w:t>
      </w:r>
      <w:r w:rsidRPr="006A2CD4">
        <w:t xml:space="preserve">.1. </w:t>
      </w:r>
      <w:r w:rsidRPr="006A2CD4">
        <w:tab/>
        <w:t>In the case of all vehicles which supply direct current to the direction indicators, the light flashing frequency shall be 90 ± 30 times per minute.</w:t>
      </w:r>
    </w:p>
    <w:p w14:paraId="48E310E3" w14:textId="2438E6E4" w:rsidR="005372FA" w:rsidRPr="006A2CD4" w:rsidRDefault="005372FA" w:rsidP="00154A01">
      <w:pPr>
        <w:tabs>
          <w:tab w:val="left" w:pos="-1242"/>
          <w:tab w:val="left" w:pos="-720"/>
          <w:tab w:val="left" w:pos="2268"/>
        </w:tabs>
        <w:spacing w:after="120"/>
        <w:ind w:left="2268" w:right="1134" w:hanging="1134"/>
        <w:jc w:val="both"/>
      </w:pPr>
      <w:r w:rsidRPr="006A2CD4">
        <w:t>6.8.</w:t>
      </w:r>
      <w:r w:rsidRPr="00BF7277">
        <w:rPr>
          <w:strike/>
        </w:rPr>
        <w:t xml:space="preserve"> 9</w:t>
      </w:r>
      <w:r w:rsidRPr="00BF7277">
        <w:rPr>
          <w:b/>
        </w:rPr>
        <w:t>10</w:t>
      </w:r>
      <w:r w:rsidRPr="006A2CD4">
        <w:t>.1.1.</w:t>
      </w:r>
      <w:r w:rsidRPr="006A2CD4">
        <w:tab/>
        <w:t xml:space="preserve">The flashing of the direction indicators on the same side of the vehicle may occur synchronously or alternately. </w:t>
      </w:r>
    </w:p>
    <w:p w14:paraId="3D0279D2" w14:textId="6A25CA2E" w:rsidR="005372FA" w:rsidRPr="006A2CD4" w:rsidRDefault="005372FA" w:rsidP="00154A01">
      <w:pPr>
        <w:tabs>
          <w:tab w:val="left" w:pos="-1242"/>
          <w:tab w:val="left" w:pos="-720"/>
          <w:tab w:val="left" w:pos="2268"/>
        </w:tabs>
        <w:spacing w:after="120"/>
        <w:ind w:left="2268" w:right="1134" w:hanging="1134"/>
        <w:jc w:val="both"/>
      </w:pPr>
      <w:r w:rsidRPr="006A2CD4">
        <w:lastRenderedPageBreak/>
        <w:t>6.8.</w:t>
      </w:r>
      <w:r w:rsidRPr="00BF7277">
        <w:rPr>
          <w:strike/>
        </w:rPr>
        <w:t xml:space="preserve"> 9</w:t>
      </w:r>
      <w:r w:rsidRPr="00BF7277">
        <w:rPr>
          <w:b/>
        </w:rPr>
        <w:t>10</w:t>
      </w:r>
      <w:r w:rsidRPr="006A2CD4">
        <w:t>.1.2.</w:t>
      </w:r>
      <w:r w:rsidRPr="006A2CD4">
        <w:tab/>
        <w:t>Operation of the light-signal control shall be followed within not more than one second by the appearance of the light from any of the indicators and within not more than one-and-a-half seconds by the first extinction of the light.</w:t>
      </w:r>
    </w:p>
    <w:p w14:paraId="0CB2304A" w14:textId="0AB476D5" w:rsidR="005372FA" w:rsidRPr="006A2CD4" w:rsidRDefault="005372FA" w:rsidP="00154A01">
      <w:pPr>
        <w:tabs>
          <w:tab w:val="left" w:pos="-1242"/>
          <w:tab w:val="left" w:pos="-720"/>
          <w:tab w:val="left" w:pos="2268"/>
        </w:tabs>
        <w:spacing w:after="120"/>
        <w:ind w:left="2268" w:right="1134" w:hanging="1134"/>
        <w:jc w:val="both"/>
      </w:pPr>
      <w:r w:rsidRPr="006A2CD4">
        <w:t>6.8.</w:t>
      </w:r>
      <w:r w:rsidRPr="00BF7277">
        <w:rPr>
          <w:strike/>
        </w:rPr>
        <w:t xml:space="preserve"> 9</w:t>
      </w:r>
      <w:r w:rsidRPr="00BF7277">
        <w:rPr>
          <w:b/>
        </w:rPr>
        <w:t>10</w:t>
      </w:r>
      <w:r w:rsidRPr="006A2CD4">
        <w:t xml:space="preserve">.2. </w:t>
      </w:r>
      <w:r w:rsidRPr="006A2CD4">
        <w:tab/>
        <w:t>In the case of a vehicle which supplied alternating current to the direction indicators, where the speed of the engine is between 50 per cent and 100 per cent of the engine speed corresponding to the maximum design speed of the vehicle; the light flashing frequency shall be 90 + 30 times per minute.</w:t>
      </w:r>
    </w:p>
    <w:p w14:paraId="4F99F286" w14:textId="3DD919F2" w:rsidR="005372FA" w:rsidRPr="006A2CD4" w:rsidRDefault="005372FA" w:rsidP="00154A01">
      <w:pPr>
        <w:tabs>
          <w:tab w:val="left" w:pos="-1242"/>
          <w:tab w:val="left" w:pos="-720"/>
          <w:tab w:val="left" w:pos="2268"/>
        </w:tabs>
        <w:spacing w:after="120"/>
        <w:ind w:left="2268" w:right="1134" w:hanging="1134"/>
        <w:jc w:val="both"/>
      </w:pPr>
      <w:r w:rsidRPr="006A2CD4">
        <w:t>6.8.</w:t>
      </w:r>
      <w:r w:rsidRPr="00BF7277">
        <w:rPr>
          <w:strike/>
        </w:rPr>
        <w:t xml:space="preserve"> 9</w:t>
      </w:r>
      <w:r w:rsidRPr="00BF7277">
        <w:rPr>
          <w:b/>
        </w:rPr>
        <w:t>10</w:t>
      </w:r>
      <w:r w:rsidRPr="006A2CD4">
        <w:t>.2.1.</w:t>
      </w:r>
      <w:r w:rsidRPr="006A2CD4">
        <w:tab/>
        <w:t xml:space="preserve">The flashing of the direction indicators on the same side of the vehicle may occur synchronously or alternately. </w:t>
      </w:r>
    </w:p>
    <w:p w14:paraId="11D416E2" w14:textId="014EBCFF" w:rsidR="005372FA" w:rsidRPr="006A2CD4" w:rsidRDefault="005372FA" w:rsidP="00154A01">
      <w:pPr>
        <w:tabs>
          <w:tab w:val="left" w:pos="-1242"/>
          <w:tab w:val="left" w:pos="-720"/>
          <w:tab w:val="left" w:pos="2268"/>
        </w:tabs>
        <w:spacing w:after="120"/>
        <w:ind w:left="2268" w:right="1134" w:hanging="1134"/>
        <w:jc w:val="both"/>
      </w:pPr>
      <w:r w:rsidRPr="006A2CD4">
        <w:t>6.8.</w:t>
      </w:r>
      <w:r w:rsidRPr="00BF7277">
        <w:rPr>
          <w:strike/>
        </w:rPr>
        <w:t xml:space="preserve"> 9</w:t>
      </w:r>
      <w:r w:rsidRPr="00BF7277">
        <w:rPr>
          <w:b/>
        </w:rPr>
        <w:t>10</w:t>
      </w:r>
      <w:r w:rsidRPr="006A2CD4">
        <w:t xml:space="preserve">.2.2. </w:t>
      </w:r>
      <w:r w:rsidRPr="006A2CD4">
        <w:tab/>
        <w:t>Operation of the lamp-signal control shall be followed within not more than one second by the appearance of the light from any of the indicators and within not more than one-and-one-half seconds by the first extinction of the light.</w:t>
      </w:r>
    </w:p>
    <w:p w14:paraId="6525921B" w14:textId="0821D8F2" w:rsidR="005372FA" w:rsidRPr="006A2CD4" w:rsidRDefault="005372FA" w:rsidP="00154A01">
      <w:pPr>
        <w:tabs>
          <w:tab w:val="left" w:pos="-1242"/>
          <w:tab w:val="left" w:pos="-720"/>
          <w:tab w:val="left" w:pos="2268"/>
        </w:tabs>
        <w:spacing w:after="120"/>
        <w:ind w:left="2268" w:right="1134" w:hanging="1134"/>
        <w:jc w:val="both"/>
      </w:pPr>
      <w:r w:rsidRPr="006A2CD4">
        <w:t>6.8.</w:t>
      </w:r>
      <w:r w:rsidRPr="00BF7277">
        <w:rPr>
          <w:strike/>
        </w:rPr>
        <w:t xml:space="preserve"> 9</w:t>
      </w:r>
      <w:r w:rsidRPr="00BF7277">
        <w:rPr>
          <w:b/>
        </w:rPr>
        <w:t>10</w:t>
      </w:r>
      <w:r w:rsidRPr="006A2CD4">
        <w:t>.3.</w:t>
      </w:r>
      <w:r w:rsidRPr="006A2CD4">
        <w:tab/>
        <w:t>In the case of a vehicle which supplies alternating current to the direction indicators, where the speed of the engine is between the idling speed indicated by the manufacturer and 50 per cent of the engine speed corresponding to the maximum speed of the vehicle, the lamp flashing frequency shall be between 90 + 30 and</w:t>
      </w:r>
      <w:r w:rsidR="00E32A92">
        <w:t xml:space="preserve"> </w:t>
      </w:r>
      <w:r w:rsidRPr="006A2CD4">
        <w:t xml:space="preserve">90 - 45 times per </w:t>
      </w:r>
      <w:proofErr w:type="gramStart"/>
      <w:r w:rsidRPr="006A2CD4">
        <w:t>minute;</w:t>
      </w:r>
      <w:proofErr w:type="gramEnd"/>
    </w:p>
    <w:p w14:paraId="4538E891" w14:textId="69889542" w:rsidR="005372FA" w:rsidRPr="006A2CD4" w:rsidRDefault="005372FA" w:rsidP="00154A01">
      <w:pPr>
        <w:tabs>
          <w:tab w:val="left" w:pos="-1242"/>
          <w:tab w:val="left" w:pos="-720"/>
          <w:tab w:val="left" w:pos="2268"/>
        </w:tabs>
        <w:spacing w:after="120"/>
        <w:ind w:left="2268" w:right="1134" w:hanging="1134"/>
        <w:jc w:val="both"/>
      </w:pPr>
      <w:r w:rsidRPr="006A2CD4">
        <w:t>6.8.</w:t>
      </w:r>
      <w:r w:rsidRPr="00BF7277">
        <w:rPr>
          <w:strike/>
        </w:rPr>
        <w:t xml:space="preserve"> 9</w:t>
      </w:r>
      <w:r w:rsidRPr="00BF7277">
        <w:rPr>
          <w:b/>
        </w:rPr>
        <w:t>10</w:t>
      </w:r>
      <w:r w:rsidRPr="006A2CD4">
        <w:t>.3.1.</w:t>
      </w:r>
      <w:r w:rsidRPr="006A2CD4">
        <w:tab/>
        <w:t xml:space="preserve">The flashing of the direction indicators on the same side of the vehicle may occur synchronously or alternately. </w:t>
      </w:r>
    </w:p>
    <w:p w14:paraId="10F26AE6" w14:textId="776A2E87" w:rsidR="00E251AF" w:rsidRDefault="005372FA" w:rsidP="00392CDC">
      <w:pPr>
        <w:spacing w:after="120"/>
        <w:ind w:left="2259" w:right="1134" w:hanging="1125"/>
      </w:pPr>
      <w:r w:rsidRPr="006A2CD4">
        <w:t>6.8.</w:t>
      </w:r>
      <w:r w:rsidRPr="00BF7277">
        <w:rPr>
          <w:strike/>
        </w:rPr>
        <w:t xml:space="preserve"> 9</w:t>
      </w:r>
      <w:r w:rsidRPr="00BF7277">
        <w:rPr>
          <w:b/>
        </w:rPr>
        <w:t>10</w:t>
      </w:r>
      <w:r w:rsidRPr="006A2CD4">
        <w:t>.3.2.</w:t>
      </w:r>
      <w:r w:rsidRPr="006A2CD4">
        <w:tab/>
        <w:t>Operation of the lamp-signal control shall be followed within not more than one second by the appearance of the light from any of the indicators and within not more than one-and-one-half seconds by the first extinction of the light.</w:t>
      </w:r>
      <w:r>
        <w:t>”</w:t>
      </w:r>
    </w:p>
    <w:p w14:paraId="59D34A70" w14:textId="51639518" w:rsidR="00E251AF" w:rsidRDefault="00E251AF" w:rsidP="00392CDC">
      <w:pPr>
        <w:pStyle w:val="HChG"/>
      </w:pPr>
      <w:r>
        <w:tab/>
      </w:r>
      <w:r w:rsidRPr="007958C9">
        <w:t>I</w:t>
      </w:r>
      <w:r>
        <w:t>I</w:t>
      </w:r>
      <w:r w:rsidRPr="007958C9">
        <w:t>.</w:t>
      </w:r>
      <w:r w:rsidRPr="007958C9">
        <w:tab/>
        <w:t>Proposal</w:t>
      </w:r>
      <w:r>
        <w:t xml:space="preserve"> for a Supplement to </w:t>
      </w:r>
      <w:r w:rsidR="002465A5">
        <w:t xml:space="preserve">the </w:t>
      </w:r>
      <w:r>
        <w:t>01 serie</w:t>
      </w:r>
      <w:r w:rsidR="002465A5">
        <w:t>s</w:t>
      </w:r>
      <w:r>
        <w:t xml:space="preserve"> of amendment to UN Regulation No. 148</w:t>
      </w:r>
    </w:p>
    <w:p w14:paraId="7231C49E" w14:textId="2DA3CD53" w:rsidR="00E251AF" w:rsidRDefault="00E251AF" w:rsidP="00E251AF">
      <w:pPr>
        <w:rPr>
          <w:lang w:val="en-US"/>
        </w:rPr>
      </w:pPr>
      <w:r>
        <w:tab/>
      </w:r>
      <w:r>
        <w:tab/>
      </w:r>
      <w:r w:rsidRPr="00E251AF">
        <w:rPr>
          <w:i/>
          <w:lang w:val="en-US"/>
        </w:rPr>
        <w:t>Insert a new paragraph 3.3.2.5.</w:t>
      </w:r>
      <w:r>
        <w:rPr>
          <w:i/>
          <w:lang w:val="en-US"/>
        </w:rPr>
        <w:t>1.4.</w:t>
      </w:r>
      <w:r w:rsidRPr="00E251AF">
        <w:rPr>
          <w:i/>
          <w:lang w:val="en-US"/>
        </w:rPr>
        <w:t>,</w:t>
      </w:r>
      <w:r w:rsidRPr="00E251AF">
        <w:rPr>
          <w:lang w:val="en-US"/>
        </w:rPr>
        <w:t xml:space="preserve"> to read</w:t>
      </w:r>
      <w:r>
        <w:rPr>
          <w:lang w:val="en-US"/>
        </w:rPr>
        <w:t>:</w:t>
      </w:r>
    </w:p>
    <w:p w14:paraId="5CC904CF" w14:textId="5F6C3062" w:rsidR="00E251AF" w:rsidRDefault="00E251AF" w:rsidP="00E251AF">
      <w:pPr>
        <w:rPr>
          <w:lang w:val="en-US"/>
        </w:rPr>
      </w:pPr>
      <w:r>
        <w:rPr>
          <w:lang w:val="en-US"/>
        </w:rPr>
        <w:tab/>
      </w:r>
      <w:r>
        <w:rPr>
          <w:lang w:val="en-US"/>
        </w:rPr>
        <w:tab/>
      </w:r>
    </w:p>
    <w:p w14:paraId="5488F971" w14:textId="0E957261" w:rsidR="00E251AF" w:rsidRPr="00E251AF" w:rsidRDefault="00E251AF" w:rsidP="00222510">
      <w:pPr>
        <w:ind w:left="2268" w:right="1134" w:hanging="1134"/>
        <w:rPr>
          <w:lang w:val="en-US"/>
        </w:rPr>
      </w:pPr>
      <w:r w:rsidRPr="00222510">
        <w:t>“</w:t>
      </w:r>
      <w:r w:rsidRPr="00222510">
        <w:rPr>
          <w:b/>
        </w:rPr>
        <w:t>3.3.2.</w:t>
      </w:r>
      <w:r w:rsidR="000473F5">
        <w:rPr>
          <w:b/>
        </w:rPr>
        <w:t>5</w:t>
      </w:r>
      <w:r w:rsidRPr="00222510">
        <w:rPr>
          <w:b/>
        </w:rPr>
        <w:t>.1.4.</w:t>
      </w:r>
      <w:r w:rsidRPr="00222510">
        <w:rPr>
          <w:b/>
        </w:rPr>
        <w:tab/>
        <w:t>For direction indicators of category 11 and 12 an indication “</w:t>
      </w:r>
      <w:r w:rsidR="00222510">
        <w:rPr>
          <w:b/>
        </w:rPr>
        <w:t>-</w:t>
      </w:r>
      <w:r w:rsidRPr="00222510">
        <w:rPr>
          <w:b/>
        </w:rPr>
        <w:t xml:space="preserve">” between the </w:t>
      </w:r>
      <w:r w:rsidR="00222510" w:rsidRPr="00222510">
        <w:rPr>
          <w:b/>
        </w:rPr>
        <w:t xml:space="preserve">symbols prescribed in paragraph 3.3.2.4., indicating both categories </w:t>
      </w:r>
      <w:r w:rsidR="00222510">
        <w:rPr>
          <w:b/>
        </w:rPr>
        <w:t>can be</w:t>
      </w:r>
      <w:r w:rsidR="00222510" w:rsidRPr="00222510">
        <w:rPr>
          <w:b/>
        </w:rPr>
        <w:t xml:space="preserve"> activated simult</w:t>
      </w:r>
      <w:r w:rsidR="00222510">
        <w:rPr>
          <w:b/>
        </w:rPr>
        <w:t>a</w:t>
      </w:r>
      <w:r w:rsidR="00222510" w:rsidRPr="00222510">
        <w:rPr>
          <w:b/>
        </w:rPr>
        <w:t>neously.”</w:t>
      </w:r>
    </w:p>
    <w:p w14:paraId="72ED0909" w14:textId="600ACFC1" w:rsidR="00E933B8" w:rsidRPr="00EF79F4" w:rsidRDefault="00E933B8" w:rsidP="00E933B8">
      <w:pPr>
        <w:pStyle w:val="HChG"/>
      </w:pPr>
      <w:r w:rsidRPr="00392CDC">
        <w:tab/>
      </w:r>
      <w:r w:rsidRPr="00EF79F4">
        <w:t>II</w:t>
      </w:r>
      <w:r w:rsidR="00E251AF" w:rsidRPr="00EF79F4">
        <w:t>I</w:t>
      </w:r>
      <w:r w:rsidRPr="00EF79F4">
        <w:t>.</w:t>
      </w:r>
      <w:r w:rsidRPr="00EF79F4">
        <w:tab/>
        <w:t>Justification</w:t>
      </w:r>
    </w:p>
    <w:p w14:paraId="024292CC" w14:textId="4950C568" w:rsidR="007623D0" w:rsidRDefault="007623D0" w:rsidP="007623D0">
      <w:pPr>
        <w:pStyle w:val="Bullet1G"/>
        <w:numPr>
          <w:ilvl w:val="0"/>
          <w:numId w:val="0"/>
        </w:numPr>
        <w:ind w:left="1134"/>
      </w:pPr>
      <w:r>
        <w:t>1.</w:t>
      </w:r>
      <w:r>
        <w:tab/>
      </w:r>
      <w:r w:rsidRPr="002A5D22">
        <w:t xml:space="preserve">This proposal </w:t>
      </w:r>
      <w:r>
        <w:t xml:space="preserve">to amend UN Regulation No. 74 (Installation of lighting and light-signalling devices for </w:t>
      </w:r>
      <w:r w:rsidR="002465A5">
        <w:t>mopeds</w:t>
      </w:r>
      <w:r>
        <w:t xml:space="preserve">) is submitted by the expert from Germany with the aim to enable the approval of </w:t>
      </w:r>
      <w:r w:rsidR="003F5BBD">
        <w:t xml:space="preserve">a </w:t>
      </w:r>
      <w:r>
        <w:t>front and rear indicator which can be activated simultaneously.</w:t>
      </w:r>
    </w:p>
    <w:p w14:paraId="47D131EA" w14:textId="700A24E4" w:rsidR="00F80A3D" w:rsidRDefault="007623D0" w:rsidP="007623D0">
      <w:pPr>
        <w:pStyle w:val="Bullet1G"/>
        <w:numPr>
          <w:ilvl w:val="0"/>
          <w:numId w:val="0"/>
        </w:numPr>
        <w:ind w:left="1134"/>
      </w:pPr>
      <w:r>
        <w:t>2.</w:t>
      </w:r>
      <w:r>
        <w:tab/>
        <w:t>For reason</w:t>
      </w:r>
      <w:r w:rsidR="00383DF5">
        <w:t>s</w:t>
      </w:r>
      <w:r>
        <w:t xml:space="preserve"> of safety and </w:t>
      </w:r>
      <w:proofErr w:type="gramStart"/>
      <w:r>
        <w:t>in order to</w:t>
      </w:r>
      <w:proofErr w:type="gramEnd"/>
      <w:r>
        <w:t xml:space="preserve"> be in line with the 02 series of amendment </w:t>
      </w:r>
      <w:r w:rsidR="00383DF5">
        <w:t xml:space="preserve">to </w:t>
      </w:r>
      <w:r>
        <w:t>UN Regulation No. 74, Germany see</w:t>
      </w:r>
      <w:r w:rsidR="00383DF5">
        <w:t>s</w:t>
      </w:r>
      <w:r>
        <w:t xml:space="preserve"> the necessity to allow the installation of </w:t>
      </w:r>
      <w:r w:rsidR="00686D51">
        <w:t xml:space="preserve">optional </w:t>
      </w:r>
      <w:r>
        <w:t xml:space="preserve">direction indicators at national level on </w:t>
      </w:r>
      <w:r w:rsidR="00383DF5">
        <w:t>b</w:t>
      </w:r>
      <w:r>
        <w:t>icycle</w:t>
      </w:r>
      <w:r w:rsidR="00383DF5">
        <w:t>s</w:t>
      </w:r>
      <w:r>
        <w:t xml:space="preserve"> (including vehicles with a maximum design speed not exceeding 25 km/h).</w:t>
      </w:r>
    </w:p>
    <w:p w14:paraId="4F064B2A" w14:textId="2E8E315E" w:rsidR="007623D0" w:rsidRDefault="00F80A3D" w:rsidP="007623D0">
      <w:pPr>
        <w:pStyle w:val="Bullet1G"/>
        <w:numPr>
          <w:ilvl w:val="0"/>
          <w:numId w:val="0"/>
        </w:numPr>
        <w:ind w:left="1134"/>
      </w:pPr>
      <w:r>
        <w:t>3.</w:t>
      </w:r>
      <w:r>
        <w:tab/>
      </w:r>
      <w:r w:rsidRPr="00F80A3D">
        <w:t xml:space="preserve">In some contracting </w:t>
      </w:r>
      <w:r>
        <w:t xml:space="preserve">parties </w:t>
      </w:r>
      <w:r w:rsidR="004214DE">
        <w:t xml:space="preserve">to </w:t>
      </w:r>
      <w:r w:rsidRPr="00F80A3D">
        <w:t xml:space="preserve">the </w:t>
      </w:r>
      <w:r w:rsidR="009938BB">
        <w:t>19</w:t>
      </w:r>
      <w:r w:rsidRPr="00F80A3D">
        <w:t>58</w:t>
      </w:r>
      <w:r w:rsidR="009938BB">
        <w:t xml:space="preserve"> A</w:t>
      </w:r>
      <w:r>
        <w:t>greement</w:t>
      </w:r>
      <w:r w:rsidRPr="00F80A3D">
        <w:t xml:space="preserve"> category L</w:t>
      </w:r>
      <w:r w:rsidRPr="004214DE">
        <w:rPr>
          <w:vertAlign w:val="subscript"/>
        </w:rPr>
        <w:t>1</w:t>
      </w:r>
      <w:r w:rsidRPr="00F80A3D">
        <w:t xml:space="preserve"> also includes bicycles with an electric auxiliary drive. Due to the general design of these vehicles, it is difficult to fit the rear direction indicators to the rear of the vehicle. At the same time, </w:t>
      </w:r>
      <w:r w:rsidR="00E35F87">
        <w:t xml:space="preserve">field tests </w:t>
      </w:r>
      <w:proofErr w:type="spellStart"/>
      <w:r w:rsidR="00E35F87">
        <w:t>schow</w:t>
      </w:r>
      <w:proofErr w:type="spellEnd"/>
      <w:r w:rsidR="00E35F87">
        <w:t xml:space="preserve"> that </w:t>
      </w:r>
      <w:r w:rsidRPr="00F80A3D">
        <w:t>such vehicles only achieve steering angles of max</w:t>
      </w:r>
      <w:r w:rsidR="00F00990">
        <w:t xml:space="preserve">imum </w:t>
      </w:r>
      <w:r w:rsidRPr="00F80A3D">
        <w:t xml:space="preserve">3° </w:t>
      </w:r>
      <w:r>
        <w:t>during normal condition of use</w:t>
      </w:r>
      <w:r w:rsidRPr="00F80A3D">
        <w:t>. Therefore, with appropriate consideration of road safety, it seems a</w:t>
      </w:r>
      <w:r>
        <w:t>cceptable</w:t>
      </w:r>
      <w:r w:rsidRPr="00F80A3D">
        <w:t xml:space="preserve"> to install </w:t>
      </w:r>
      <w:r w:rsidR="00686D51">
        <w:t xml:space="preserve">optional </w:t>
      </w:r>
      <w:r w:rsidRPr="00F80A3D">
        <w:t xml:space="preserve">rear direction indicators at the end of the handlebars. </w:t>
      </w:r>
      <w:proofErr w:type="gramStart"/>
      <w:r w:rsidRPr="00F80A3D">
        <w:t>In order to</w:t>
      </w:r>
      <w:proofErr w:type="gramEnd"/>
      <w:r w:rsidRPr="00F80A3D">
        <w:t xml:space="preserve"> ensure geometric visibility, the minimum </w:t>
      </w:r>
      <w:r w:rsidR="00686D51">
        <w:t xml:space="preserve">distance </w:t>
      </w:r>
      <w:r w:rsidRPr="00F80A3D">
        <w:t xml:space="preserve">of 550 mm </w:t>
      </w:r>
      <w:r w:rsidR="00686D51" w:rsidRPr="00686D51">
        <w:t xml:space="preserve">between the </w:t>
      </w:r>
      <w:proofErr w:type="spellStart"/>
      <w:r w:rsidR="00686D51" w:rsidRPr="00686D51">
        <w:t>center</w:t>
      </w:r>
      <w:proofErr w:type="spellEnd"/>
      <w:r w:rsidR="00686D51" w:rsidRPr="00686D51">
        <w:t xml:space="preserve"> of reference of the optional rear indicator installed in </w:t>
      </w:r>
      <w:proofErr w:type="spellStart"/>
      <w:r w:rsidR="00686D51" w:rsidRPr="00686D51">
        <w:t>handelbars</w:t>
      </w:r>
      <w:proofErr w:type="spellEnd"/>
      <w:r w:rsidR="00686D51" w:rsidRPr="00686D51">
        <w:t xml:space="preserve"> </w:t>
      </w:r>
      <w:r w:rsidR="00686D51">
        <w:t xml:space="preserve">will become </w:t>
      </w:r>
      <w:r w:rsidRPr="00F80A3D">
        <w:t>mandatory for this type of installation. In this way, recognition and visibility can be ensured.</w:t>
      </w:r>
    </w:p>
    <w:p w14:paraId="3F7E66CC" w14:textId="4C3453CB" w:rsidR="007623D0" w:rsidRDefault="006D07BD" w:rsidP="007623D0">
      <w:pPr>
        <w:pStyle w:val="Bullet1G"/>
        <w:numPr>
          <w:ilvl w:val="0"/>
          <w:numId w:val="0"/>
        </w:numPr>
        <w:ind w:left="1134"/>
      </w:pPr>
      <w:r>
        <w:t>4</w:t>
      </w:r>
      <w:r w:rsidR="007623D0">
        <w:t>.</w:t>
      </w:r>
      <w:r w:rsidR="007623D0">
        <w:tab/>
        <w:t>The requirement contained in paragraph 6.8.3.3. of UN Regulation No. 74 do</w:t>
      </w:r>
      <w:r w:rsidR="001B5329">
        <w:t>es</w:t>
      </w:r>
      <w:r w:rsidR="007623D0">
        <w:t xml:space="preserve"> not allow the installation of a rear indicator if the distance from the centre of reference of this </w:t>
      </w:r>
      <w:r w:rsidR="007623D0">
        <w:lastRenderedPageBreak/>
        <w:t>device to the transvers plane</w:t>
      </w:r>
      <w:r w:rsidR="009C465A">
        <w:t>,</w:t>
      </w:r>
      <w:r w:rsidR="007623D0">
        <w:t xml:space="preserve"> which constitutes the rearmost limit of the vehicle’s overall length</w:t>
      </w:r>
      <w:r w:rsidR="009C465A">
        <w:t>,</w:t>
      </w:r>
      <w:r w:rsidR="007623D0">
        <w:t xml:space="preserve"> exceed</w:t>
      </w:r>
      <w:r w:rsidR="009C465A">
        <w:t>s</w:t>
      </w:r>
      <w:r w:rsidR="007623D0">
        <w:t xml:space="preserve"> 300 mm. </w:t>
      </w:r>
      <w:proofErr w:type="gramStart"/>
      <w:r w:rsidR="007623D0">
        <w:t>As a consequence of</w:t>
      </w:r>
      <w:proofErr w:type="gramEnd"/>
      <w:r w:rsidR="007623D0">
        <w:t xml:space="preserve"> this requirement the approval according to UN Regulation No. 148 of a device containing a front and rear indicator which can be activated simultaneously is not allowed. </w:t>
      </w:r>
      <w:r w:rsidR="002D7FE3">
        <w:t>This is the</w:t>
      </w:r>
      <w:r w:rsidR="007623D0">
        <w:t xml:space="preserve"> reason</w:t>
      </w:r>
      <w:r w:rsidR="002D7FE3">
        <w:t xml:space="preserve"> why</w:t>
      </w:r>
      <w:r w:rsidR="007623D0">
        <w:t xml:space="preserve"> th</w:t>
      </w:r>
      <w:r w:rsidR="00510A54">
        <w:t>e</w:t>
      </w:r>
      <w:r w:rsidR="007623D0">
        <w:t xml:space="preserve"> requirement</w:t>
      </w:r>
      <w:r w:rsidR="002D7FE3">
        <w:t xml:space="preserve"> of paragraph 6.8.3.3.</w:t>
      </w:r>
      <w:r w:rsidR="007623D0">
        <w:t xml:space="preserve"> in this proposal is not mandatory for the optional rear indicators.</w:t>
      </w:r>
      <w:r w:rsidR="00510A54">
        <w:t xml:space="preserve"> </w:t>
      </w:r>
    </w:p>
    <w:p w14:paraId="30728D10" w14:textId="0CBBE993" w:rsidR="00D65FCF" w:rsidRPr="00FF4FC8" w:rsidRDefault="006D07BD" w:rsidP="0084448C">
      <w:pPr>
        <w:pStyle w:val="Bullet1G"/>
        <w:numPr>
          <w:ilvl w:val="0"/>
          <w:numId w:val="0"/>
        </w:numPr>
        <w:ind w:left="1134"/>
      </w:pPr>
      <w:r>
        <w:t>5</w:t>
      </w:r>
      <w:r w:rsidR="007623D0">
        <w:t>.</w:t>
      </w:r>
      <w:r w:rsidR="007623D0">
        <w:tab/>
        <w:t>In order to differen</w:t>
      </w:r>
      <w:r w:rsidR="00CB71E8">
        <w:t>t</w:t>
      </w:r>
      <w:r w:rsidR="007623D0">
        <w:t>iat</w:t>
      </w:r>
      <w:r w:rsidR="00DA603C">
        <w:t>e</w:t>
      </w:r>
      <w:r w:rsidR="007623D0">
        <w:t xml:space="preserve"> a device wh</w:t>
      </w:r>
      <w:r w:rsidR="00CB71E8">
        <w:t xml:space="preserve">ich </w:t>
      </w:r>
      <w:r w:rsidR="007623D0">
        <w:t>fulfil</w:t>
      </w:r>
      <w:r w:rsidR="00CB71E8">
        <w:t>s</w:t>
      </w:r>
      <w:r w:rsidR="007623D0">
        <w:t xml:space="preserve"> the requirement of a front indicator category 11 and a rear indicator category 12</w:t>
      </w:r>
      <w:r w:rsidR="00BF00DF">
        <w:t>,</w:t>
      </w:r>
      <w:r w:rsidR="007623D0">
        <w:t xml:space="preserve"> but which cannot be activated simultaneously and those wh</w:t>
      </w:r>
      <w:r w:rsidR="00BF00DF">
        <w:t xml:space="preserve">ich </w:t>
      </w:r>
      <w:r w:rsidR="007623D0">
        <w:t>can be activated simultaneously</w:t>
      </w:r>
      <w:r w:rsidR="0044576F">
        <w:t>,</w:t>
      </w:r>
      <w:r w:rsidR="007623D0">
        <w:t xml:space="preserve"> the expert of Germany see</w:t>
      </w:r>
      <w:r w:rsidR="00BF00DF">
        <w:t>s</w:t>
      </w:r>
      <w:r w:rsidR="007623D0">
        <w:t xml:space="preserve"> the need to introduce </w:t>
      </w:r>
      <w:r w:rsidR="00BF00DF">
        <w:t xml:space="preserve">a </w:t>
      </w:r>
      <w:r w:rsidR="007623D0">
        <w:t>new symbol “</w:t>
      </w:r>
      <w:proofErr w:type="gramStart"/>
      <w:r w:rsidR="007623D0">
        <w:t>-“ between</w:t>
      </w:r>
      <w:proofErr w:type="gramEnd"/>
      <w:r w:rsidR="007623D0">
        <w:t xml:space="preserve"> the symbols indicating the functions of the device</w:t>
      </w:r>
      <w:r w:rsidR="00510A54">
        <w:t xml:space="preserve"> and </w:t>
      </w:r>
      <w:r w:rsidR="0084448C">
        <w:t xml:space="preserve">to </w:t>
      </w:r>
      <w:r w:rsidR="00510A54">
        <w:t>submit the proposal to amend UN Regulation No. 148</w:t>
      </w:r>
      <w:r w:rsidR="007623D0">
        <w:t>.</w:t>
      </w:r>
      <w:r w:rsidR="00687F27">
        <w:t xml:space="preserve"> </w:t>
      </w:r>
      <w:r w:rsidR="00D65FCF">
        <w:t xml:space="preserve">   </w:t>
      </w:r>
    </w:p>
    <w:p w14:paraId="2206E057" w14:textId="77777777" w:rsidR="00B41ED7" w:rsidRPr="00A628C6" w:rsidRDefault="00B41ED7" w:rsidP="00B41ED7">
      <w:pPr>
        <w:spacing w:before="240"/>
        <w:jc w:val="center"/>
        <w:rPr>
          <w:rFonts w:asciiTheme="majorBidi" w:hAnsiTheme="majorBidi"/>
          <w:u w:val="single"/>
        </w:rPr>
      </w:pPr>
      <w:bookmarkStart w:id="0" w:name="_Hlk116054367"/>
      <w:r w:rsidRPr="00A628C6">
        <w:rPr>
          <w:rFonts w:asciiTheme="majorBidi" w:hAnsiTheme="majorBidi"/>
          <w:u w:val="single"/>
        </w:rPr>
        <w:tab/>
      </w:r>
      <w:r w:rsidRPr="00A628C6">
        <w:rPr>
          <w:rFonts w:asciiTheme="majorBidi" w:hAnsiTheme="majorBidi"/>
          <w:u w:val="single"/>
        </w:rPr>
        <w:tab/>
      </w:r>
      <w:r w:rsidRPr="00A628C6">
        <w:rPr>
          <w:rFonts w:asciiTheme="majorBidi" w:hAnsiTheme="majorBidi"/>
          <w:u w:val="single"/>
        </w:rPr>
        <w:tab/>
      </w:r>
    </w:p>
    <w:bookmarkEnd w:id="0"/>
    <w:p w14:paraId="7CD91BA7" w14:textId="77777777" w:rsidR="00B41ED7" w:rsidRPr="00A628C6" w:rsidRDefault="00B41ED7" w:rsidP="00B41ED7">
      <w:pPr>
        <w:pStyle w:val="Bullet1G"/>
        <w:numPr>
          <w:ilvl w:val="0"/>
          <w:numId w:val="0"/>
        </w:numPr>
        <w:ind w:left="1134"/>
      </w:pPr>
    </w:p>
    <w:p w14:paraId="0800F887" w14:textId="3006E2C2" w:rsidR="00E933B8" w:rsidRPr="001F1CB4" w:rsidRDefault="00E933B8" w:rsidP="00B41ED7">
      <w:pPr>
        <w:pStyle w:val="Bullet1G"/>
        <w:numPr>
          <w:ilvl w:val="0"/>
          <w:numId w:val="0"/>
        </w:numPr>
        <w:ind w:left="1134"/>
        <w:rPr>
          <w:u w:val="single"/>
        </w:rPr>
      </w:pPr>
    </w:p>
    <w:sectPr w:rsidR="00E933B8" w:rsidRPr="001F1CB4" w:rsidSect="003F1AB4">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8027" w14:textId="77777777" w:rsidR="007F3951" w:rsidRDefault="007F3951"/>
  </w:endnote>
  <w:endnote w:type="continuationSeparator" w:id="0">
    <w:p w14:paraId="30A1A5BE" w14:textId="77777777" w:rsidR="007F3951" w:rsidRDefault="007F3951"/>
  </w:endnote>
  <w:endnote w:type="continuationNotice" w:id="1">
    <w:p w14:paraId="377DBBFB" w14:textId="77777777" w:rsidR="007F3951" w:rsidRDefault="007F3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B4AE" w14:textId="241FAF7B" w:rsidR="009B1952" w:rsidRDefault="008E5427" w:rsidP="009B1952">
    <w:pPr>
      <w:pStyle w:val="Footer"/>
    </w:pPr>
    <w:r w:rsidRPr="0027112F">
      <w:rPr>
        <w:noProof/>
        <w:lang w:val="en-US"/>
      </w:rPr>
      <w:drawing>
        <wp:anchor distT="0" distB="0" distL="114300" distR="114300" simplePos="0" relativeHeight="251659264" behindDoc="0" locked="1" layoutInCell="1" allowOverlap="1" wp14:anchorId="6E9BBFA6" wp14:editId="6814257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7A10D0" w14:textId="67EDF7E8" w:rsidR="009B1952" w:rsidRDefault="009B1952" w:rsidP="008E5427">
    <w:pPr>
      <w:pStyle w:val="Footer"/>
      <w:ind w:right="1134"/>
      <w:rPr>
        <w:sz w:val="20"/>
      </w:rPr>
    </w:pPr>
  </w:p>
  <w:p w14:paraId="2F4C6988" w14:textId="7DA8624F" w:rsidR="008E5427" w:rsidRPr="008E5427" w:rsidRDefault="008E5427" w:rsidP="008E5427">
    <w:pPr>
      <w:pStyle w:val="Footer"/>
      <w:ind w:right="1134"/>
      <w:rPr>
        <w:sz w:val="20"/>
      </w:rPr>
    </w:pPr>
    <w:r>
      <w:rPr>
        <w:sz w:val="20"/>
      </w:rPr>
      <w:t>GE.24-02669(E)</w:t>
    </w:r>
    <w:r>
      <w:rPr>
        <w:noProof/>
        <w:sz w:val="20"/>
      </w:rPr>
      <w:drawing>
        <wp:anchor distT="0" distB="0" distL="114300" distR="114300" simplePos="0" relativeHeight="251660288" behindDoc="0" locked="0" layoutInCell="1" allowOverlap="1" wp14:anchorId="1E8C4E1A" wp14:editId="61CAF70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F6F5" w14:textId="77777777" w:rsidR="007F3951" w:rsidRPr="000B175B" w:rsidRDefault="007F3951" w:rsidP="000B175B">
      <w:pPr>
        <w:tabs>
          <w:tab w:val="right" w:pos="2155"/>
        </w:tabs>
        <w:spacing w:after="80"/>
        <w:ind w:left="680"/>
        <w:rPr>
          <w:u w:val="single"/>
        </w:rPr>
      </w:pPr>
      <w:r>
        <w:rPr>
          <w:u w:val="single"/>
        </w:rPr>
        <w:tab/>
      </w:r>
    </w:p>
  </w:footnote>
  <w:footnote w:type="continuationSeparator" w:id="0">
    <w:p w14:paraId="6DDE1C24" w14:textId="77777777" w:rsidR="007F3951" w:rsidRPr="00FC68B7" w:rsidRDefault="007F3951" w:rsidP="00FC68B7">
      <w:pPr>
        <w:tabs>
          <w:tab w:val="left" w:pos="2155"/>
        </w:tabs>
        <w:spacing w:after="80"/>
        <w:ind w:left="680"/>
        <w:rPr>
          <w:u w:val="single"/>
        </w:rPr>
      </w:pPr>
      <w:r>
        <w:rPr>
          <w:u w:val="single"/>
        </w:rPr>
        <w:tab/>
      </w:r>
    </w:p>
  </w:footnote>
  <w:footnote w:type="continuationNotice" w:id="1">
    <w:p w14:paraId="4A872EED" w14:textId="77777777" w:rsidR="007F3951" w:rsidRDefault="007F3951"/>
  </w:footnote>
  <w:footnote w:id="2">
    <w:p w14:paraId="37F5840F" w14:textId="77777777" w:rsidR="00DE5564" w:rsidRPr="004876E3" w:rsidRDefault="00DE5564" w:rsidP="00DE5564">
      <w:pPr>
        <w:pStyle w:val="FootnoteText"/>
      </w:pPr>
      <w:r w:rsidRPr="00A90EA8">
        <w:tab/>
      </w:r>
      <w:r w:rsidRPr="002232AF">
        <w:rPr>
          <w:rStyle w:val="FootnoteReference"/>
          <w:sz w:val="20"/>
          <w:lang w:val="en-US"/>
        </w:rPr>
        <w:t>*</w:t>
      </w:r>
      <w:r w:rsidRPr="002232AF">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sidRPr="007F102F">
        <w:rPr>
          <w:szCs w:val="18"/>
          <w:lang w:val="en-US"/>
        </w:rPr>
        <w:t xml:space="preserve">2024 as outlined in proposed </w:t>
      </w:r>
      <w:proofErr w:type="spellStart"/>
      <w:r w:rsidRPr="007F102F">
        <w:rPr>
          <w:szCs w:val="18"/>
          <w:lang w:val="en-US"/>
        </w:rPr>
        <w:t>programme</w:t>
      </w:r>
      <w:proofErr w:type="spellEnd"/>
      <w:r w:rsidRPr="007F102F">
        <w:rPr>
          <w:szCs w:val="18"/>
          <w:lang w:val="en-US"/>
        </w:rPr>
        <w:t xml:space="preserve"> budget for 2024 (A/78/6 (Sect. 20), table 20.5),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r w:rsidRPr="00AB708F">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3DE640D5" w:rsidR="00C740F6" w:rsidRPr="006C395D" w:rsidRDefault="00C740F6" w:rsidP="005726B5">
    <w:pPr>
      <w:pStyle w:val="Header"/>
    </w:pPr>
    <w:r w:rsidRPr="001C5F9E">
      <w:t>ECE/TRANS/WP.29/GRE/20</w:t>
    </w:r>
    <w:r w:rsidR="006D181F" w:rsidRPr="001C5F9E">
      <w:t>2</w:t>
    </w:r>
    <w:r w:rsidR="00A15023">
      <w:t>4</w:t>
    </w:r>
    <w:r w:rsidRPr="001C5F9E">
      <w:t>/</w:t>
    </w:r>
    <w:r w:rsidR="005B43C6">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13869A76" w:rsidR="00C740F6" w:rsidRPr="006C395D" w:rsidRDefault="00C740F6" w:rsidP="00DA725B">
    <w:pPr>
      <w:pStyle w:val="Header"/>
      <w:jc w:val="right"/>
    </w:pPr>
    <w:r w:rsidRPr="001C5F9E">
      <w:t>ECE/TRANS/WP.29/GRE/20</w:t>
    </w:r>
    <w:r w:rsidR="004223FF" w:rsidRPr="001C5F9E">
      <w:t>2</w:t>
    </w:r>
    <w:r w:rsidR="0069471F">
      <w:t>4</w:t>
    </w:r>
    <w:r w:rsidRPr="001C5F9E">
      <w:t>/</w:t>
    </w:r>
    <w:r w:rsidR="005B43C6">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1165694"/>
    <w:multiLevelType w:val="hybridMultilevel"/>
    <w:tmpl w:val="511E7686"/>
    <w:lvl w:ilvl="0" w:tplc="EA148B4C">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2"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4" w15:restartNumberingAfterBreak="0">
    <w:nsid w:val="4C1C0750"/>
    <w:multiLevelType w:val="hybridMultilevel"/>
    <w:tmpl w:val="01C42C16"/>
    <w:lvl w:ilvl="0" w:tplc="E6D4014C">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1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1036736074">
    <w:abstractNumId w:val="2"/>
  </w:num>
  <w:num w:numId="2" w16cid:durableId="1030449631">
    <w:abstractNumId w:val="18"/>
  </w:num>
  <w:num w:numId="3" w16cid:durableId="1013217318">
    <w:abstractNumId w:val="11"/>
  </w:num>
  <w:num w:numId="4" w16cid:durableId="255984349">
    <w:abstractNumId w:val="16"/>
  </w:num>
  <w:num w:numId="5" w16cid:durableId="836110936">
    <w:abstractNumId w:val="17"/>
  </w:num>
  <w:num w:numId="6" w16cid:durableId="25984147">
    <w:abstractNumId w:val="4"/>
  </w:num>
  <w:num w:numId="7" w16cid:durableId="942801428">
    <w:abstractNumId w:val="3"/>
  </w:num>
  <w:num w:numId="8" w16cid:durableId="1589188680">
    <w:abstractNumId w:val="15"/>
  </w:num>
  <w:num w:numId="9" w16cid:durableId="1037894240">
    <w:abstractNumId w:val="9"/>
  </w:num>
  <w:num w:numId="10" w16cid:durableId="252786988">
    <w:abstractNumId w:val="10"/>
  </w:num>
  <w:num w:numId="11" w16cid:durableId="691105559">
    <w:abstractNumId w:val="8"/>
  </w:num>
  <w:num w:numId="12" w16cid:durableId="340937130">
    <w:abstractNumId w:val="0"/>
  </w:num>
  <w:num w:numId="13" w16cid:durableId="267469025">
    <w:abstractNumId w:val="19"/>
  </w:num>
  <w:num w:numId="14" w16cid:durableId="1231227999">
    <w:abstractNumId w:val="7"/>
  </w:num>
  <w:num w:numId="15" w16cid:durableId="1252397806">
    <w:abstractNumId w:val="13"/>
  </w:num>
  <w:num w:numId="16" w16cid:durableId="1522550418">
    <w:abstractNumId w:val="6"/>
  </w:num>
  <w:num w:numId="17" w16cid:durableId="1978146599">
    <w:abstractNumId w:val="20"/>
  </w:num>
  <w:num w:numId="18" w16cid:durableId="474687279">
    <w:abstractNumId w:val="12"/>
  </w:num>
  <w:num w:numId="19" w16cid:durableId="423692179">
    <w:abstractNumId w:val="2"/>
  </w:num>
  <w:num w:numId="20" w16cid:durableId="485512658">
    <w:abstractNumId w:val="2"/>
  </w:num>
  <w:num w:numId="21" w16cid:durableId="2047487076">
    <w:abstractNumId w:val="2"/>
  </w:num>
  <w:num w:numId="22" w16cid:durableId="508183876">
    <w:abstractNumId w:val="2"/>
  </w:num>
  <w:num w:numId="23" w16cid:durableId="546914314">
    <w:abstractNumId w:val="5"/>
  </w:num>
  <w:num w:numId="24" w16cid:durableId="233397039">
    <w:abstractNumId w:val="14"/>
  </w:num>
  <w:num w:numId="25" w16cid:durableId="177146708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s-ES" w:vendorID="64" w:dllVersion="0" w:nlCheck="1" w:checkStyle="0"/>
  <w:activeWritingStyle w:appName="MSWord" w:lang="de-DE"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E9C"/>
    <w:rsid w:val="00014557"/>
    <w:rsid w:val="000159D5"/>
    <w:rsid w:val="00016D6D"/>
    <w:rsid w:val="00017C2C"/>
    <w:rsid w:val="00020B64"/>
    <w:rsid w:val="00020C67"/>
    <w:rsid w:val="000215B9"/>
    <w:rsid w:val="000228F3"/>
    <w:rsid w:val="00023558"/>
    <w:rsid w:val="00023BEE"/>
    <w:rsid w:val="000240E6"/>
    <w:rsid w:val="0002472C"/>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3F5"/>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0737"/>
    <w:rsid w:val="000A11B2"/>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24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F08BE"/>
    <w:rsid w:val="000F2466"/>
    <w:rsid w:val="000F308E"/>
    <w:rsid w:val="000F31FC"/>
    <w:rsid w:val="000F3331"/>
    <w:rsid w:val="000F34FD"/>
    <w:rsid w:val="000F3D5B"/>
    <w:rsid w:val="000F3DC6"/>
    <w:rsid w:val="000F3EBD"/>
    <w:rsid w:val="000F5678"/>
    <w:rsid w:val="000F588F"/>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01"/>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71A"/>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29"/>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5D10"/>
    <w:rsid w:val="002175B5"/>
    <w:rsid w:val="002213C1"/>
    <w:rsid w:val="0022190B"/>
    <w:rsid w:val="00221B6B"/>
    <w:rsid w:val="00221D57"/>
    <w:rsid w:val="002222A1"/>
    <w:rsid w:val="00222510"/>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5A5"/>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0AAF"/>
    <w:rsid w:val="00272836"/>
    <w:rsid w:val="002738B6"/>
    <w:rsid w:val="00274428"/>
    <w:rsid w:val="00274A65"/>
    <w:rsid w:val="00274AC6"/>
    <w:rsid w:val="00274D01"/>
    <w:rsid w:val="00274FDE"/>
    <w:rsid w:val="002754BD"/>
    <w:rsid w:val="00275E6E"/>
    <w:rsid w:val="00275F0D"/>
    <w:rsid w:val="0027607D"/>
    <w:rsid w:val="00276188"/>
    <w:rsid w:val="00276E70"/>
    <w:rsid w:val="002775EE"/>
    <w:rsid w:val="00277D81"/>
    <w:rsid w:val="00277F3A"/>
    <w:rsid w:val="002800E1"/>
    <w:rsid w:val="00280433"/>
    <w:rsid w:val="00280562"/>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CCE"/>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6F9"/>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1AD7"/>
    <w:rsid w:val="002C27BB"/>
    <w:rsid w:val="002C2C34"/>
    <w:rsid w:val="002C4714"/>
    <w:rsid w:val="002C4A7C"/>
    <w:rsid w:val="002C4CCA"/>
    <w:rsid w:val="002C4DE6"/>
    <w:rsid w:val="002C5735"/>
    <w:rsid w:val="002C5A7A"/>
    <w:rsid w:val="002C5E6D"/>
    <w:rsid w:val="002C6485"/>
    <w:rsid w:val="002C6E1C"/>
    <w:rsid w:val="002C701E"/>
    <w:rsid w:val="002C7DF7"/>
    <w:rsid w:val="002D0292"/>
    <w:rsid w:val="002D1D21"/>
    <w:rsid w:val="002D1FA8"/>
    <w:rsid w:val="002D3223"/>
    <w:rsid w:val="002D329C"/>
    <w:rsid w:val="002D47B4"/>
    <w:rsid w:val="002D5C40"/>
    <w:rsid w:val="002D5FEB"/>
    <w:rsid w:val="002D6390"/>
    <w:rsid w:val="002D6711"/>
    <w:rsid w:val="002D72E7"/>
    <w:rsid w:val="002D7A39"/>
    <w:rsid w:val="002D7FE3"/>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09BE"/>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2C"/>
    <w:rsid w:val="00336C90"/>
    <w:rsid w:val="00336D73"/>
    <w:rsid w:val="00336D9A"/>
    <w:rsid w:val="0033709A"/>
    <w:rsid w:val="0033713D"/>
    <w:rsid w:val="0033745A"/>
    <w:rsid w:val="00340052"/>
    <w:rsid w:val="00340CCD"/>
    <w:rsid w:val="00341E13"/>
    <w:rsid w:val="0034206B"/>
    <w:rsid w:val="0034246C"/>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DF5"/>
    <w:rsid w:val="00383E8C"/>
    <w:rsid w:val="00383FA8"/>
    <w:rsid w:val="00385291"/>
    <w:rsid w:val="003869F3"/>
    <w:rsid w:val="00386F07"/>
    <w:rsid w:val="00386FF6"/>
    <w:rsid w:val="003904B1"/>
    <w:rsid w:val="0039139C"/>
    <w:rsid w:val="00392621"/>
    <w:rsid w:val="0039277A"/>
    <w:rsid w:val="0039287F"/>
    <w:rsid w:val="00392CDC"/>
    <w:rsid w:val="00393D72"/>
    <w:rsid w:val="00394564"/>
    <w:rsid w:val="00394B0F"/>
    <w:rsid w:val="0039511C"/>
    <w:rsid w:val="00396878"/>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5BBD"/>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4DE"/>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76F"/>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5B83"/>
    <w:rsid w:val="004A68E9"/>
    <w:rsid w:val="004A763C"/>
    <w:rsid w:val="004B0074"/>
    <w:rsid w:val="004B019C"/>
    <w:rsid w:val="004B0BE3"/>
    <w:rsid w:val="004B13E4"/>
    <w:rsid w:val="004B17A0"/>
    <w:rsid w:val="004B1943"/>
    <w:rsid w:val="004B209B"/>
    <w:rsid w:val="004B395D"/>
    <w:rsid w:val="004B3A0A"/>
    <w:rsid w:val="004B3CC9"/>
    <w:rsid w:val="004B3FC3"/>
    <w:rsid w:val="004B4368"/>
    <w:rsid w:val="004B5625"/>
    <w:rsid w:val="004B5943"/>
    <w:rsid w:val="004B59DF"/>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BB3"/>
    <w:rsid w:val="004D5ECA"/>
    <w:rsid w:val="004D5F7D"/>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1C0A"/>
    <w:rsid w:val="004F20D2"/>
    <w:rsid w:val="004F2416"/>
    <w:rsid w:val="004F2EC3"/>
    <w:rsid w:val="004F3439"/>
    <w:rsid w:val="004F3FEA"/>
    <w:rsid w:val="004F467E"/>
    <w:rsid w:val="004F7133"/>
    <w:rsid w:val="004F77FD"/>
    <w:rsid w:val="004F7E27"/>
    <w:rsid w:val="00503228"/>
    <w:rsid w:val="00503501"/>
    <w:rsid w:val="005044A9"/>
    <w:rsid w:val="00505384"/>
    <w:rsid w:val="0050633E"/>
    <w:rsid w:val="005065AF"/>
    <w:rsid w:val="005067BB"/>
    <w:rsid w:val="00506A25"/>
    <w:rsid w:val="0050702C"/>
    <w:rsid w:val="00510A54"/>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2F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3C6"/>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48"/>
    <w:rsid w:val="005E407A"/>
    <w:rsid w:val="005E43BF"/>
    <w:rsid w:val="005E4C42"/>
    <w:rsid w:val="005E4EBF"/>
    <w:rsid w:val="005E5D18"/>
    <w:rsid w:val="005E607A"/>
    <w:rsid w:val="005E6EB6"/>
    <w:rsid w:val="005F0558"/>
    <w:rsid w:val="005F057A"/>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E23"/>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9A"/>
    <w:rsid w:val="006516F8"/>
    <w:rsid w:val="0065343B"/>
    <w:rsid w:val="00653F63"/>
    <w:rsid w:val="006548AA"/>
    <w:rsid w:val="0065545C"/>
    <w:rsid w:val="0065603A"/>
    <w:rsid w:val="00661C2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3B20"/>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6D51"/>
    <w:rsid w:val="00687099"/>
    <w:rsid w:val="00687205"/>
    <w:rsid w:val="00687893"/>
    <w:rsid w:val="00687F27"/>
    <w:rsid w:val="00690AB2"/>
    <w:rsid w:val="006926E8"/>
    <w:rsid w:val="00692DE9"/>
    <w:rsid w:val="00693EC9"/>
    <w:rsid w:val="00694005"/>
    <w:rsid w:val="0069471F"/>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B53"/>
    <w:rsid w:val="006C6EC4"/>
    <w:rsid w:val="006C77F5"/>
    <w:rsid w:val="006D07BD"/>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3D0"/>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D6D"/>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8FD"/>
    <w:rsid w:val="007E494E"/>
    <w:rsid w:val="007E5DE5"/>
    <w:rsid w:val="007E6088"/>
    <w:rsid w:val="007E6898"/>
    <w:rsid w:val="007E6AD3"/>
    <w:rsid w:val="007E70FC"/>
    <w:rsid w:val="007E73AE"/>
    <w:rsid w:val="007E7CAC"/>
    <w:rsid w:val="007F0B83"/>
    <w:rsid w:val="007F0D33"/>
    <w:rsid w:val="007F1716"/>
    <w:rsid w:val="007F1CDA"/>
    <w:rsid w:val="007F3951"/>
    <w:rsid w:val="007F3BA5"/>
    <w:rsid w:val="007F41F7"/>
    <w:rsid w:val="007F561B"/>
    <w:rsid w:val="007F601B"/>
    <w:rsid w:val="007F6611"/>
    <w:rsid w:val="007F6AF0"/>
    <w:rsid w:val="00800FFD"/>
    <w:rsid w:val="008017DB"/>
    <w:rsid w:val="00802147"/>
    <w:rsid w:val="00802BAA"/>
    <w:rsid w:val="00803CBD"/>
    <w:rsid w:val="00803CFE"/>
    <w:rsid w:val="00805862"/>
    <w:rsid w:val="00806003"/>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48C"/>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594"/>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4EDF"/>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427"/>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23F7"/>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58E"/>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38BB"/>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2C1"/>
    <w:rsid w:val="009A7B4F"/>
    <w:rsid w:val="009B1952"/>
    <w:rsid w:val="009B3E71"/>
    <w:rsid w:val="009B4026"/>
    <w:rsid w:val="009B4327"/>
    <w:rsid w:val="009B43ED"/>
    <w:rsid w:val="009B4DFB"/>
    <w:rsid w:val="009B5460"/>
    <w:rsid w:val="009B58A2"/>
    <w:rsid w:val="009B5CA5"/>
    <w:rsid w:val="009B60EB"/>
    <w:rsid w:val="009C1473"/>
    <w:rsid w:val="009C2332"/>
    <w:rsid w:val="009C2FA5"/>
    <w:rsid w:val="009C35B5"/>
    <w:rsid w:val="009C3CB1"/>
    <w:rsid w:val="009C3E5D"/>
    <w:rsid w:val="009C42BF"/>
    <w:rsid w:val="009C465A"/>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199B"/>
    <w:rsid w:val="009F21E9"/>
    <w:rsid w:val="009F230C"/>
    <w:rsid w:val="009F3A17"/>
    <w:rsid w:val="009F4959"/>
    <w:rsid w:val="009F4F26"/>
    <w:rsid w:val="009F4F6A"/>
    <w:rsid w:val="009F6C71"/>
    <w:rsid w:val="009F717D"/>
    <w:rsid w:val="009F73FA"/>
    <w:rsid w:val="009F7B8F"/>
    <w:rsid w:val="009F7DBF"/>
    <w:rsid w:val="00A0034D"/>
    <w:rsid w:val="00A00755"/>
    <w:rsid w:val="00A00D49"/>
    <w:rsid w:val="00A0178B"/>
    <w:rsid w:val="00A02B4B"/>
    <w:rsid w:val="00A03415"/>
    <w:rsid w:val="00A03475"/>
    <w:rsid w:val="00A03802"/>
    <w:rsid w:val="00A049A3"/>
    <w:rsid w:val="00A07EBF"/>
    <w:rsid w:val="00A12B8C"/>
    <w:rsid w:val="00A1317B"/>
    <w:rsid w:val="00A13218"/>
    <w:rsid w:val="00A1427D"/>
    <w:rsid w:val="00A14E76"/>
    <w:rsid w:val="00A15023"/>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2E5"/>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770"/>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6FBF"/>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33F"/>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32"/>
    <w:rsid w:val="00B06B5B"/>
    <w:rsid w:val="00B07373"/>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1ED7"/>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2D36"/>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27A8"/>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0DF"/>
    <w:rsid w:val="00BF0667"/>
    <w:rsid w:val="00BF2B39"/>
    <w:rsid w:val="00BF310C"/>
    <w:rsid w:val="00BF311C"/>
    <w:rsid w:val="00BF329D"/>
    <w:rsid w:val="00BF3BB0"/>
    <w:rsid w:val="00BF497E"/>
    <w:rsid w:val="00BF626C"/>
    <w:rsid w:val="00BF673D"/>
    <w:rsid w:val="00BF715E"/>
    <w:rsid w:val="00BF7277"/>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59C"/>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0C9C"/>
    <w:rsid w:val="00C9158E"/>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B71E8"/>
    <w:rsid w:val="00CC050B"/>
    <w:rsid w:val="00CC44DF"/>
    <w:rsid w:val="00CC4723"/>
    <w:rsid w:val="00CC55C4"/>
    <w:rsid w:val="00CC752F"/>
    <w:rsid w:val="00CD0268"/>
    <w:rsid w:val="00CD0597"/>
    <w:rsid w:val="00CD0941"/>
    <w:rsid w:val="00CD0C52"/>
    <w:rsid w:val="00CD0EE1"/>
    <w:rsid w:val="00CD12B0"/>
    <w:rsid w:val="00CD2783"/>
    <w:rsid w:val="00CD41FD"/>
    <w:rsid w:val="00CD5194"/>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2F8"/>
    <w:rsid w:val="00D039DC"/>
    <w:rsid w:val="00D03CBC"/>
    <w:rsid w:val="00D040A5"/>
    <w:rsid w:val="00D04708"/>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6E16"/>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FCF"/>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03C"/>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5564"/>
    <w:rsid w:val="00DE606A"/>
    <w:rsid w:val="00DE7276"/>
    <w:rsid w:val="00DE7D5B"/>
    <w:rsid w:val="00DF059C"/>
    <w:rsid w:val="00DF08F2"/>
    <w:rsid w:val="00DF0E37"/>
    <w:rsid w:val="00DF1255"/>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1AF"/>
    <w:rsid w:val="00E2548B"/>
    <w:rsid w:val="00E26382"/>
    <w:rsid w:val="00E269BF"/>
    <w:rsid w:val="00E30DF3"/>
    <w:rsid w:val="00E313A5"/>
    <w:rsid w:val="00E317C2"/>
    <w:rsid w:val="00E3212D"/>
    <w:rsid w:val="00E32575"/>
    <w:rsid w:val="00E32A92"/>
    <w:rsid w:val="00E33718"/>
    <w:rsid w:val="00E33A40"/>
    <w:rsid w:val="00E33AC9"/>
    <w:rsid w:val="00E340C1"/>
    <w:rsid w:val="00E3490F"/>
    <w:rsid w:val="00E34BCD"/>
    <w:rsid w:val="00E34CA1"/>
    <w:rsid w:val="00E35E75"/>
    <w:rsid w:val="00E35F87"/>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8DE"/>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1CF9"/>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C57"/>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EF79F4"/>
    <w:rsid w:val="00F0089F"/>
    <w:rsid w:val="00F00990"/>
    <w:rsid w:val="00F00A86"/>
    <w:rsid w:val="00F0134B"/>
    <w:rsid w:val="00F0221D"/>
    <w:rsid w:val="00F04863"/>
    <w:rsid w:val="00F0506C"/>
    <w:rsid w:val="00F055AC"/>
    <w:rsid w:val="00F05B3A"/>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272"/>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502"/>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0A3D"/>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FC8"/>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2FA"/>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5_G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5_GR Char"/>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5C09B29-471D-4093-8776-16D87F0B4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D3AB1-112F-4388-9D63-12D4FEB604E0}">
  <ds:schemaRefs>
    <ds:schemaRef ds:uri="http://schemas.openxmlformats.org/officeDocument/2006/bibliography"/>
  </ds:schemaRefs>
</ds:datastoreItem>
</file>

<file path=customXml/itemProps4.xml><?xml version="1.0" encoding="utf-8"?>
<ds:datastoreItem xmlns:ds="http://schemas.openxmlformats.org/officeDocument/2006/customXml" ds:itemID="{5B41D7D6-8F1E-4C8C-9D9F-9ABA7C2C7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1271</Words>
  <Characters>6511</Characters>
  <Application>Microsoft Office Word</Application>
  <DocSecurity>0</DocSecurity>
  <Lines>133</Lines>
  <Paragraphs>55</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ECE/TRANS/WP.29/GRE/2023/5</vt:lpstr>
      <vt:lpstr>ECE/TRANS/WP.29/GRE/2022/10</vt:lpstr>
      <vt:lpstr>ECE/TRANS/WP.29/GRE/2020/9</vt:lpstr>
      <vt:lpstr>ECE/TRANS/WP.29/GRE/2018/49</vt:lpstr>
    </vt:vector>
  </TitlesOfParts>
  <Company>CSD</Company>
  <LinksUpToDate>false</LinksUpToDate>
  <CharactersWithSpaces>7767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ECE/TRANS/WP.29/GRE/2024/9</dc:title>
  <dc:subject>2402669</dc:subject>
  <dc:creator>AFTER JUNE</dc:creator>
  <cp:keywords/>
  <dc:description/>
  <cp:lastModifiedBy>Pauline Anne Escalante</cp:lastModifiedBy>
  <cp:revision>2</cp:revision>
  <cp:lastPrinted>2022-07-26T12:04:00Z</cp:lastPrinted>
  <dcterms:created xsi:type="dcterms:W3CDTF">2024-02-22T08:49:00Z</dcterms:created>
  <dcterms:modified xsi:type="dcterms:W3CDTF">2024-02-22T08:49:00Z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