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E35BB7F" w14:textId="77777777" w:rsidTr="00B20551">
        <w:trPr>
          <w:cantSplit/>
          <w:trHeight w:hRule="exact" w:val="851"/>
        </w:trPr>
        <w:tc>
          <w:tcPr>
            <w:tcW w:w="1276" w:type="dxa"/>
            <w:tcBorders>
              <w:bottom w:val="single" w:sz="4" w:space="0" w:color="auto"/>
            </w:tcBorders>
            <w:vAlign w:val="bottom"/>
          </w:tcPr>
          <w:p w14:paraId="7B641B25" w14:textId="77777777" w:rsidR="009E6CB7" w:rsidRDefault="009E6CB7" w:rsidP="00B20551">
            <w:pPr>
              <w:spacing w:after="80"/>
            </w:pPr>
          </w:p>
        </w:tc>
        <w:tc>
          <w:tcPr>
            <w:tcW w:w="2268" w:type="dxa"/>
            <w:tcBorders>
              <w:bottom w:val="single" w:sz="4" w:space="0" w:color="auto"/>
            </w:tcBorders>
            <w:vAlign w:val="bottom"/>
          </w:tcPr>
          <w:p w14:paraId="4A724FA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65B0A0" w14:textId="1232922F" w:rsidR="009E6CB7" w:rsidRPr="00D47EEA" w:rsidRDefault="00706119" w:rsidP="00706119">
            <w:pPr>
              <w:jc w:val="right"/>
            </w:pPr>
            <w:r w:rsidRPr="00706119">
              <w:rPr>
                <w:sz w:val="40"/>
              </w:rPr>
              <w:t>ECE</w:t>
            </w:r>
            <w:r>
              <w:t>/TRANS/WP.11/251</w:t>
            </w:r>
          </w:p>
        </w:tc>
      </w:tr>
      <w:tr w:rsidR="009E6CB7" w14:paraId="41729BA7" w14:textId="77777777" w:rsidTr="00B20551">
        <w:trPr>
          <w:cantSplit/>
          <w:trHeight w:hRule="exact" w:val="2835"/>
        </w:trPr>
        <w:tc>
          <w:tcPr>
            <w:tcW w:w="1276" w:type="dxa"/>
            <w:tcBorders>
              <w:top w:val="single" w:sz="4" w:space="0" w:color="auto"/>
              <w:bottom w:val="single" w:sz="12" w:space="0" w:color="auto"/>
            </w:tcBorders>
          </w:tcPr>
          <w:p w14:paraId="2E66DB04" w14:textId="77777777" w:rsidR="009E6CB7" w:rsidRDefault="00686A48" w:rsidP="00B20551">
            <w:pPr>
              <w:spacing w:before="120"/>
            </w:pPr>
            <w:r>
              <w:rPr>
                <w:noProof/>
                <w:lang w:val="fr-CH" w:eastAsia="fr-CH"/>
              </w:rPr>
              <w:drawing>
                <wp:inline distT="0" distB="0" distL="0" distR="0" wp14:anchorId="3D7609EA" wp14:editId="7467255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ED072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505141B" w14:textId="77777777" w:rsidR="009E6CB7" w:rsidRDefault="00706119" w:rsidP="00706119">
            <w:pPr>
              <w:spacing w:before="240" w:line="240" w:lineRule="exact"/>
            </w:pPr>
            <w:r>
              <w:t>Distr.: General</w:t>
            </w:r>
          </w:p>
          <w:p w14:paraId="4999829E" w14:textId="26530694" w:rsidR="00706119" w:rsidRDefault="00BC3FD4" w:rsidP="00706119">
            <w:pPr>
              <w:spacing w:line="240" w:lineRule="exact"/>
            </w:pPr>
            <w:r>
              <w:t>6</w:t>
            </w:r>
            <w:r w:rsidR="00706119">
              <w:t xml:space="preserve"> December 2023</w:t>
            </w:r>
          </w:p>
          <w:p w14:paraId="0078AC3E" w14:textId="77777777" w:rsidR="00706119" w:rsidRDefault="00706119" w:rsidP="00706119">
            <w:pPr>
              <w:spacing w:line="240" w:lineRule="exact"/>
            </w:pPr>
          </w:p>
          <w:p w14:paraId="3238A083" w14:textId="30746732" w:rsidR="00706119" w:rsidRDefault="00706119" w:rsidP="00706119">
            <w:pPr>
              <w:spacing w:line="240" w:lineRule="exact"/>
            </w:pPr>
            <w:r>
              <w:t>Original: English</w:t>
            </w:r>
          </w:p>
        </w:tc>
      </w:tr>
    </w:tbl>
    <w:p w14:paraId="1BB7287A" w14:textId="77777777" w:rsidR="00706119" w:rsidRDefault="00706119" w:rsidP="00C411EB">
      <w:pPr>
        <w:spacing w:before="120"/>
        <w:rPr>
          <w:b/>
          <w:sz w:val="28"/>
          <w:szCs w:val="28"/>
        </w:rPr>
      </w:pPr>
      <w:r w:rsidRPr="007F5683">
        <w:rPr>
          <w:b/>
          <w:sz w:val="28"/>
          <w:szCs w:val="28"/>
        </w:rPr>
        <w:t>Economic Commission for Europe</w:t>
      </w:r>
    </w:p>
    <w:p w14:paraId="5C989481" w14:textId="77777777" w:rsidR="00706119" w:rsidRDefault="00706119" w:rsidP="00C411EB">
      <w:pPr>
        <w:spacing w:before="120"/>
        <w:rPr>
          <w:sz w:val="28"/>
          <w:szCs w:val="28"/>
        </w:rPr>
      </w:pPr>
      <w:r>
        <w:rPr>
          <w:sz w:val="28"/>
          <w:szCs w:val="28"/>
        </w:rPr>
        <w:t>Inland Transport Committee</w:t>
      </w:r>
    </w:p>
    <w:p w14:paraId="6485FDF1" w14:textId="77777777" w:rsidR="00706119" w:rsidRDefault="00706119" w:rsidP="00C411EB">
      <w:pPr>
        <w:spacing w:before="120"/>
        <w:rPr>
          <w:b/>
          <w:sz w:val="24"/>
          <w:szCs w:val="24"/>
        </w:rPr>
      </w:pPr>
      <w:r>
        <w:rPr>
          <w:b/>
          <w:sz w:val="24"/>
          <w:szCs w:val="24"/>
        </w:rPr>
        <w:t>Working Party on the Transport of Perishable Foodstuffs</w:t>
      </w:r>
    </w:p>
    <w:p w14:paraId="036BE1AB" w14:textId="7ED7EA62" w:rsidR="00706119" w:rsidRDefault="002C0F67" w:rsidP="00C411EB">
      <w:pPr>
        <w:spacing w:before="120"/>
        <w:rPr>
          <w:b/>
        </w:rPr>
      </w:pPr>
      <w:r>
        <w:rPr>
          <w:b/>
        </w:rPr>
        <w:t>Eightieth</w:t>
      </w:r>
      <w:r w:rsidR="005236D3">
        <w:rPr>
          <w:b/>
        </w:rPr>
        <w:t xml:space="preserve"> </w:t>
      </w:r>
      <w:r w:rsidR="00706119" w:rsidRPr="008D7010">
        <w:rPr>
          <w:b/>
        </w:rPr>
        <w:t>session</w:t>
      </w:r>
    </w:p>
    <w:p w14:paraId="7202FA2F" w14:textId="789C3FC8" w:rsidR="00F33FD6" w:rsidRDefault="00F33FD6" w:rsidP="00F33FD6">
      <w:pPr>
        <w:pStyle w:val="HChG"/>
      </w:pPr>
      <w:bookmarkStart w:id="0" w:name="_Toc103001660"/>
      <w:r>
        <w:tab/>
      </w:r>
      <w:r>
        <w:tab/>
        <w:t>Report of the Working Party on the Transport of Perishable Foodstuffs</w:t>
      </w:r>
      <w:r w:rsidRPr="00940F8D">
        <w:t xml:space="preserve"> on its </w:t>
      </w:r>
      <w:r>
        <w:t>eightieth</w:t>
      </w:r>
      <w:r w:rsidRPr="00940F8D">
        <w:t xml:space="preserve"> session</w:t>
      </w:r>
      <w:bookmarkEnd w:id="0"/>
      <w:r w:rsidRPr="00940F8D">
        <w:t xml:space="preserve"> </w:t>
      </w:r>
    </w:p>
    <w:p w14:paraId="7744C7B2" w14:textId="199BB629" w:rsidR="00F33FD6" w:rsidRDefault="00F33FD6" w:rsidP="00F33FD6">
      <w:pPr>
        <w:pStyle w:val="SingleTxtG"/>
      </w:pPr>
      <w:r>
        <w:t>held in Geneva on 2</w:t>
      </w:r>
      <w:r w:rsidR="003E4DE6">
        <w:t>4</w:t>
      </w:r>
      <w:r>
        <w:t>–2</w:t>
      </w:r>
      <w:r w:rsidR="003E4DE6">
        <w:t>7</w:t>
      </w:r>
      <w:r>
        <w:t xml:space="preserve"> October 202</w:t>
      </w:r>
      <w:r w:rsidR="003E4DE6">
        <w:t>3</w:t>
      </w:r>
    </w:p>
    <w:p w14:paraId="0B259DAF" w14:textId="17DB9DBD" w:rsidR="00FB2AE3" w:rsidRDefault="00FB2AE3" w:rsidP="00C411EB">
      <w:pPr>
        <w:spacing w:before="120"/>
        <w:rPr>
          <w:b/>
        </w:rPr>
      </w:pPr>
      <w:r>
        <w:rPr>
          <w:b/>
        </w:rPr>
        <w:br w:type="page"/>
      </w:r>
    </w:p>
    <w:p w14:paraId="1609F788" w14:textId="77777777" w:rsidR="00AF736D" w:rsidRPr="00B8557A" w:rsidRDefault="00AF736D" w:rsidP="00AF736D">
      <w:pPr>
        <w:spacing w:after="120"/>
        <w:rPr>
          <w:sz w:val="28"/>
          <w:lang w:val="fr-CH"/>
        </w:rPr>
      </w:pPr>
      <w:r w:rsidRPr="00B8557A">
        <w:rPr>
          <w:sz w:val="28"/>
          <w:lang w:val="fr-CH"/>
        </w:rPr>
        <w:lastRenderedPageBreak/>
        <w:t>Contents</w:t>
      </w:r>
    </w:p>
    <w:p w14:paraId="1769E012" w14:textId="77777777" w:rsidR="00AF736D" w:rsidRPr="00B8557A" w:rsidRDefault="00AF736D" w:rsidP="00AF736D">
      <w:pPr>
        <w:tabs>
          <w:tab w:val="right" w:pos="8929"/>
          <w:tab w:val="right" w:pos="9638"/>
        </w:tabs>
        <w:spacing w:after="120"/>
        <w:ind w:left="283"/>
        <w:rPr>
          <w:lang w:val="fr-CH"/>
        </w:rPr>
      </w:pPr>
      <w:r w:rsidRPr="00B8557A">
        <w:rPr>
          <w:i/>
          <w:sz w:val="18"/>
          <w:lang w:val="fr-CH"/>
        </w:rPr>
        <w:tab/>
      </w:r>
      <w:proofErr w:type="spellStart"/>
      <w:r w:rsidRPr="00B8557A">
        <w:rPr>
          <w:i/>
          <w:sz w:val="18"/>
          <w:lang w:val="fr-CH"/>
        </w:rPr>
        <w:t>Paragraphs</w:t>
      </w:r>
      <w:proofErr w:type="spellEnd"/>
      <w:r w:rsidRPr="00B8557A">
        <w:rPr>
          <w:i/>
          <w:sz w:val="18"/>
          <w:lang w:val="fr-CH"/>
        </w:rPr>
        <w:tab/>
        <w:t>Page</w:t>
      </w:r>
    </w:p>
    <w:p w14:paraId="53C5DDD7" w14:textId="194B58F6"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lang w:val="fr-CH"/>
        </w:rPr>
      </w:pPr>
      <w:r w:rsidRPr="00F26B2E">
        <w:rPr>
          <w:rStyle w:val="Hyperlink"/>
          <w:noProof/>
          <w:color w:val="auto"/>
          <w:lang w:val="fr-CH"/>
        </w:rPr>
        <w:tab/>
        <w:t>I.</w:t>
      </w:r>
      <w:r w:rsidRPr="00F26B2E">
        <w:rPr>
          <w:rStyle w:val="Hyperlink"/>
          <w:noProof/>
          <w:color w:val="auto"/>
          <w:lang w:val="fr-CH"/>
        </w:rPr>
        <w:tab/>
      </w:r>
      <w:r w:rsidRPr="00F26B2E">
        <w:rPr>
          <w:lang w:val="fr-CH"/>
        </w:rPr>
        <w:t>Attendance</w:t>
      </w:r>
      <w:r w:rsidRPr="00F26B2E">
        <w:rPr>
          <w:rStyle w:val="Hyperlink"/>
          <w:noProof/>
          <w:color w:val="auto"/>
          <w:lang w:val="fr-CH"/>
        </w:rPr>
        <w:tab/>
      </w:r>
      <w:r w:rsidRPr="00F26B2E">
        <w:rPr>
          <w:rStyle w:val="Hyperlink"/>
          <w:noProof/>
          <w:color w:val="auto"/>
          <w:lang w:val="fr-CH"/>
        </w:rPr>
        <w:tab/>
      </w:r>
      <w:r w:rsidRPr="00F26B2E">
        <w:rPr>
          <w:noProof/>
          <w:webHidden/>
          <w:lang w:val="fr-CH"/>
        </w:rPr>
        <w:t>1-3</w:t>
      </w:r>
      <w:r w:rsidRPr="00F26B2E">
        <w:rPr>
          <w:noProof/>
          <w:webHidden/>
          <w:lang w:val="fr-CH"/>
        </w:rPr>
        <w:tab/>
      </w:r>
      <w:r w:rsidR="00A610EE">
        <w:rPr>
          <w:noProof/>
          <w:webHidden/>
          <w:lang w:val="fr-CH"/>
        </w:rPr>
        <w:t>4</w:t>
      </w:r>
    </w:p>
    <w:p w14:paraId="68DC6FFF" w14:textId="1970730E"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lang w:val="fr-CH"/>
        </w:rPr>
        <w:tab/>
      </w:r>
      <w:r w:rsidRPr="00F26B2E">
        <w:rPr>
          <w:rStyle w:val="Hyperlink"/>
          <w:noProof/>
          <w:color w:val="auto"/>
        </w:rPr>
        <w:t>II.</w:t>
      </w:r>
      <w:r w:rsidRPr="00F26B2E">
        <w:rPr>
          <w:noProof/>
        </w:rPr>
        <w:tab/>
      </w:r>
      <w:r w:rsidRPr="00F26B2E">
        <w:t>Adoption</w:t>
      </w:r>
      <w:r w:rsidRPr="00F26B2E">
        <w:rPr>
          <w:rStyle w:val="Hyperlink"/>
          <w:noProof/>
          <w:color w:val="auto"/>
        </w:rPr>
        <w:t xml:space="preserve"> of the agenda (agenda item 1)</w:t>
      </w:r>
      <w:r w:rsidRPr="00F26B2E">
        <w:rPr>
          <w:noProof/>
          <w:webHidden/>
        </w:rPr>
        <w:tab/>
      </w:r>
      <w:r w:rsidRPr="00F26B2E">
        <w:rPr>
          <w:noProof/>
          <w:webHidden/>
        </w:rPr>
        <w:tab/>
        <w:t>4</w:t>
      </w:r>
      <w:r w:rsidRPr="00F26B2E">
        <w:rPr>
          <w:noProof/>
          <w:webHidden/>
        </w:rPr>
        <w:tab/>
      </w:r>
      <w:r w:rsidR="00A610EE">
        <w:rPr>
          <w:noProof/>
          <w:webHidden/>
        </w:rPr>
        <w:t>4</w:t>
      </w:r>
    </w:p>
    <w:p w14:paraId="6BC1833E" w14:textId="05159D98"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t>III.</w:t>
      </w:r>
      <w:r w:rsidRPr="00F26B2E">
        <w:rPr>
          <w:noProof/>
        </w:rPr>
        <w:tab/>
      </w:r>
      <w:r w:rsidRPr="00F26B2E">
        <w:rPr>
          <w:rStyle w:val="Hyperlink"/>
          <w:noProof/>
          <w:color w:val="auto"/>
        </w:rPr>
        <w:t>Activities of ECE bodies of interest to the Working Party (agenda item 2)</w:t>
      </w:r>
      <w:r w:rsidRPr="00F26B2E">
        <w:rPr>
          <w:noProof/>
          <w:webHidden/>
        </w:rPr>
        <w:tab/>
      </w:r>
      <w:r w:rsidRPr="00F26B2E">
        <w:rPr>
          <w:noProof/>
          <w:webHidden/>
        </w:rPr>
        <w:tab/>
        <w:t>5–</w:t>
      </w:r>
      <w:r w:rsidR="00C64563">
        <w:rPr>
          <w:noProof/>
          <w:webHidden/>
        </w:rPr>
        <w:t>22</w:t>
      </w:r>
      <w:r w:rsidRPr="00F26B2E">
        <w:rPr>
          <w:noProof/>
          <w:webHidden/>
        </w:rPr>
        <w:tab/>
      </w:r>
      <w:r w:rsidR="00A610EE">
        <w:rPr>
          <w:noProof/>
          <w:webHidden/>
        </w:rPr>
        <w:t>4</w:t>
      </w:r>
    </w:p>
    <w:p w14:paraId="79D4DA28" w14:textId="41415DC0" w:rsidR="00AF736D" w:rsidRDefault="00AF736D" w:rsidP="00AF736D">
      <w:pPr>
        <w:tabs>
          <w:tab w:val="right" w:pos="850"/>
          <w:tab w:val="left" w:pos="1134"/>
          <w:tab w:val="left" w:pos="1559"/>
          <w:tab w:val="left" w:pos="1984"/>
          <w:tab w:val="left" w:leader="dot" w:pos="7654"/>
          <w:tab w:val="right" w:pos="8929"/>
          <w:tab w:val="right" w:pos="9638"/>
        </w:tabs>
        <w:spacing w:after="120"/>
        <w:rPr>
          <w:noProof/>
          <w:webHidden/>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 xml:space="preserve">Inland </w:t>
      </w:r>
      <w:r w:rsidRPr="00F26B2E">
        <w:t>Transport</w:t>
      </w:r>
      <w:r w:rsidRPr="00F26B2E">
        <w:rPr>
          <w:rStyle w:val="Hyperlink"/>
          <w:noProof/>
          <w:color w:val="auto"/>
        </w:rPr>
        <w:t xml:space="preserve"> Committee</w:t>
      </w:r>
      <w:r w:rsidRPr="00F26B2E">
        <w:rPr>
          <w:noProof/>
          <w:webHidden/>
        </w:rPr>
        <w:tab/>
      </w:r>
      <w:r w:rsidRPr="00F26B2E">
        <w:rPr>
          <w:noProof/>
          <w:webHidden/>
        </w:rPr>
        <w:tab/>
        <w:t>5</w:t>
      </w:r>
      <w:r w:rsidR="000D4209">
        <w:rPr>
          <w:noProof/>
          <w:webHidden/>
        </w:rPr>
        <w:t>–11</w:t>
      </w:r>
      <w:r w:rsidRPr="00F26B2E">
        <w:rPr>
          <w:noProof/>
          <w:webHidden/>
        </w:rPr>
        <w:tab/>
      </w:r>
      <w:r w:rsidR="00A610EE">
        <w:rPr>
          <w:noProof/>
          <w:webHidden/>
        </w:rPr>
        <w:t>4</w:t>
      </w:r>
    </w:p>
    <w:p w14:paraId="4F93902E" w14:textId="7D2B199A" w:rsidR="00336F23" w:rsidRDefault="00114506" w:rsidP="00C518C2">
      <w:pPr>
        <w:tabs>
          <w:tab w:val="right" w:pos="850"/>
          <w:tab w:val="left" w:pos="1134"/>
          <w:tab w:val="left" w:pos="1559"/>
          <w:tab w:val="left" w:pos="1984"/>
          <w:tab w:val="left" w:leader="dot" w:pos="7654"/>
          <w:tab w:val="right" w:pos="8929"/>
          <w:tab w:val="right" w:pos="9638"/>
        </w:tabs>
        <w:spacing w:after="120"/>
        <w:ind w:left="1984" w:hanging="1984"/>
      </w:pPr>
      <w:r>
        <w:rPr>
          <w:noProof/>
          <w:webHidden/>
        </w:rPr>
        <w:tab/>
      </w:r>
      <w:r>
        <w:rPr>
          <w:noProof/>
          <w:webHidden/>
        </w:rPr>
        <w:tab/>
      </w:r>
      <w:r>
        <w:rPr>
          <w:noProof/>
          <w:webHidden/>
        </w:rPr>
        <w:tab/>
      </w:r>
      <w:r w:rsidR="00376CCE">
        <w:rPr>
          <w:noProof/>
          <w:webHidden/>
        </w:rPr>
        <w:t>1.</w:t>
      </w:r>
      <w:r w:rsidR="00376CCE">
        <w:rPr>
          <w:noProof/>
          <w:webHidden/>
        </w:rPr>
        <w:tab/>
      </w:r>
      <w:r w:rsidR="00C518C2" w:rsidRPr="00473C0C">
        <w:t>Development of the ITC Strategy on reducing greenhouse</w:t>
      </w:r>
      <w:r w:rsidR="00C518C2" w:rsidRPr="00CA24F8">
        <w:t xml:space="preserve"> </w:t>
      </w:r>
      <w:r w:rsidR="00C518C2" w:rsidRPr="00473C0C">
        <w:t xml:space="preserve">gas emissions </w:t>
      </w:r>
      <w:r w:rsidR="00C518C2" w:rsidRPr="00CA24F8">
        <w:t>in</w:t>
      </w:r>
      <w:r w:rsidR="00C518C2">
        <w:br/>
      </w:r>
      <w:r w:rsidR="00C518C2" w:rsidRPr="00CA24F8">
        <w:t>inland transport</w:t>
      </w:r>
      <w:r w:rsidR="00C518C2">
        <w:tab/>
      </w:r>
      <w:r w:rsidR="00C518C2">
        <w:tab/>
        <w:t>8–9</w:t>
      </w:r>
      <w:r w:rsidR="00C518C2">
        <w:tab/>
      </w:r>
      <w:r w:rsidR="00A610EE">
        <w:t>4</w:t>
      </w:r>
    </w:p>
    <w:p w14:paraId="4096CCCA" w14:textId="5420507C" w:rsidR="002E14B6" w:rsidRDefault="002E14B6" w:rsidP="00C518C2">
      <w:pPr>
        <w:tabs>
          <w:tab w:val="right" w:pos="850"/>
          <w:tab w:val="left" w:pos="1134"/>
          <w:tab w:val="left" w:pos="1559"/>
          <w:tab w:val="left" w:pos="1984"/>
          <w:tab w:val="left" w:leader="dot" w:pos="7654"/>
          <w:tab w:val="right" w:pos="8929"/>
          <w:tab w:val="right" w:pos="9638"/>
        </w:tabs>
        <w:spacing w:after="120"/>
        <w:ind w:left="1984" w:hanging="1984"/>
      </w:pPr>
      <w:r>
        <w:tab/>
      </w:r>
      <w:r>
        <w:tab/>
      </w:r>
      <w:r>
        <w:tab/>
        <w:t>2.</w:t>
      </w:r>
      <w:r>
        <w:tab/>
      </w:r>
      <w:r w:rsidR="008E47E6" w:rsidRPr="008E47E6">
        <w:t>ITC strategy on climate change mitigation - Draft contribution</w:t>
      </w:r>
      <w:r w:rsidR="008E47E6">
        <w:tab/>
      </w:r>
      <w:r w:rsidR="008E47E6">
        <w:tab/>
        <w:t>10</w:t>
      </w:r>
      <w:r w:rsidR="008E47E6">
        <w:tab/>
      </w:r>
      <w:r w:rsidR="00A610EE">
        <w:t>5</w:t>
      </w:r>
    </w:p>
    <w:p w14:paraId="5FC467F8" w14:textId="568A8874" w:rsidR="00C115EB" w:rsidRPr="00F26B2E" w:rsidRDefault="00C115EB" w:rsidP="00C518C2">
      <w:pPr>
        <w:tabs>
          <w:tab w:val="right" w:pos="850"/>
          <w:tab w:val="left" w:pos="1134"/>
          <w:tab w:val="left" w:pos="1559"/>
          <w:tab w:val="left" w:pos="1984"/>
          <w:tab w:val="left" w:leader="dot" w:pos="7654"/>
          <w:tab w:val="right" w:pos="8929"/>
          <w:tab w:val="right" w:pos="9638"/>
        </w:tabs>
        <w:spacing w:after="120"/>
        <w:ind w:left="1984" w:hanging="1984"/>
        <w:rPr>
          <w:noProof/>
        </w:rPr>
      </w:pPr>
      <w:r>
        <w:tab/>
      </w:r>
      <w:r>
        <w:tab/>
      </w:r>
      <w:r>
        <w:tab/>
        <w:t>3.</w:t>
      </w:r>
      <w:r>
        <w:tab/>
      </w:r>
      <w:r w:rsidR="00016C4D" w:rsidRPr="00923D0D">
        <w:rPr>
          <w:bCs/>
        </w:rPr>
        <w:t>Recommended information for the review of ITC Working Parties</w:t>
      </w:r>
      <w:r w:rsidR="00016C4D">
        <w:rPr>
          <w:bCs/>
        </w:rPr>
        <w:tab/>
      </w:r>
      <w:r w:rsidR="00016C4D">
        <w:rPr>
          <w:bCs/>
        </w:rPr>
        <w:tab/>
        <w:t>11</w:t>
      </w:r>
      <w:r w:rsidR="00016C4D">
        <w:rPr>
          <w:bCs/>
        </w:rPr>
        <w:tab/>
      </w:r>
      <w:r w:rsidR="00A610EE">
        <w:rPr>
          <w:bCs/>
        </w:rPr>
        <w:t>5</w:t>
      </w:r>
    </w:p>
    <w:p w14:paraId="75C21B73" w14:textId="659EB0E3" w:rsidR="00AF736D" w:rsidRDefault="00AF736D" w:rsidP="00AF736D">
      <w:pPr>
        <w:tabs>
          <w:tab w:val="right" w:pos="850"/>
          <w:tab w:val="left" w:pos="1134"/>
          <w:tab w:val="left" w:pos="1559"/>
          <w:tab w:val="left" w:pos="1984"/>
          <w:tab w:val="left" w:leader="dot" w:pos="7654"/>
          <w:tab w:val="right" w:pos="8929"/>
          <w:tab w:val="right" w:pos="9638"/>
        </w:tabs>
        <w:spacing w:after="120"/>
        <w:rPr>
          <w:noProof/>
          <w:webHidden/>
        </w:rPr>
      </w:pPr>
      <w:r w:rsidRPr="00F26B2E">
        <w:rPr>
          <w:rStyle w:val="Hyperlink"/>
          <w:noProof/>
          <w:color w:val="auto"/>
        </w:rPr>
        <w:tab/>
      </w:r>
      <w:r w:rsidRPr="00F26B2E">
        <w:rPr>
          <w:rStyle w:val="Hyperlink"/>
          <w:noProof/>
          <w:color w:val="auto"/>
        </w:rPr>
        <w:tab/>
        <w:t>B.</w:t>
      </w:r>
      <w:r w:rsidRPr="00F26B2E">
        <w:rPr>
          <w:noProof/>
        </w:rPr>
        <w:tab/>
      </w:r>
      <w:r w:rsidRPr="00F26B2E">
        <w:t>Working</w:t>
      </w:r>
      <w:r w:rsidRPr="00F26B2E">
        <w:rPr>
          <w:rStyle w:val="Hyperlink"/>
          <w:noProof/>
          <w:color w:val="auto"/>
        </w:rPr>
        <w:t xml:space="preserve"> Party on Agricultural Quality Standards</w:t>
      </w:r>
      <w:r w:rsidRPr="00F26B2E">
        <w:rPr>
          <w:noProof/>
          <w:webHidden/>
        </w:rPr>
        <w:tab/>
      </w:r>
      <w:r w:rsidRPr="00F26B2E">
        <w:rPr>
          <w:noProof/>
          <w:webHidden/>
        </w:rPr>
        <w:tab/>
      </w:r>
      <w:r w:rsidR="00AD2A5E">
        <w:rPr>
          <w:noProof/>
          <w:webHidden/>
        </w:rPr>
        <w:t>12–14</w:t>
      </w:r>
      <w:r w:rsidRPr="00F26B2E">
        <w:rPr>
          <w:noProof/>
          <w:webHidden/>
        </w:rPr>
        <w:tab/>
      </w:r>
      <w:r w:rsidR="00A610EE">
        <w:rPr>
          <w:noProof/>
          <w:webHidden/>
        </w:rPr>
        <w:t>5</w:t>
      </w:r>
    </w:p>
    <w:p w14:paraId="2DF93EEE" w14:textId="6A2B6F24" w:rsidR="00284A1C" w:rsidRDefault="00284A1C" w:rsidP="00AF736D">
      <w:pPr>
        <w:tabs>
          <w:tab w:val="right" w:pos="850"/>
          <w:tab w:val="left" w:pos="1134"/>
          <w:tab w:val="left" w:pos="1559"/>
          <w:tab w:val="left" w:pos="1984"/>
          <w:tab w:val="left" w:leader="dot" w:pos="7654"/>
          <w:tab w:val="right" w:pos="8929"/>
          <w:tab w:val="right" w:pos="9638"/>
        </w:tabs>
        <w:spacing w:after="120"/>
      </w:pPr>
      <w:r>
        <w:rPr>
          <w:noProof/>
          <w:webHidden/>
        </w:rPr>
        <w:tab/>
      </w:r>
      <w:r>
        <w:rPr>
          <w:noProof/>
          <w:webHidden/>
        </w:rPr>
        <w:tab/>
        <w:t>C.</w:t>
      </w:r>
      <w:r>
        <w:rPr>
          <w:noProof/>
          <w:webHidden/>
        </w:rPr>
        <w:tab/>
      </w:r>
      <w:r w:rsidR="00372A1A">
        <w:t>Standardization organizations</w:t>
      </w:r>
      <w:r w:rsidR="00372A1A">
        <w:tab/>
      </w:r>
      <w:r w:rsidR="00372A1A">
        <w:tab/>
        <w:t>15</w:t>
      </w:r>
      <w:r w:rsidR="00AD1B21">
        <w:t>–22</w:t>
      </w:r>
      <w:r w:rsidR="00372A1A">
        <w:tab/>
      </w:r>
      <w:r w:rsidR="00A610EE">
        <w:t>6</w:t>
      </w:r>
    </w:p>
    <w:p w14:paraId="26952710" w14:textId="042A402F" w:rsidR="0085457B" w:rsidRDefault="0085457B" w:rsidP="00AF736D">
      <w:pPr>
        <w:tabs>
          <w:tab w:val="right" w:pos="850"/>
          <w:tab w:val="left" w:pos="1134"/>
          <w:tab w:val="left" w:pos="1559"/>
          <w:tab w:val="left" w:pos="1984"/>
          <w:tab w:val="left" w:leader="dot" w:pos="7654"/>
          <w:tab w:val="right" w:pos="8929"/>
          <w:tab w:val="right" w:pos="9638"/>
        </w:tabs>
        <w:spacing w:after="120"/>
      </w:pPr>
      <w:r>
        <w:tab/>
      </w:r>
      <w:r>
        <w:tab/>
      </w:r>
      <w:r w:rsidR="004E319D">
        <w:tab/>
      </w:r>
      <w:r w:rsidR="004A6799" w:rsidRPr="002619AF">
        <w:t>EN Standards</w:t>
      </w:r>
      <w:r w:rsidR="004A6799">
        <w:tab/>
      </w:r>
      <w:r w:rsidR="004A6799">
        <w:tab/>
        <w:t>16–18</w:t>
      </w:r>
      <w:r w:rsidR="004A6799">
        <w:tab/>
      </w:r>
      <w:r w:rsidR="00A610EE">
        <w:t>6</w:t>
      </w:r>
    </w:p>
    <w:p w14:paraId="3DD3AEDC" w14:textId="6323C0D9" w:rsidR="00D57DB4" w:rsidRDefault="00D57DB4" w:rsidP="00D57DB4">
      <w:pPr>
        <w:tabs>
          <w:tab w:val="right" w:pos="850"/>
          <w:tab w:val="left" w:pos="1134"/>
          <w:tab w:val="left" w:pos="1559"/>
          <w:tab w:val="left" w:pos="1984"/>
          <w:tab w:val="left" w:leader="dot" w:pos="7654"/>
          <w:tab w:val="right" w:pos="8929"/>
          <w:tab w:val="right" w:pos="9638"/>
        </w:tabs>
        <w:spacing w:after="120"/>
      </w:pPr>
      <w:r>
        <w:rPr>
          <w:noProof/>
        </w:rPr>
        <w:tab/>
      </w:r>
      <w:r>
        <w:rPr>
          <w:noProof/>
        </w:rPr>
        <w:tab/>
      </w:r>
      <w:r>
        <w:rPr>
          <w:noProof/>
        </w:rPr>
        <w:tab/>
      </w:r>
      <w:r w:rsidR="00A0620E" w:rsidRPr="006311C6">
        <w:t>ISO Standards</w:t>
      </w:r>
      <w:r w:rsidR="00B9372C">
        <w:tab/>
      </w:r>
      <w:r w:rsidR="00B9372C">
        <w:tab/>
      </w:r>
      <w:r w:rsidR="00A0620E">
        <w:t>19</w:t>
      </w:r>
      <w:r w:rsidR="00B9372C">
        <w:tab/>
      </w:r>
      <w:r w:rsidR="00A610EE">
        <w:t>7</w:t>
      </w:r>
    </w:p>
    <w:p w14:paraId="07C1DB5D" w14:textId="5D3A303E" w:rsidR="00B9372C" w:rsidRDefault="00B9372C" w:rsidP="00D57DB4">
      <w:pPr>
        <w:tabs>
          <w:tab w:val="right" w:pos="850"/>
          <w:tab w:val="left" w:pos="1134"/>
          <w:tab w:val="left" w:pos="1559"/>
          <w:tab w:val="left" w:pos="1984"/>
          <w:tab w:val="left" w:leader="dot" w:pos="7654"/>
          <w:tab w:val="right" w:pos="8929"/>
          <w:tab w:val="right" w:pos="9638"/>
        </w:tabs>
        <w:spacing w:after="120"/>
      </w:pPr>
      <w:r>
        <w:tab/>
      </w:r>
      <w:r>
        <w:tab/>
      </w:r>
      <w:r>
        <w:tab/>
      </w:r>
      <w:r w:rsidR="00513173" w:rsidRPr="002619AF">
        <w:t>Other standardization activities of interest to WP.11</w:t>
      </w:r>
      <w:r w:rsidR="00513173">
        <w:tab/>
      </w:r>
      <w:r w:rsidR="00513173">
        <w:tab/>
        <w:t>20</w:t>
      </w:r>
      <w:r w:rsidR="00513173">
        <w:tab/>
      </w:r>
      <w:r w:rsidR="00A610EE">
        <w:t>7</w:t>
      </w:r>
    </w:p>
    <w:p w14:paraId="2DA88F2A" w14:textId="7FC89D4C" w:rsidR="00513173" w:rsidRPr="00F26B2E" w:rsidRDefault="00E756F7" w:rsidP="00D57DB4">
      <w:pPr>
        <w:tabs>
          <w:tab w:val="right" w:pos="850"/>
          <w:tab w:val="left" w:pos="1134"/>
          <w:tab w:val="left" w:pos="1559"/>
          <w:tab w:val="left" w:pos="1984"/>
          <w:tab w:val="left" w:leader="dot" w:pos="7654"/>
          <w:tab w:val="right" w:pos="8929"/>
          <w:tab w:val="right" w:pos="9638"/>
        </w:tabs>
        <w:spacing w:after="120"/>
        <w:rPr>
          <w:noProof/>
        </w:rPr>
      </w:pPr>
      <w:r>
        <w:tab/>
      </w:r>
      <w:r>
        <w:tab/>
      </w:r>
      <w:r>
        <w:tab/>
      </w:r>
      <w:r w:rsidR="0034352E" w:rsidRPr="001B6CF7">
        <w:t>ISO</w:t>
      </w:r>
      <w:r w:rsidR="0034352E">
        <w:t>/</w:t>
      </w:r>
      <w:r w:rsidR="0034352E" w:rsidRPr="001B6CF7">
        <w:t>TC 315</w:t>
      </w:r>
      <w:r w:rsidR="0034352E">
        <w:t xml:space="preserve"> </w:t>
      </w:r>
      <w:r w:rsidR="0034352E" w:rsidRPr="00D06C88">
        <w:t>"Cold chain logistics"</w:t>
      </w:r>
      <w:r w:rsidR="0034352E">
        <w:tab/>
      </w:r>
      <w:r w:rsidR="0034352E">
        <w:tab/>
        <w:t>21–22</w:t>
      </w:r>
      <w:r w:rsidR="0034352E">
        <w:tab/>
      </w:r>
      <w:r w:rsidR="00A610EE">
        <w:t>7</w:t>
      </w:r>
    </w:p>
    <w:p w14:paraId="32A412C6" w14:textId="0E3A2141"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IV.</w:t>
      </w:r>
      <w:r w:rsidRPr="00F26B2E">
        <w:rPr>
          <w:noProof/>
        </w:rPr>
        <w:tab/>
      </w:r>
      <w:r w:rsidRPr="00F26B2E">
        <w:rPr>
          <w:rStyle w:val="Hyperlink"/>
          <w:noProof/>
          <w:color w:val="auto"/>
        </w:rPr>
        <w:t xml:space="preserve">Activities of other international organizations dealing with issues of interest </w:t>
      </w:r>
      <w:r w:rsidRPr="00F26B2E">
        <w:rPr>
          <w:rStyle w:val="Hyperlink"/>
          <w:noProof/>
          <w:color w:val="auto"/>
        </w:rPr>
        <w:br/>
        <w:t>to the Working Party (agenda item 3)</w:t>
      </w:r>
      <w:r w:rsidRPr="00F26B2E">
        <w:rPr>
          <w:noProof/>
          <w:webHidden/>
        </w:rPr>
        <w:tab/>
      </w:r>
      <w:r w:rsidRPr="00F26B2E">
        <w:rPr>
          <w:noProof/>
          <w:webHidden/>
        </w:rPr>
        <w:tab/>
      </w:r>
      <w:r w:rsidR="001E73FF">
        <w:rPr>
          <w:noProof/>
          <w:webHidden/>
        </w:rPr>
        <w:t>23</w:t>
      </w:r>
      <w:r w:rsidRPr="00F26B2E">
        <w:rPr>
          <w:noProof/>
          <w:webHidden/>
        </w:rPr>
        <w:t>–</w:t>
      </w:r>
      <w:r w:rsidR="001E73FF">
        <w:rPr>
          <w:noProof/>
          <w:webHidden/>
        </w:rPr>
        <w:t>28</w:t>
      </w:r>
      <w:r w:rsidRPr="00F26B2E">
        <w:rPr>
          <w:noProof/>
          <w:webHidden/>
        </w:rPr>
        <w:tab/>
      </w:r>
      <w:r w:rsidR="00A610EE">
        <w:rPr>
          <w:noProof/>
          <w:webHidden/>
        </w:rPr>
        <w:t>7</w:t>
      </w:r>
    </w:p>
    <w:p w14:paraId="5B71037B" w14:textId="764CC4BF"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International Institute of Refrigeration (IIR)</w:t>
      </w:r>
      <w:r w:rsidRPr="00F26B2E">
        <w:rPr>
          <w:noProof/>
          <w:webHidden/>
        </w:rPr>
        <w:tab/>
      </w:r>
      <w:r w:rsidRPr="00F26B2E">
        <w:rPr>
          <w:noProof/>
          <w:webHidden/>
        </w:rPr>
        <w:tab/>
      </w:r>
      <w:r w:rsidR="005D31BA">
        <w:rPr>
          <w:noProof/>
          <w:webHidden/>
        </w:rPr>
        <w:t>23</w:t>
      </w:r>
      <w:r w:rsidRPr="00F26B2E">
        <w:rPr>
          <w:noProof/>
          <w:webHidden/>
        </w:rPr>
        <w:t>–</w:t>
      </w:r>
      <w:r w:rsidR="005D31BA">
        <w:rPr>
          <w:noProof/>
          <w:webHidden/>
        </w:rPr>
        <w:t>25</w:t>
      </w:r>
      <w:r w:rsidRPr="00F26B2E">
        <w:rPr>
          <w:noProof/>
          <w:webHidden/>
        </w:rPr>
        <w:tab/>
      </w:r>
      <w:r w:rsidR="00A610EE">
        <w:rPr>
          <w:noProof/>
          <w:webHidden/>
        </w:rPr>
        <w:t>7</w:t>
      </w:r>
    </w:p>
    <w:p w14:paraId="199F5F73" w14:textId="342452A5"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Transfrigoroute International</w:t>
      </w:r>
      <w:r w:rsidRPr="00F26B2E">
        <w:rPr>
          <w:noProof/>
          <w:webHidden/>
        </w:rPr>
        <w:tab/>
      </w:r>
      <w:r w:rsidRPr="00F26B2E">
        <w:rPr>
          <w:noProof/>
          <w:webHidden/>
        </w:rPr>
        <w:tab/>
      </w:r>
      <w:r w:rsidR="005D31BA">
        <w:rPr>
          <w:noProof/>
          <w:webHidden/>
        </w:rPr>
        <w:t>26</w:t>
      </w:r>
      <w:r w:rsidRPr="00F26B2E">
        <w:rPr>
          <w:noProof/>
          <w:webHidden/>
        </w:rPr>
        <w:t>–</w:t>
      </w:r>
      <w:r w:rsidR="005D31BA">
        <w:rPr>
          <w:noProof/>
          <w:webHidden/>
        </w:rPr>
        <w:t>28</w:t>
      </w:r>
      <w:r w:rsidRPr="00F26B2E">
        <w:rPr>
          <w:noProof/>
          <w:webHidden/>
        </w:rPr>
        <w:tab/>
      </w:r>
      <w:r w:rsidR="00A610EE">
        <w:rPr>
          <w:noProof/>
          <w:webHidden/>
        </w:rPr>
        <w:t>7</w:t>
      </w:r>
    </w:p>
    <w:p w14:paraId="010A51CC" w14:textId="2D7C76DF"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w:t>
      </w:r>
      <w:r w:rsidRPr="00F26B2E">
        <w:rPr>
          <w:noProof/>
        </w:rPr>
        <w:tab/>
      </w:r>
      <w:r w:rsidRPr="00F26B2E">
        <w:rPr>
          <w:rStyle w:val="Hyperlink"/>
          <w:noProof/>
          <w:color w:val="auto"/>
        </w:rPr>
        <w:t xml:space="preserve">Status and implementation of the Agreement on the International Carriage </w:t>
      </w:r>
      <w:r w:rsidRPr="00F26B2E">
        <w:rPr>
          <w:rStyle w:val="Hyperlink"/>
          <w:noProof/>
          <w:color w:val="auto"/>
        </w:rPr>
        <w:br/>
        <w:t xml:space="preserve">of Perishable Foodstuffs and on the Special Equipment to be Used for such </w:t>
      </w:r>
      <w:r w:rsidRPr="00F26B2E">
        <w:rPr>
          <w:rStyle w:val="Hyperlink"/>
          <w:noProof/>
          <w:color w:val="auto"/>
        </w:rPr>
        <w:br/>
        <w:t>Carriage (ATP) (agenda item 4)</w:t>
      </w:r>
      <w:r w:rsidRPr="00F26B2E">
        <w:rPr>
          <w:noProof/>
          <w:webHidden/>
        </w:rPr>
        <w:tab/>
      </w:r>
      <w:r w:rsidRPr="00F26B2E">
        <w:rPr>
          <w:noProof/>
          <w:webHidden/>
        </w:rPr>
        <w:tab/>
      </w:r>
      <w:r w:rsidR="00FD6C6B">
        <w:rPr>
          <w:noProof/>
          <w:webHidden/>
        </w:rPr>
        <w:t>29–44</w:t>
      </w:r>
      <w:r w:rsidRPr="00F26B2E">
        <w:rPr>
          <w:noProof/>
          <w:webHidden/>
        </w:rPr>
        <w:tab/>
      </w:r>
      <w:r w:rsidR="00A610EE">
        <w:rPr>
          <w:noProof/>
          <w:webHidden/>
        </w:rPr>
        <w:t>8</w:t>
      </w:r>
    </w:p>
    <w:p w14:paraId="03F0A268" w14:textId="0EB53C4C"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sidRPr="00F26B2E">
        <w:rPr>
          <w:noProof/>
        </w:rPr>
        <w:tab/>
      </w:r>
      <w:r w:rsidRPr="00F26B2E">
        <w:rPr>
          <w:rStyle w:val="Hyperlink"/>
          <w:noProof/>
          <w:color w:val="auto"/>
        </w:rPr>
        <w:t>Status of application of the Agreement</w:t>
      </w:r>
      <w:r w:rsidRPr="00F26B2E">
        <w:rPr>
          <w:noProof/>
          <w:webHidden/>
        </w:rPr>
        <w:tab/>
      </w:r>
      <w:r w:rsidRPr="00F26B2E">
        <w:rPr>
          <w:noProof/>
          <w:webHidden/>
        </w:rPr>
        <w:tab/>
      </w:r>
      <w:r w:rsidR="00946745">
        <w:rPr>
          <w:noProof/>
          <w:webHidden/>
        </w:rPr>
        <w:t>29</w:t>
      </w:r>
      <w:r w:rsidRPr="00F26B2E">
        <w:rPr>
          <w:noProof/>
          <w:webHidden/>
        </w:rPr>
        <w:tab/>
      </w:r>
      <w:r w:rsidR="00A610EE">
        <w:rPr>
          <w:noProof/>
          <w:webHidden/>
        </w:rPr>
        <w:t>8</w:t>
      </w:r>
    </w:p>
    <w:p w14:paraId="4193121A" w14:textId="49D6C5FE"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Status of amendments</w:t>
      </w:r>
      <w:r w:rsidRPr="00F26B2E">
        <w:rPr>
          <w:noProof/>
          <w:webHidden/>
        </w:rPr>
        <w:tab/>
      </w:r>
      <w:r w:rsidRPr="00F26B2E">
        <w:rPr>
          <w:noProof/>
          <w:webHidden/>
        </w:rPr>
        <w:tab/>
      </w:r>
      <w:r w:rsidR="00946745">
        <w:rPr>
          <w:noProof/>
          <w:webHidden/>
        </w:rPr>
        <w:t>30–31</w:t>
      </w:r>
      <w:r w:rsidRPr="00F26B2E">
        <w:rPr>
          <w:noProof/>
          <w:webHidden/>
        </w:rPr>
        <w:tab/>
      </w:r>
      <w:r w:rsidR="00A610EE">
        <w:rPr>
          <w:noProof/>
          <w:webHidden/>
        </w:rPr>
        <w:t>8</w:t>
      </w:r>
    </w:p>
    <w:p w14:paraId="422A35C3" w14:textId="183E4C3D"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t>C.</w:t>
      </w:r>
      <w:r w:rsidRPr="00F26B2E">
        <w:rPr>
          <w:noProof/>
        </w:rPr>
        <w:tab/>
      </w:r>
      <w:r w:rsidRPr="00F26B2E">
        <w:rPr>
          <w:rStyle w:val="Hyperlink"/>
          <w:noProof/>
          <w:color w:val="auto"/>
        </w:rPr>
        <w:t xml:space="preserve">Test stations officially designated by the competent authorities of countries Parties </w:t>
      </w:r>
      <w:r w:rsidRPr="00F26B2E">
        <w:rPr>
          <w:rStyle w:val="Hyperlink"/>
          <w:noProof/>
          <w:color w:val="auto"/>
        </w:rPr>
        <w:br/>
        <w:t>to ATP</w:t>
      </w:r>
      <w:r w:rsidRPr="00F26B2E">
        <w:rPr>
          <w:noProof/>
          <w:webHidden/>
        </w:rPr>
        <w:tab/>
      </w:r>
      <w:r w:rsidRPr="00F26B2E">
        <w:rPr>
          <w:noProof/>
          <w:webHidden/>
        </w:rPr>
        <w:tab/>
      </w:r>
      <w:r w:rsidR="00FE6227">
        <w:rPr>
          <w:noProof/>
          <w:webHidden/>
        </w:rPr>
        <w:t>32–33</w:t>
      </w:r>
      <w:r w:rsidRPr="00F26B2E">
        <w:rPr>
          <w:noProof/>
          <w:webHidden/>
        </w:rPr>
        <w:tab/>
      </w:r>
      <w:r w:rsidR="00A610EE">
        <w:rPr>
          <w:noProof/>
          <w:webHidden/>
        </w:rPr>
        <w:t>8</w:t>
      </w:r>
    </w:p>
    <w:p w14:paraId="685D4AE9" w14:textId="19896595"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t>D.</w:t>
      </w:r>
      <w:r w:rsidRPr="00F26B2E">
        <w:rPr>
          <w:noProof/>
        </w:rPr>
        <w:tab/>
      </w:r>
      <w:r w:rsidRPr="00F26B2E">
        <w:rPr>
          <w:rStyle w:val="Hyperlink"/>
          <w:noProof/>
          <w:color w:val="auto"/>
        </w:rPr>
        <w:t>Exchange of information among Parties under Article 6 of ATP</w:t>
      </w:r>
      <w:r w:rsidRPr="00F26B2E">
        <w:rPr>
          <w:noProof/>
          <w:webHidden/>
        </w:rPr>
        <w:tab/>
      </w:r>
      <w:r w:rsidRPr="00F26B2E">
        <w:rPr>
          <w:noProof/>
          <w:webHidden/>
        </w:rPr>
        <w:tab/>
      </w:r>
      <w:r>
        <w:rPr>
          <w:noProof/>
          <w:webHidden/>
        </w:rPr>
        <w:t>3</w:t>
      </w:r>
      <w:r w:rsidR="002809D5">
        <w:rPr>
          <w:noProof/>
          <w:webHidden/>
        </w:rPr>
        <w:t>4</w:t>
      </w:r>
      <w:r>
        <w:rPr>
          <w:noProof/>
          <w:webHidden/>
        </w:rPr>
        <w:t>–3</w:t>
      </w:r>
      <w:r w:rsidR="002809D5">
        <w:rPr>
          <w:noProof/>
          <w:webHidden/>
        </w:rPr>
        <w:t>6</w:t>
      </w:r>
      <w:r w:rsidRPr="00F26B2E">
        <w:rPr>
          <w:noProof/>
          <w:webHidden/>
        </w:rPr>
        <w:tab/>
      </w:r>
      <w:r w:rsidR="003A2487">
        <w:rPr>
          <w:noProof/>
          <w:webHidden/>
        </w:rPr>
        <w:t>8</w:t>
      </w:r>
    </w:p>
    <w:p w14:paraId="5E0FBB03" w14:textId="4334FCB2" w:rsidR="00AF736D" w:rsidRDefault="00AF736D" w:rsidP="00AF736D">
      <w:pPr>
        <w:tabs>
          <w:tab w:val="right" w:pos="850"/>
          <w:tab w:val="left" w:pos="1134"/>
          <w:tab w:val="left" w:pos="1559"/>
          <w:tab w:val="left" w:pos="1984"/>
          <w:tab w:val="left" w:leader="dot" w:pos="7654"/>
          <w:tab w:val="right" w:pos="8929"/>
          <w:tab w:val="right" w:pos="9638"/>
        </w:tabs>
        <w:spacing w:after="120"/>
        <w:ind w:left="1559" w:hanging="1559"/>
        <w:rPr>
          <w:noProof/>
          <w:webHidden/>
        </w:rPr>
      </w:pPr>
      <w:r w:rsidRPr="00F26B2E">
        <w:rPr>
          <w:rStyle w:val="Hyperlink"/>
          <w:noProof/>
          <w:color w:val="auto"/>
        </w:rPr>
        <w:tab/>
      </w:r>
      <w:r w:rsidRPr="00F26B2E">
        <w:rPr>
          <w:rStyle w:val="Hyperlink"/>
          <w:noProof/>
          <w:color w:val="auto"/>
        </w:rPr>
        <w:tab/>
        <w:t>E</w:t>
      </w:r>
      <w:r>
        <w:rPr>
          <w:rStyle w:val="Hyperlink"/>
          <w:noProof/>
          <w:color w:val="auto"/>
        </w:rPr>
        <w:t>.</w:t>
      </w:r>
      <w:r w:rsidRPr="00F26B2E">
        <w:rPr>
          <w:noProof/>
        </w:rPr>
        <w:tab/>
      </w:r>
      <w:r w:rsidRPr="00F26B2E">
        <w:rPr>
          <w:rStyle w:val="Hyperlink"/>
          <w:noProof/>
          <w:color w:val="auto"/>
        </w:rPr>
        <w:t>Exchange of good practices for better implementation of ATP</w:t>
      </w:r>
      <w:r w:rsidRPr="00F26B2E">
        <w:rPr>
          <w:noProof/>
          <w:webHidden/>
        </w:rPr>
        <w:tab/>
      </w:r>
      <w:r w:rsidRPr="00F26B2E">
        <w:rPr>
          <w:noProof/>
          <w:webHidden/>
        </w:rPr>
        <w:tab/>
      </w:r>
      <w:r w:rsidR="00D92FE6">
        <w:rPr>
          <w:noProof/>
          <w:webHidden/>
        </w:rPr>
        <w:t>37–40</w:t>
      </w:r>
      <w:r w:rsidRPr="00F26B2E">
        <w:rPr>
          <w:noProof/>
          <w:webHidden/>
        </w:rPr>
        <w:tab/>
      </w:r>
      <w:r w:rsidR="00A610EE">
        <w:rPr>
          <w:noProof/>
          <w:webHidden/>
        </w:rPr>
        <w:t>9</w:t>
      </w:r>
    </w:p>
    <w:p w14:paraId="127850E4" w14:textId="5D66CB7C" w:rsidR="00D16974" w:rsidRPr="00F26B2E" w:rsidRDefault="00D16974" w:rsidP="00AF736D">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webHidden/>
        </w:rPr>
        <w:tab/>
      </w:r>
      <w:r>
        <w:rPr>
          <w:noProof/>
          <w:webHidden/>
        </w:rPr>
        <w:tab/>
        <w:t>F.</w:t>
      </w:r>
      <w:r>
        <w:rPr>
          <w:noProof/>
          <w:webHidden/>
        </w:rPr>
        <w:tab/>
        <w:t>Interpretation of ATP</w:t>
      </w:r>
      <w:r w:rsidR="00901821">
        <w:rPr>
          <w:noProof/>
          <w:webHidden/>
        </w:rPr>
        <w:tab/>
      </w:r>
      <w:r w:rsidR="00901821">
        <w:rPr>
          <w:noProof/>
          <w:webHidden/>
        </w:rPr>
        <w:tab/>
        <w:t>41–44</w:t>
      </w:r>
      <w:r w:rsidR="00901821">
        <w:rPr>
          <w:noProof/>
          <w:webHidden/>
        </w:rPr>
        <w:tab/>
      </w:r>
      <w:r w:rsidR="00A610EE">
        <w:rPr>
          <w:noProof/>
          <w:webHidden/>
        </w:rPr>
        <w:t>9</w:t>
      </w:r>
    </w:p>
    <w:p w14:paraId="1C865149" w14:textId="7716D159"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w:t>
      </w:r>
      <w:r w:rsidRPr="00F26B2E">
        <w:rPr>
          <w:noProof/>
        </w:rPr>
        <w:tab/>
      </w:r>
      <w:r w:rsidRPr="00F26B2E">
        <w:rPr>
          <w:rStyle w:val="Hyperlink"/>
          <w:noProof/>
          <w:color w:val="auto"/>
        </w:rPr>
        <w:t>Proposals of amendments to ATP (agenda item 5)</w:t>
      </w:r>
      <w:r w:rsidRPr="00F26B2E">
        <w:rPr>
          <w:noProof/>
          <w:webHidden/>
        </w:rPr>
        <w:tab/>
      </w:r>
      <w:r w:rsidRPr="00F26B2E">
        <w:rPr>
          <w:noProof/>
          <w:webHidden/>
        </w:rPr>
        <w:tab/>
        <w:t>4</w:t>
      </w:r>
      <w:r w:rsidR="00F270DB">
        <w:rPr>
          <w:noProof/>
          <w:webHidden/>
        </w:rPr>
        <w:t>5</w:t>
      </w:r>
      <w:r w:rsidRPr="00F26B2E">
        <w:rPr>
          <w:noProof/>
          <w:webHidden/>
        </w:rPr>
        <w:t>–7</w:t>
      </w:r>
      <w:r w:rsidR="00F270DB">
        <w:rPr>
          <w:noProof/>
          <w:webHidden/>
        </w:rPr>
        <w:t>3</w:t>
      </w:r>
      <w:r w:rsidRPr="00F26B2E">
        <w:rPr>
          <w:noProof/>
          <w:webHidden/>
        </w:rPr>
        <w:tab/>
      </w:r>
      <w:r w:rsidR="00A610EE">
        <w:rPr>
          <w:noProof/>
          <w:webHidden/>
        </w:rPr>
        <w:t>10</w:t>
      </w:r>
    </w:p>
    <w:p w14:paraId="67E92646" w14:textId="01745A8E"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A</w:t>
      </w:r>
      <w:r>
        <w:rPr>
          <w:rStyle w:val="Hyperlink"/>
          <w:noProof/>
          <w:color w:val="auto"/>
        </w:rPr>
        <w:t>.</w:t>
      </w:r>
      <w:r w:rsidRPr="00F26B2E">
        <w:rPr>
          <w:noProof/>
        </w:rPr>
        <w:tab/>
      </w:r>
      <w:r w:rsidRPr="00F26B2E">
        <w:rPr>
          <w:rStyle w:val="Hyperlink"/>
          <w:noProof/>
          <w:color w:val="auto"/>
        </w:rPr>
        <w:t>Pending proposals</w:t>
      </w:r>
      <w:r w:rsidRPr="00F26B2E">
        <w:rPr>
          <w:noProof/>
          <w:webHidden/>
        </w:rPr>
        <w:tab/>
      </w:r>
      <w:r w:rsidRPr="00F26B2E">
        <w:rPr>
          <w:noProof/>
          <w:webHidden/>
        </w:rPr>
        <w:tab/>
      </w:r>
      <w:r w:rsidR="000133EB">
        <w:rPr>
          <w:noProof/>
          <w:webHidden/>
        </w:rPr>
        <w:t>45</w:t>
      </w:r>
      <w:r w:rsidRPr="00F26B2E">
        <w:rPr>
          <w:noProof/>
          <w:webHidden/>
        </w:rPr>
        <w:t>–</w:t>
      </w:r>
      <w:r w:rsidR="000133EB">
        <w:rPr>
          <w:noProof/>
          <w:webHidden/>
        </w:rPr>
        <w:t>53</w:t>
      </w:r>
      <w:r w:rsidRPr="00F26B2E">
        <w:rPr>
          <w:noProof/>
          <w:webHidden/>
        </w:rPr>
        <w:tab/>
        <w:t>1</w:t>
      </w:r>
      <w:r w:rsidR="00A610EE">
        <w:rPr>
          <w:noProof/>
          <w:webHidden/>
        </w:rPr>
        <w:t>0</w:t>
      </w:r>
    </w:p>
    <w:p w14:paraId="766E3394" w14:textId="6A1AF3AB"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noProof/>
        </w:rPr>
        <w:tab/>
      </w:r>
      <w:hyperlink r:id="rId12" w:history="1">
        <w:r w:rsidRPr="00893906">
          <w:t>Propo</w:t>
        </w:r>
        <w:r>
          <w:t>sal</w:t>
        </w:r>
        <w:r w:rsidRPr="00893906">
          <w:t xml:space="preserve"> of amendments to paragraph 7.3.7 of </w:t>
        </w:r>
        <w:r w:rsidR="00020638">
          <w:t>a</w:t>
        </w:r>
        <w:r w:rsidRPr="00893906">
          <w:t xml:space="preserve">ppendix 2 of </w:t>
        </w:r>
        <w:r w:rsidR="00020638">
          <w:t>a</w:t>
        </w:r>
        <w:r w:rsidRPr="00893906">
          <w:t>nnex 1</w:t>
        </w:r>
      </w:hyperlink>
      <w:r w:rsidRPr="00F26B2E">
        <w:rPr>
          <w:noProof/>
          <w:webHidden/>
        </w:rPr>
        <w:tab/>
      </w:r>
      <w:r w:rsidRPr="00F26B2E">
        <w:rPr>
          <w:noProof/>
          <w:webHidden/>
        </w:rPr>
        <w:tab/>
        <w:t>4</w:t>
      </w:r>
      <w:r w:rsidR="00020638">
        <w:rPr>
          <w:noProof/>
          <w:webHidden/>
        </w:rPr>
        <w:t>5</w:t>
      </w:r>
      <w:r w:rsidRPr="00F26B2E">
        <w:rPr>
          <w:noProof/>
          <w:webHidden/>
        </w:rPr>
        <w:t>–4</w:t>
      </w:r>
      <w:r w:rsidR="00020638">
        <w:rPr>
          <w:noProof/>
          <w:webHidden/>
        </w:rPr>
        <w:t>7</w:t>
      </w:r>
      <w:r w:rsidRPr="00F26B2E">
        <w:rPr>
          <w:noProof/>
          <w:webHidden/>
        </w:rPr>
        <w:tab/>
        <w:t>1</w:t>
      </w:r>
      <w:r w:rsidR="00A610EE">
        <w:rPr>
          <w:noProof/>
          <w:webHidden/>
        </w:rPr>
        <w:t>0</w:t>
      </w:r>
    </w:p>
    <w:p w14:paraId="7CBDA109" w14:textId="2167EF18"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noProof/>
        </w:rPr>
        <w:tab/>
      </w:r>
      <w:r w:rsidR="001061F3">
        <w:t>Definition of independence of equipment</w:t>
      </w:r>
      <w:r w:rsidRPr="00F26B2E">
        <w:rPr>
          <w:noProof/>
          <w:webHidden/>
        </w:rPr>
        <w:tab/>
      </w:r>
      <w:r>
        <w:rPr>
          <w:noProof/>
          <w:webHidden/>
        </w:rPr>
        <w:tab/>
      </w:r>
      <w:r w:rsidRPr="00F26B2E">
        <w:rPr>
          <w:noProof/>
          <w:webHidden/>
        </w:rPr>
        <w:t>4</w:t>
      </w:r>
      <w:r w:rsidR="001061F3">
        <w:rPr>
          <w:noProof/>
          <w:webHidden/>
        </w:rPr>
        <w:t>8</w:t>
      </w:r>
      <w:r w:rsidRPr="00F26B2E">
        <w:rPr>
          <w:noProof/>
          <w:webHidden/>
        </w:rPr>
        <w:tab/>
        <w:t>1</w:t>
      </w:r>
      <w:r w:rsidR="00A610EE">
        <w:rPr>
          <w:noProof/>
          <w:webHidden/>
        </w:rPr>
        <w:t>0</w:t>
      </w:r>
    </w:p>
    <w:p w14:paraId="11D7C23F" w14:textId="7AE98498"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noProof/>
        </w:rPr>
        <w:tab/>
      </w:r>
      <w:r w:rsidR="00AA2728" w:rsidRPr="001C7781">
        <w:t>Classification of equipment powered by an electrical energy source</w:t>
      </w:r>
      <w:r w:rsidRPr="00F26B2E">
        <w:rPr>
          <w:noProof/>
          <w:webHidden/>
        </w:rPr>
        <w:tab/>
      </w:r>
      <w:r w:rsidRPr="00F26B2E">
        <w:rPr>
          <w:noProof/>
          <w:webHidden/>
        </w:rPr>
        <w:tab/>
        <w:t>4</w:t>
      </w:r>
      <w:r w:rsidR="00AA2728">
        <w:rPr>
          <w:noProof/>
          <w:webHidden/>
        </w:rPr>
        <w:t>9</w:t>
      </w:r>
      <w:r w:rsidRPr="00F26B2E">
        <w:rPr>
          <w:noProof/>
          <w:webHidden/>
        </w:rPr>
        <w:t>–</w:t>
      </w:r>
      <w:r w:rsidR="00AA2728">
        <w:rPr>
          <w:noProof/>
          <w:webHidden/>
        </w:rPr>
        <w:t>50</w:t>
      </w:r>
      <w:r w:rsidRPr="00F26B2E">
        <w:rPr>
          <w:noProof/>
          <w:webHidden/>
        </w:rPr>
        <w:tab/>
        <w:t>1</w:t>
      </w:r>
      <w:r w:rsidR="00A610EE">
        <w:rPr>
          <w:noProof/>
          <w:webHidden/>
        </w:rPr>
        <w:t>0</w:t>
      </w:r>
    </w:p>
    <w:p w14:paraId="1D4394A0" w14:textId="4D881CAF"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4.</w:t>
      </w:r>
      <w:r w:rsidRPr="00F26B2E">
        <w:rPr>
          <w:noProof/>
        </w:rPr>
        <w:tab/>
      </w:r>
      <w:r w:rsidR="001B3352" w:rsidRPr="001B3352">
        <w:rPr>
          <w:noProof/>
        </w:rPr>
        <w:t>Results of the meeting of the IIR sub-commission on refrigerated transport</w:t>
      </w:r>
      <w:r w:rsidR="001B3352">
        <w:rPr>
          <w:noProof/>
        </w:rPr>
        <w:br/>
      </w:r>
      <w:r w:rsidR="001B3352" w:rsidRPr="001B3352">
        <w:rPr>
          <w:noProof/>
        </w:rPr>
        <w:t>(pending questions)</w:t>
      </w:r>
      <w:r w:rsidRPr="00F26B2E">
        <w:rPr>
          <w:noProof/>
          <w:webHidden/>
        </w:rPr>
        <w:tab/>
      </w:r>
      <w:r w:rsidR="001B3352">
        <w:rPr>
          <w:noProof/>
          <w:webHidden/>
        </w:rPr>
        <w:tab/>
        <w:t>51</w:t>
      </w:r>
      <w:r>
        <w:rPr>
          <w:noProof/>
          <w:webHidden/>
        </w:rPr>
        <w:t>–5</w:t>
      </w:r>
      <w:r w:rsidR="001B3352">
        <w:rPr>
          <w:noProof/>
          <w:webHidden/>
        </w:rPr>
        <w:t>3</w:t>
      </w:r>
      <w:r w:rsidRPr="00F26B2E">
        <w:rPr>
          <w:noProof/>
          <w:webHidden/>
        </w:rPr>
        <w:tab/>
        <w:t>1</w:t>
      </w:r>
      <w:r w:rsidR="00A610EE">
        <w:rPr>
          <w:noProof/>
          <w:webHidden/>
        </w:rPr>
        <w:t>0</w:t>
      </w:r>
    </w:p>
    <w:p w14:paraId="05C93B01" w14:textId="7615A3A1"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t>B</w:t>
      </w:r>
      <w:r w:rsidRPr="00F26B2E">
        <w:rPr>
          <w:noProof/>
        </w:rPr>
        <w:tab/>
      </w:r>
      <w:r w:rsidRPr="00F26B2E">
        <w:rPr>
          <w:rStyle w:val="Hyperlink"/>
          <w:noProof/>
          <w:color w:val="auto"/>
        </w:rPr>
        <w:t>New proposals</w:t>
      </w:r>
      <w:r w:rsidRPr="00F26B2E">
        <w:rPr>
          <w:noProof/>
          <w:webHidden/>
        </w:rPr>
        <w:tab/>
      </w:r>
      <w:r w:rsidRPr="00F26B2E">
        <w:rPr>
          <w:noProof/>
          <w:webHidden/>
        </w:rPr>
        <w:tab/>
      </w:r>
      <w:r w:rsidR="00940DE4">
        <w:rPr>
          <w:noProof/>
          <w:webHidden/>
        </w:rPr>
        <w:t>54</w:t>
      </w:r>
      <w:r w:rsidRPr="00F26B2E">
        <w:rPr>
          <w:noProof/>
          <w:webHidden/>
        </w:rPr>
        <w:t>–</w:t>
      </w:r>
      <w:r w:rsidR="00940DE4">
        <w:rPr>
          <w:noProof/>
          <w:webHidden/>
        </w:rPr>
        <w:t>73</w:t>
      </w:r>
      <w:r w:rsidRPr="00F26B2E">
        <w:rPr>
          <w:noProof/>
          <w:webHidden/>
        </w:rPr>
        <w:tab/>
        <w:t>1</w:t>
      </w:r>
      <w:r w:rsidR="00A610EE">
        <w:rPr>
          <w:noProof/>
          <w:webHidden/>
        </w:rPr>
        <w:t>1</w:t>
      </w:r>
    </w:p>
    <w:p w14:paraId="13E93B5B" w14:textId="7875AAE3"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1.</w:t>
      </w:r>
      <w:r w:rsidRPr="00F26B2E">
        <w:rPr>
          <w:noProof/>
        </w:rPr>
        <w:tab/>
      </w:r>
      <w:r w:rsidR="00DA11E9" w:rsidRPr="001C7781">
        <w:t>Amendment to paragraph 6.2.2</w:t>
      </w:r>
      <w:r w:rsidRPr="00F26B2E">
        <w:rPr>
          <w:noProof/>
          <w:webHidden/>
        </w:rPr>
        <w:tab/>
      </w:r>
      <w:r w:rsidRPr="00F26B2E">
        <w:rPr>
          <w:noProof/>
          <w:webHidden/>
        </w:rPr>
        <w:tab/>
      </w:r>
      <w:r w:rsidR="00DA11E9">
        <w:rPr>
          <w:noProof/>
          <w:webHidden/>
        </w:rPr>
        <w:t>54–55</w:t>
      </w:r>
      <w:r w:rsidRPr="00F26B2E">
        <w:rPr>
          <w:noProof/>
          <w:webHidden/>
        </w:rPr>
        <w:tab/>
        <w:t>1</w:t>
      </w:r>
      <w:r w:rsidR="00A610EE">
        <w:rPr>
          <w:noProof/>
          <w:webHidden/>
        </w:rPr>
        <w:t>1</w:t>
      </w:r>
    </w:p>
    <w:p w14:paraId="7596C90E" w14:textId="4629AAE3"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t>2.</w:t>
      </w:r>
      <w:r w:rsidRPr="00F26B2E">
        <w:rPr>
          <w:noProof/>
        </w:rPr>
        <w:tab/>
      </w:r>
      <w:r w:rsidR="00C61BC2" w:rsidRPr="001C7781">
        <w:t>Proposed list of major components and key characteristics</w:t>
      </w:r>
      <w:r w:rsidRPr="00F26B2E">
        <w:rPr>
          <w:noProof/>
          <w:webHidden/>
        </w:rPr>
        <w:tab/>
      </w:r>
      <w:r>
        <w:rPr>
          <w:noProof/>
          <w:webHidden/>
        </w:rPr>
        <w:tab/>
      </w:r>
      <w:r w:rsidR="00C61BC2">
        <w:rPr>
          <w:noProof/>
          <w:webHidden/>
        </w:rPr>
        <w:t>56</w:t>
      </w:r>
      <w:r w:rsidRPr="00F26B2E">
        <w:rPr>
          <w:noProof/>
          <w:webHidden/>
        </w:rPr>
        <w:tab/>
        <w:t>1</w:t>
      </w:r>
      <w:r w:rsidR="00A610EE">
        <w:rPr>
          <w:noProof/>
          <w:webHidden/>
        </w:rPr>
        <w:t>1</w:t>
      </w:r>
    </w:p>
    <w:p w14:paraId="34AC045D" w14:textId="3AA3D526" w:rsidR="00AF736D" w:rsidRDefault="00AF736D" w:rsidP="00AF736D">
      <w:pPr>
        <w:tabs>
          <w:tab w:val="right" w:pos="850"/>
          <w:tab w:val="left" w:pos="1134"/>
          <w:tab w:val="left" w:pos="1559"/>
          <w:tab w:val="left" w:pos="1984"/>
          <w:tab w:val="left" w:leader="dot" w:pos="7654"/>
          <w:tab w:val="right" w:pos="8929"/>
          <w:tab w:val="right" w:pos="9638"/>
        </w:tabs>
        <w:spacing w:after="120"/>
        <w:ind w:left="1980" w:hanging="1980"/>
        <w:rPr>
          <w:noProof/>
          <w:webHidden/>
        </w:rPr>
      </w:pPr>
      <w:r w:rsidRPr="00F26B2E">
        <w:rPr>
          <w:rStyle w:val="Hyperlink"/>
          <w:noProof/>
          <w:color w:val="auto"/>
        </w:rPr>
        <w:tab/>
      </w:r>
      <w:r w:rsidRPr="00F26B2E">
        <w:rPr>
          <w:rStyle w:val="Hyperlink"/>
          <w:noProof/>
          <w:color w:val="auto"/>
        </w:rPr>
        <w:tab/>
      </w:r>
      <w:r w:rsidRPr="00F26B2E">
        <w:rPr>
          <w:rStyle w:val="Hyperlink"/>
          <w:noProof/>
          <w:color w:val="auto"/>
        </w:rPr>
        <w:tab/>
        <w:t>3.</w:t>
      </w:r>
      <w:r w:rsidRPr="00F26B2E">
        <w:rPr>
          <w:noProof/>
        </w:rPr>
        <w:tab/>
      </w:r>
      <w:r w:rsidRPr="00F26B2E">
        <w:rPr>
          <w:noProof/>
          <w:webHidden/>
        </w:rPr>
        <w:tab/>
      </w:r>
      <w:r w:rsidR="009F733C">
        <w:t>Requirements for fitting mechanically refrigerated units on equipment</w:t>
      </w:r>
      <w:r>
        <w:rPr>
          <w:noProof/>
        </w:rPr>
        <w:tab/>
      </w:r>
      <w:r>
        <w:rPr>
          <w:noProof/>
        </w:rPr>
        <w:tab/>
      </w:r>
      <w:r w:rsidR="009F733C">
        <w:rPr>
          <w:noProof/>
        </w:rPr>
        <w:t>57–58</w:t>
      </w:r>
      <w:r w:rsidRPr="00F26B2E">
        <w:rPr>
          <w:noProof/>
          <w:webHidden/>
        </w:rPr>
        <w:tab/>
        <w:t>1</w:t>
      </w:r>
      <w:r w:rsidR="00A610EE">
        <w:rPr>
          <w:noProof/>
          <w:webHidden/>
        </w:rPr>
        <w:t>1</w:t>
      </w:r>
    </w:p>
    <w:p w14:paraId="38B90167" w14:textId="7ADBF3D9" w:rsidR="008C2D63" w:rsidRDefault="008C2D63" w:rsidP="00AF736D">
      <w:pPr>
        <w:tabs>
          <w:tab w:val="right" w:pos="850"/>
          <w:tab w:val="left" w:pos="1134"/>
          <w:tab w:val="left" w:pos="1559"/>
          <w:tab w:val="left" w:pos="1984"/>
          <w:tab w:val="left" w:leader="dot" w:pos="7654"/>
          <w:tab w:val="right" w:pos="8929"/>
          <w:tab w:val="right" w:pos="9638"/>
        </w:tabs>
        <w:spacing w:after="120"/>
        <w:ind w:left="1980" w:hanging="1980"/>
      </w:pPr>
      <w:r>
        <w:rPr>
          <w:noProof/>
          <w:webHidden/>
        </w:rPr>
        <w:lastRenderedPageBreak/>
        <w:tab/>
      </w:r>
      <w:r>
        <w:rPr>
          <w:noProof/>
          <w:webHidden/>
        </w:rPr>
        <w:tab/>
      </w:r>
      <w:r>
        <w:rPr>
          <w:noProof/>
          <w:webHidden/>
        </w:rPr>
        <w:tab/>
        <w:t>4.</w:t>
      </w:r>
      <w:r>
        <w:rPr>
          <w:noProof/>
          <w:webHidden/>
        </w:rPr>
        <w:tab/>
      </w:r>
      <w:r w:rsidR="0019414A">
        <w:t>Periodic verification of temperature recorders</w:t>
      </w:r>
      <w:r w:rsidR="0019414A">
        <w:tab/>
      </w:r>
      <w:r w:rsidR="0019414A">
        <w:tab/>
        <w:t>59</w:t>
      </w:r>
      <w:r w:rsidR="0019414A">
        <w:tab/>
        <w:t>1</w:t>
      </w:r>
      <w:r w:rsidR="00A610EE">
        <w:t>1</w:t>
      </w:r>
    </w:p>
    <w:p w14:paraId="37A7230E" w14:textId="72F2EB40" w:rsidR="0019414A" w:rsidRDefault="0019414A" w:rsidP="00AF736D">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r>
      <w:r w:rsidR="00273E7E">
        <w:t>Mechanically refrigerated appliances driven by vehicle motion</w:t>
      </w:r>
      <w:r w:rsidR="00273E7E">
        <w:tab/>
      </w:r>
      <w:r w:rsidR="00273E7E">
        <w:tab/>
        <w:t>60–61</w:t>
      </w:r>
      <w:r w:rsidR="00273E7E">
        <w:tab/>
      </w:r>
      <w:r w:rsidR="00CD0FEF">
        <w:t>1</w:t>
      </w:r>
      <w:r w:rsidR="00A610EE">
        <w:t>1</w:t>
      </w:r>
    </w:p>
    <w:p w14:paraId="4B1A891A" w14:textId="711423C2" w:rsidR="00CD0FEF" w:rsidRDefault="00CD0FEF" w:rsidP="00AF736D">
      <w:pPr>
        <w:tabs>
          <w:tab w:val="right" w:pos="850"/>
          <w:tab w:val="left" w:pos="1134"/>
          <w:tab w:val="left" w:pos="1559"/>
          <w:tab w:val="left" w:pos="1984"/>
          <w:tab w:val="left" w:leader="dot" w:pos="7654"/>
          <w:tab w:val="right" w:pos="8929"/>
          <w:tab w:val="right" w:pos="9638"/>
        </w:tabs>
        <w:spacing w:after="120"/>
        <w:ind w:left="1980" w:hanging="1980"/>
      </w:pPr>
      <w:r>
        <w:tab/>
      </w:r>
      <w:r>
        <w:tab/>
      </w:r>
      <w:r>
        <w:tab/>
        <w:t>6.</w:t>
      </w:r>
      <w:r>
        <w:tab/>
      </w:r>
      <w:r w:rsidR="008369E8" w:rsidRPr="003213BB">
        <w:rPr>
          <w:lang w:val="en-US"/>
        </w:rPr>
        <w:t xml:space="preserve">Amendment </w:t>
      </w:r>
      <w:r w:rsidR="008369E8">
        <w:rPr>
          <w:lang w:val="en-US"/>
        </w:rPr>
        <w:t>t</w:t>
      </w:r>
      <w:r w:rsidR="008369E8" w:rsidRPr="003213BB">
        <w:rPr>
          <w:lang w:val="en-US"/>
        </w:rPr>
        <w:t xml:space="preserve">o </w:t>
      </w:r>
      <w:r w:rsidR="008369E8">
        <w:rPr>
          <w:lang w:val="en-US"/>
        </w:rPr>
        <w:t xml:space="preserve">annex 1, </w:t>
      </w:r>
      <w:r w:rsidR="008369E8">
        <w:t>paragraph 1 and to annex 1, appendix 4</w:t>
      </w:r>
      <w:r w:rsidR="008369E8">
        <w:tab/>
      </w:r>
      <w:r w:rsidR="008369E8">
        <w:tab/>
        <w:t>62–63</w:t>
      </w:r>
      <w:r w:rsidR="008369E8">
        <w:tab/>
      </w:r>
      <w:r w:rsidR="004C4EE5">
        <w:t>1</w:t>
      </w:r>
      <w:r w:rsidR="00A610EE">
        <w:t>2</w:t>
      </w:r>
    </w:p>
    <w:p w14:paraId="4FD2CC8F" w14:textId="5D70BC39" w:rsidR="004C4EE5" w:rsidRDefault="004C4EE5" w:rsidP="00AF736D">
      <w:pPr>
        <w:tabs>
          <w:tab w:val="right" w:pos="850"/>
          <w:tab w:val="left" w:pos="1134"/>
          <w:tab w:val="left" w:pos="1559"/>
          <w:tab w:val="left" w:pos="1984"/>
          <w:tab w:val="left" w:leader="dot" w:pos="7654"/>
          <w:tab w:val="right" w:pos="8929"/>
          <w:tab w:val="right" w:pos="9638"/>
        </w:tabs>
        <w:spacing w:after="120"/>
        <w:ind w:left="1980" w:hanging="1980"/>
      </w:pPr>
      <w:r>
        <w:tab/>
      </w:r>
      <w:r>
        <w:tab/>
      </w:r>
      <w:r>
        <w:tab/>
        <w:t>7.</w:t>
      </w:r>
      <w:r>
        <w:tab/>
      </w:r>
      <w:r w:rsidR="00D014FF" w:rsidRPr="001C7781">
        <w:t>Proposal of amendments</w:t>
      </w:r>
      <w:r w:rsidR="00D014FF">
        <w:tab/>
      </w:r>
      <w:r w:rsidR="00D014FF">
        <w:tab/>
        <w:t>64</w:t>
      </w:r>
      <w:r w:rsidR="00D014FF">
        <w:tab/>
        <w:t>1</w:t>
      </w:r>
      <w:r w:rsidR="00A610EE">
        <w:t>2</w:t>
      </w:r>
    </w:p>
    <w:p w14:paraId="03FCFAD6" w14:textId="12B2412F" w:rsidR="00D014FF" w:rsidRDefault="00D014FF" w:rsidP="00AF736D">
      <w:pPr>
        <w:tabs>
          <w:tab w:val="right" w:pos="850"/>
          <w:tab w:val="left" w:pos="1134"/>
          <w:tab w:val="left" w:pos="1559"/>
          <w:tab w:val="left" w:pos="1984"/>
          <w:tab w:val="left" w:leader="dot" w:pos="7654"/>
          <w:tab w:val="right" w:pos="8929"/>
          <w:tab w:val="right" w:pos="9638"/>
        </w:tabs>
        <w:spacing w:after="120"/>
        <w:ind w:left="1980" w:hanging="1980"/>
      </w:pPr>
      <w:r>
        <w:tab/>
      </w:r>
      <w:r>
        <w:tab/>
      </w:r>
      <w:r>
        <w:tab/>
        <w:t>8.</w:t>
      </w:r>
      <w:r>
        <w:tab/>
      </w:r>
      <w:r w:rsidR="003532DD">
        <w:t>Correction to annex 1, appendix 1, article 3 for the English and Russian</w:t>
      </w:r>
      <w:r w:rsidR="003532DD">
        <w:br/>
        <w:t>language versions of the ATP</w:t>
      </w:r>
      <w:r w:rsidR="003532DD">
        <w:tab/>
      </w:r>
      <w:r w:rsidR="003532DD">
        <w:tab/>
        <w:t>65</w:t>
      </w:r>
      <w:r w:rsidR="003532DD">
        <w:tab/>
      </w:r>
      <w:r w:rsidR="004161D5">
        <w:t>1</w:t>
      </w:r>
      <w:r w:rsidR="00A610EE">
        <w:t>2</w:t>
      </w:r>
    </w:p>
    <w:p w14:paraId="5A4583F8" w14:textId="4B16AE5E" w:rsidR="004161D5" w:rsidRDefault="004161D5" w:rsidP="00AF736D">
      <w:pPr>
        <w:tabs>
          <w:tab w:val="right" w:pos="850"/>
          <w:tab w:val="left" w:pos="1134"/>
          <w:tab w:val="left" w:pos="1559"/>
          <w:tab w:val="left" w:pos="1984"/>
          <w:tab w:val="left" w:leader="dot" w:pos="7654"/>
          <w:tab w:val="right" w:pos="8929"/>
          <w:tab w:val="right" w:pos="9638"/>
        </w:tabs>
        <w:spacing w:after="120"/>
        <w:ind w:left="1980" w:hanging="1980"/>
      </w:pPr>
      <w:r>
        <w:tab/>
      </w:r>
      <w:r>
        <w:tab/>
      </w:r>
      <w:r>
        <w:tab/>
        <w:t>9.</w:t>
      </w:r>
      <w:r>
        <w:tab/>
      </w:r>
      <w:r w:rsidR="00F12AC3" w:rsidRPr="00F12AC3">
        <w:t>Proposal to amend in-service testing of heated and mechanically refrigerated and</w:t>
      </w:r>
      <w:r w:rsidR="00F362F3">
        <w:br/>
      </w:r>
      <w:r w:rsidR="00F12AC3" w:rsidRPr="00F12AC3">
        <w:t>heated equipment, annex 1, appendix 2, paragraphs 6.3 and 6.4 (ii) of the ATP</w:t>
      </w:r>
      <w:r w:rsidR="00712E64">
        <w:tab/>
        <w:t>66</w:t>
      </w:r>
      <w:r w:rsidR="00712E64">
        <w:tab/>
        <w:t>1</w:t>
      </w:r>
      <w:r w:rsidR="00A610EE">
        <w:t>2</w:t>
      </w:r>
    </w:p>
    <w:p w14:paraId="3CE0C964" w14:textId="439C1020" w:rsidR="00712E64" w:rsidRDefault="00712E64" w:rsidP="00AF736D">
      <w:pPr>
        <w:tabs>
          <w:tab w:val="right" w:pos="850"/>
          <w:tab w:val="left" w:pos="1134"/>
          <w:tab w:val="left" w:pos="1559"/>
          <w:tab w:val="left" w:pos="1984"/>
          <w:tab w:val="left" w:leader="dot" w:pos="7654"/>
          <w:tab w:val="right" w:pos="8929"/>
          <w:tab w:val="right" w:pos="9638"/>
        </w:tabs>
        <w:spacing w:after="120"/>
        <w:ind w:left="1980" w:hanging="1980"/>
        <w:rPr>
          <w:szCs w:val="24"/>
        </w:rPr>
      </w:pPr>
      <w:r>
        <w:tab/>
      </w:r>
      <w:r>
        <w:tab/>
      </w:r>
      <w:r>
        <w:tab/>
        <w:t>10.</w:t>
      </w:r>
      <w:r>
        <w:tab/>
      </w:r>
      <w:r w:rsidR="007F763E" w:rsidRPr="003213BB">
        <w:rPr>
          <w:lang w:val="en-US"/>
        </w:rPr>
        <w:t xml:space="preserve">Amendment </w:t>
      </w:r>
      <w:r w:rsidR="007F763E">
        <w:rPr>
          <w:lang w:val="en-US"/>
        </w:rPr>
        <w:t>t</w:t>
      </w:r>
      <w:r w:rsidR="007F763E" w:rsidRPr="003213BB">
        <w:rPr>
          <w:lang w:val="en-US"/>
        </w:rPr>
        <w:t xml:space="preserve">o </w:t>
      </w:r>
      <w:r w:rsidR="007F763E">
        <w:rPr>
          <w:lang w:val="en-US"/>
        </w:rPr>
        <w:t xml:space="preserve">annex 1, appendix 1, </w:t>
      </w:r>
      <w:r w:rsidR="007F763E">
        <w:rPr>
          <w:szCs w:val="24"/>
        </w:rPr>
        <w:t>p</w:t>
      </w:r>
      <w:r w:rsidR="007F763E" w:rsidRPr="000D2ADE">
        <w:rPr>
          <w:szCs w:val="24"/>
        </w:rPr>
        <w:t>aragraph 6 (c) (iii) (b)</w:t>
      </w:r>
      <w:r w:rsidR="007F763E">
        <w:rPr>
          <w:szCs w:val="24"/>
        </w:rPr>
        <w:tab/>
      </w:r>
      <w:r w:rsidR="007F763E">
        <w:rPr>
          <w:szCs w:val="24"/>
        </w:rPr>
        <w:tab/>
      </w:r>
      <w:r w:rsidR="00F362F3">
        <w:rPr>
          <w:szCs w:val="24"/>
        </w:rPr>
        <w:t>67–69</w:t>
      </w:r>
      <w:r w:rsidR="00F362F3">
        <w:rPr>
          <w:szCs w:val="24"/>
        </w:rPr>
        <w:tab/>
        <w:t>1</w:t>
      </w:r>
      <w:r w:rsidR="00A610EE">
        <w:rPr>
          <w:szCs w:val="24"/>
        </w:rPr>
        <w:t>2</w:t>
      </w:r>
    </w:p>
    <w:p w14:paraId="3BC1C863" w14:textId="209D1B45" w:rsidR="00B4654A" w:rsidRDefault="00B4654A" w:rsidP="00AF736D">
      <w:pPr>
        <w:tabs>
          <w:tab w:val="right" w:pos="850"/>
          <w:tab w:val="left" w:pos="1134"/>
          <w:tab w:val="left" w:pos="1559"/>
          <w:tab w:val="left" w:pos="1984"/>
          <w:tab w:val="left" w:leader="dot" w:pos="7654"/>
          <w:tab w:val="right" w:pos="8929"/>
          <w:tab w:val="right" w:pos="9638"/>
        </w:tabs>
        <w:spacing w:after="120"/>
        <w:ind w:left="1980" w:hanging="1980"/>
        <w:rPr>
          <w:szCs w:val="24"/>
        </w:rPr>
      </w:pPr>
      <w:r>
        <w:rPr>
          <w:szCs w:val="24"/>
        </w:rPr>
        <w:tab/>
      </w:r>
      <w:r>
        <w:rPr>
          <w:szCs w:val="24"/>
        </w:rPr>
        <w:tab/>
      </w:r>
      <w:r>
        <w:rPr>
          <w:szCs w:val="24"/>
        </w:rPr>
        <w:tab/>
        <w:t>11.</w:t>
      </w:r>
      <w:r>
        <w:rPr>
          <w:szCs w:val="24"/>
        </w:rPr>
        <w:tab/>
      </w:r>
      <w:r w:rsidR="00182C53" w:rsidRPr="00182C53">
        <w:rPr>
          <w:szCs w:val="24"/>
        </w:rPr>
        <w:t>Proposed editorial changes received by the secretariat from the governments of</w:t>
      </w:r>
      <w:r w:rsidR="00182C53">
        <w:rPr>
          <w:szCs w:val="24"/>
        </w:rPr>
        <w:br/>
      </w:r>
      <w:r w:rsidR="00182C53" w:rsidRPr="00182C53">
        <w:rPr>
          <w:szCs w:val="24"/>
        </w:rPr>
        <w:t>Germany and Spain</w:t>
      </w:r>
      <w:r w:rsidR="00182C53">
        <w:rPr>
          <w:szCs w:val="24"/>
        </w:rPr>
        <w:tab/>
      </w:r>
      <w:r w:rsidR="00182C53">
        <w:rPr>
          <w:szCs w:val="24"/>
        </w:rPr>
        <w:tab/>
      </w:r>
      <w:r w:rsidR="00824A66">
        <w:rPr>
          <w:szCs w:val="24"/>
        </w:rPr>
        <w:t>70</w:t>
      </w:r>
      <w:r w:rsidR="00824A66">
        <w:rPr>
          <w:szCs w:val="24"/>
        </w:rPr>
        <w:tab/>
        <w:t>1</w:t>
      </w:r>
      <w:r w:rsidR="00A610EE">
        <w:rPr>
          <w:szCs w:val="24"/>
        </w:rPr>
        <w:t>2</w:t>
      </w:r>
    </w:p>
    <w:p w14:paraId="40593220" w14:textId="02DCFDBD" w:rsidR="00824A66" w:rsidRPr="00F26B2E" w:rsidRDefault="00824A66" w:rsidP="00AF736D">
      <w:pPr>
        <w:tabs>
          <w:tab w:val="right" w:pos="850"/>
          <w:tab w:val="left" w:pos="1134"/>
          <w:tab w:val="left" w:pos="1559"/>
          <w:tab w:val="left" w:pos="1984"/>
          <w:tab w:val="left" w:leader="dot" w:pos="7654"/>
          <w:tab w:val="right" w:pos="8929"/>
          <w:tab w:val="right" w:pos="9638"/>
        </w:tabs>
        <w:spacing w:after="120"/>
        <w:ind w:left="1980" w:hanging="1980"/>
        <w:rPr>
          <w:noProof/>
        </w:rPr>
      </w:pPr>
      <w:r>
        <w:rPr>
          <w:szCs w:val="24"/>
        </w:rPr>
        <w:tab/>
      </w:r>
      <w:r>
        <w:rPr>
          <w:szCs w:val="24"/>
        </w:rPr>
        <w:tab/>
      </w:r>
      <w:r>
        <w:rPr>
          <w:szCs w:val="24"/>
        </w:rPr>
        <w:tab/>
        <w:t>12.</w:t>
      </w:r>
      <w:r>
        <w:rPr>
          <w:szCs w:val="24"/>
        </w:rPr>
        <w:tab/>
      </w:r>
      <w:r w:rsidR="001A6073" w:rsidRPr="00692D11">
        <w:t>Guidance document on electrically driven equipment</w:t>
      </w:r>
      <w:r w:rsidR="001A6073">
        <w:tab/>
      </w:r>
      <w:r w:rsidR="001A6073">
        <w:tab/>
        <w:t>71–73</w:t>
      </w:r>
      <w:r w:rsidR="001A6073">
        <w:tab/>
      </w:r>
      <w:r w:rsidR="00826489">
        <w:t>1</w:t>
      </w:r>
      <w:r w:rsidR="00327A4E">
        <w:t>3</w:t>
      </w:r>
    </w:p>
    <w:p w14:paraId="46303B60" w14:textId="10ABC6AB"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VII.</w:t>
      </w:r>
      <w:r w:rsidRPr="00F26B2E">
        <w:rPr>
          <w:noProof/>
        </w:rPr>
        <w:tab/>
      </w:r>
      <w:r w:rsidRPr="00F26B2E">
        <w:rPr>
          <w:rStyle w:val="Hyperlink"/>
          <w:noProof/>
          <w:color w:val="auto"/>
        </w:rPr>
        <w:t>ATP Handbook (agenda item 6)</w:t>
      </w:r>
      <w:r w:rsidRPr="00F26B2E">
        <w:rPr>
          <w:noProof/>
          <w:webHidden/>
        </w:rPr>
        <w:tab/>
      </w:r>
      <w:r w:rsidRPr="00F26B2E">
        <w:rPr>
          <w:noProof/>
          <w:webHidden/>
        </w:rPr>
        <w:tab/>
      </w:r>
      <w:r w:rsidR="00826489">
        <w:rPr>
          <w:noProof/>
          <w:webHidden/>
        </w:rPr>
        <w:t>74</w:t>
      </w:r>
      <w:r>
        <w:rPr>
          <w:noProof/>
          <w:webHidden/>
        </w:rPr>
        <w:t>–</w:t>
      </w:r>
      <w:r w:rsidR="00826489">
        <w:rPr>
          <w:noProof/>
          <w:webHidden/>
        </w:rPr>
        <w:t>75</w:t>
      </w:r>
      <w:r w:rsidRPr="00F26B2E">
        <w:rPr>
          <w:noProof/>
          <w:webHidden/>
        </w:rPr>
        <w:tab/>
        <w:t>1</w:t>
      </w:r>
      <w:r w:rsidR="00327A4E">
        <w:rPr>
          <w:noProof/>
          <w:webHidden/>
        </w:rPr>
        <w:t>3</w:t>
      </w:r>
    </w:p>
    <w:p w14:paraId="4C0AAAF0" w14:textId="512C1268"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VIII.</w:t>
      </w:r>
      <w:r w:rsidRPr="00F26B2E">
        <w:rPr>
          <w:noProof/>
        </w:rPr>
        <w:tab/>
      </w:r>
      <w:r w:rsidRPr="00F26B2E">
        <w:rPr>
          <w:rStyle w:val="Hyperlink"/>
          <w:noProof/>
          <w:color w:val="auto"/>
        </w:rPr>
        <w:t>Reports of informal working groups (agenda item 7)</w:t>
      </w:r>
      <w:r w:rsidRPr="00F26B2E">
        <w:rPr>
          <w:noProof/>
          <w:webHidden/>
        </w:rPr>
        <w:tab/>
      </w:r>
      <w:r w:rsidRPr="00F26B2E">
        <w:rPr>
          <w:noProof/>
          <w:webHidden/>
        </w:rPr>
        <w:tab/>
      </w:r>
      <w:r w:rsidR="00D45A29">
        <w:rPr>
          <w:noProof/>
          <w:webHidden/>
        </w:rPr>
        <w:t>76</w:t>
      </w:r>
      <w:r w:rsidRPr="00F26B2E">
        <w:rPr>
          <w:noProof/>
          <w:webHidden/>
        </w:rPr>
        <w:t>–</w:t>
      </w:r>
      <w:r w:rsidR="00D45A29">
        <w:rPr>
          <w:noProof/>
          <w:webHidden/>
        </w:rPr>
        <w:t>77</w:t>
      </w:r>
      <w:r w:rsidRPr="00F26B2E">
        <w:rPr>
          <w:noProof/>
          <w:webHidden/>
        </w:rPr>
        <w:tab/>
        <w:t>1</w:t>
      </w:r>
      <w:r w:rsidR="00327A4E">
        <w:rPr>
          <w:noProof/>
          <w:webHidden/>
        </w:rPr>
        <w:t>3</w:t>
      </w:r>
    </w:p>
    <w:p w14:paraId="504C883C" w14:textId="27C427D2"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IX.</w:t>
      </w:r>
      <w:r w:rsidRPr="00F26B2E">
        <w:rPr>
          <w:noProof/>
        </w:rPr>
        <w:tab/>
      </w:r>
      <w:r w:rsidRPr="00F26B2E">
        <w:rPr>
          <w:rStyle w:val="Hyperlink"/>
          <w:noProof/>
          <w:color w:val="auto"/>
        </w:rPr>
        <w:t>Scope of ATP (agenda item 8)</w:t>
      </w:r>
      <w:r w:rsidRPr="00F26B2E">
        <w:rPr>
          <w:noProof/>
          <w:webHidden/>
        </w:rPr>
        <w:tab/>
      </w:r>
      <w:r w:rsidRPr="00F26B2E">
        <w:rPr>
          <w:noProof/>
          <w:webHidden/>
        </w:rPr>
        <w:tab/>
      </w:r>
      <w:r w:rsidR="002E33E1">
        <w:rPr>
          <w:noProof/>
          <w:webHidden/>
        </w:rPr>
        <w:t>78</w:t>
      </w:r>
      <w:r w:rsidR="00ED2F87">
        <w:rPr>
          <w:noProof/>
          <w:webHidden/>
        </w:rPr>
        <w:t>–86</w:t>
      </w:r>
      <w:r w:rsidRPr="00F26B2E">
        <w:rPr>
          <w:noProof/>
          <w:webHidden/>
        </w:rPr>
        <w:tab/>
        <w:t>1</w:t>
      </w:r>
      <w:r w:rsidR="00327A4E">
        <w:rPr>
          <w:noProof/>
          <w:webHidden/>
        </w:rPr>
        <w:t>4</w:t>
      </w:r>
    </w:p>
    <w:p w14:paraId="231357D7" w14:textId="790265E4" w:rsidR="00AF736D"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r>
      <w:r w:rsidRPr="00F26B2E">
        <w:rPr>
          <w:rStyle w:val="Hyperlink"/>
          <w:noProof/>
          <w:color w:val="auto"/>
        </w:rPr>
        <w:tab/>
      </w:r>
      <w:r w:rsidR="000C6FE8">
        <w:rPr>
          <w:rStyle w:val="Hyperlink"/>
          <w:noProof/>
          <w:color w:val="auto"/>
        </w:rPr>
        <w:tab/>
      </w:r>
      <w:r w:rsidR="007C2970">
        <w:rPr>
          <w:rStyle w:val="Hyperlink"/>
          <w:noProof/>
          <w:color w:val="auto"/>
        </w:rPr>
        <w:t>1.</w:t>
      </w:r>
      <w:r w:rsidR="007C2970">
        <w:rPr>
          <w:rStyle w:val="Hyperlink"/>
          <w:noProof/>
          <w:color w:val="auto"/>
        </w:rPr>
        <w:tab/>
      </w:r>
      <w:r w:rsidR="006F64C4" w:rsidRPr="00A35A38">
        <w:t>Scope of ATP</w:t>
      </w:r>
      <w:r w:rsidRPr="00F26B2E">
        <w:rPr>
          <w:noProof/>
          <w:webHidden/>
        </w:rPr>
        <w:tab/>
      </w:r>
      <w:r w:rsidRPr="00F26B2E">
        <w:rPr>
          <w:noProof/>
          <w:webHidden/>
        </w:rPr>
        <w:tab/>
      </w:r>
      <w:r w:rsidR="006F64C4">
        <w:rPr>
          <w:noProof/>
          <w:webHidden/>
        </w:rPr>
        <w:t>78–85</w:t>
      </w:r>
      <w:r w:rsidRPr="00F26B2E">
        <w:rPr>
          <w:noProof/>
          <w:webHidden/>
        </w:rPr>
        <w:tab/>
        <w:t>1</w:t>
      </w:r>
      <w:r w:rsidR="00327A4E">
        <w:rPr>
          <w:noProof/>
          <w:webHidden/>
        </w:rPr>
        <w:t>4</w:t>
      </w:r>
    </w:p>
    <w:p w14:paraId="607B4DEF" w14:textId="20CA00E7" w:rsidR="00C01CD2" w:rsidRPr="00F26B2E" w:rsidRDefault="00C01CD2"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webHidden/>
        </w:rPr>
        <w:tab/>
      </w:r>
      <w:r>
        <w:rPr>
          <w:noProof/>
          <w:webHidden/>
        </w:rPr>
        <w:tab/>
      </w:r>
      <w:r>
        <w:rPr>
          <w:noProof/>
          <w:webHidden/>
        </w:rPr>
        <w:tab/>
        <w:t>2.</w:t>
      </w:r>
      <w:r>
        <w:rPr>
          <w:noProof/>
          <w:webHidden/>
        </w:rPr>
        <w:tab/>
      </w:r>
      <w:r w:rsidR="0031150C" w:rsidRPr="0050705E">
        <w:t>The ATP and the future</w:t>
      </w:r>
      <w:r w:rsidR="0031150C">
        <w:tab/>
      </w:r>
      <w:r w:rsidR="0031150C">
        <w:tab/>
        <w:t>86</w:t>
      </w:r>
      <w:r w:rsidR="0031150C">
        <w:tab/>
        <w:t>1</w:t>
      </w:r>
      <w:r w:rsidR="00327A4E">
        <w:t>4</w:t>
      </w:r>
    </w:p>
    <w:p w14:paraId="381D981E" w14:textId="5C671A0A"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w:t>
      </w:r>
      <w:r w:rsidRPr="00F26B2E">
        <w:rPr>
          <w:noProof/>
        </w:rPr>
        <w:tab/>
      </w:r>
      <w:r w:rsidRPr="00F26B2E">
        <w:rPr>
          <w:rStyle w:val="Hyperlink"/>
          <w:noProof/>
          <w:color w:val="auto"/>
        </w:rPr>
        <w:t>Energy labelling, refrigerants and blowing agents (agenda item 9)</w:t>
      </w:r>
      <w:r w:rsidRPr="00F26B2E">
        <w:rPr>
          <w:noProof/>
          <w:webHidden/>
        </w:rPr>
        <w:tab/>
      </w:r>
      <w:r w:rsidRPr="00F26B2E">
        <w:rPr>
          <w:noProof/>
          <w:webHidden/>
        </w:rPr>
        <w:tab/>
      </w:r>
      <w:r w:rsidR="00D071E0">
        <w:rPr>
          <w:noProof/>
          <w:webHidden/>
        </w:rPr>
        <w:t>87</w:t>
      </w:r>
      <w:r w:rsidRPr="00F26B2E">
        <w:rPr>
          <w:noProof/>
          <w:webHidden/>
        </w:rPr>
        <w:tab/>
        <w:t>1</w:t>
      </w:r>
      <w:r w:rsidR="00327A4E">
        <w:rPr>
          <w:noProof/>
          <w:webHidden/>
        </w:rPr>
        <w:t>4</w:t>
      </w:r>
    </w:p>
    <w:p w14:paraId="62617589" w14:textId="4AB7F295"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XI.</w:t>
      </w:r>
      <w:r w:rsidRPr="00F26B2E">
        <w:rPr>
          <w:noProof/>
        </w:rPr>
        <w:tab/>
      </w:r>
      <w:r w:rsidRPr="00F26B2E">
        <w:rPr>
          <w:rStyle w:val="Hyperlink"/>
          <w:noProof/>
          <w:color w:val="auto"/>
        </w:rPr>
        <w:t>Programme of work (agenda item 10)</w:t>
      </w:r>
      <w:r w:rsidRPr="00F26B2E">
        <w:rPr>
          <w:noProof/>
          <w:webHidden/>
        </w:rPr>
        <w:tab/>
      </w:r>
      <w:r w:rsidRPr="00F26B2E">
        <w:rPr>
          <w:noProof/>
          <w:webHidden/>
        </w:rPr>
        <w:tab/>
      </w:r>
      <w:r w:rsidR="00D071E0">
        <w:rPr>
          <w:noProof/>
          <w:webHidden/>
        </w:rPr>
        <w:t>88</w:t>
      </w:r>
      <w:r w:rsidRPr="00F26B2E">
        <w:rPr>
          <w:noProof/>
          <w:webHidden/>
        </w:rPr>
        <w:tab/>
        <w:t>1</w:t>
      </w:r>
      <w:r w:rsidR="00327A4E">
        <w:rPr>
          <w:noProof/>
          <w:webHidden/>
        </w:rPr>
        <w:t>5</w:t>
      </w:r>
    </w:p>
    <w:p w14:paraId="6C7593F5" w14:textId="1C0D4CEA"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XII.</w:t>
      </w:r>
      <w:r w:rsidRPr="00F26B2E">
        <w:rPr>
          <w:noProof/>
        </w:rPr>
        <w:tab/>
      </w:r>
      <w:r w:rsidRPr="006D513A">
        <w:t>Election of officers (agenda item 11)</w:t>
      </w:r>
      <w:r w:rsidRPr="00F26B2E">
        <w:rPr>
          <w:noProof/>
          <w:webHidden/>
        </w:rPr>
        <w:tab/>
      </w:r>
      <w:r w:rsidRPr="00F26B2E">
        <w:rPr>
          <w:noProof/>
          <w:webHidden/>
        </w:rPr>
        <w:tab/>
      </w:r>
      <w:r w:rsidR="0044515B">
        <w:rPr>
          <w:noProof/>
          <w:webHidden/>
        </w:rPr>
        <w:t>8</w:t>
      </w:r>
      <w:r>
        <w:rPr>
          <w:noProof/>
          <w:webHidden/>
        </w:rPr>
        <w:t>9</w:t>
      </w:r>
      <w:r w:rsidRPr="00F26B2E">
        <w:rPr>
          <w:noProof/>
          <w:webHidden/>
        </w:rPr>
        <w:tab/>
        <w:t>1</w:t>
      </w:r>
      <w:r w:rsidR="00327A4E">
        <w:rPr>
          <w:noProof/>
          <w:webHidden/>
        </w:rPr>
        <w:t>5</w:t>
      </w:r>
    </w:p>
    <w:p w14:paraId="75B9FDAF" w14:textId="0F919867" w:rsidR="00AF736D"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t>XIII.</w:t>
      </w:r>
      <w:r w:rsidRPr="00F26B2E">
        <w:rPr>
          <w:noProof/>
        </w:rPr>
        <w:tab/>
      </w:r>
      <w:r w:rsidRPr="00567BD5">
        <w:t>Other business</w:t>
      </w:r>
      <w:r>
        <w:t xml:space="preserve"> (agenda item 12)</w:t>
      </w:r>
      <w:r w:rsidRPr="00F26B2E">
        <w:rPr>
          <w:noProof/>
          <w:webHidden/>
        </w:rPr>
        <w:tab/>
      </w:r>
      <w:r w:rsidRPr="00F26B2E">
        <w:rPr>
          <w:noProof/>
          <w:webHidden/>
        </w:rPr>
        <w:tab/>
      </w:r>
      <w:r w:rsidR="007631D4">
        <w:rPr>
          <w:noProof/>
          <w:webHidden/>
        </w:rPr>
        <w:t>90</w:t>
      </w:r>
      <w:r w:rsidRPr="00F26B2E">
        <w:rPr>
          <w:noProof/>
          <w:webHidden/>
        </w:rPr>
        <w:tab/>
        <w:t>1</w:t>
      </w:r>
      <w:r w:rsidR="00327A4E">
        <w:rPr>
          <w:noProof/>
          <w:webHidden/>
        </w:rPr>
        <w:t>5</w:t>
      </w:r>
    </w:p>
    <w:p w14:paraId="43018C79" w14:textId="1C5FA974" w:rsidR="00AF736D" w:rsidRDefault="00AF736D" w:rsidP="00AF736D">
      <w:pPr>
        <w:tabs>
          <w:tab w:val="right" w:pos="850"/>
          <w:tab w:val="left" w:pos="1134"/>
          <w:tab w:val="left" w:pos="1559"/>
          <w:tab w:val="left" w:pos="1984"/>
          <w:tab w:val="left" w:leader="dot" w:pos="7654"/>
          <w:tab w:val="right" w:pos="8929"/>
          <w:tab w:val="right" w:pos="9638"/>
        </w:tabs>
        <w:spacing w:after="120"/>
        <w:ind w:left="1134" w:hanging="1134"/>
      </w:pPr>
      <w:r>
        <w:rPr>
          <w:noProof/>
        </w:rPr>
        <w:tab/>
        <w:t>XIV.</w:t>
      </w:r>
      <w:r>
        <w:rPr>
          <w:noProof/>
        </w:rPr>
        <w:tab/>
      </w:r>
      <w:r w:rsidRPr="00567BD5">
        <w:t>Adoption of the report</w:t>
      </w:r>
      <w:r>
        <w:t xml:space="preserve"> (agenda item 13)</w:t>
      </w:r>
      <w:r>
        <w:tab/>
      </w:r>
      <w:r>
        <w:tab/>
      </w:r>
      <w:r w:rsidR="00741F44">
        <w:t>91</w:t>
      </w:r>
      <w:r>
        <w:tab/>
        <w:t>1</w:t>
      </w:r>
      <w:r w:rsidR="00327A4E">
        <w:t>5</w:t>
      </w:r>
    </w:p>
    <w:p w14:paraId="4782BE71" w14:textId="77777777" w:rsidR="0034352E" w:rsidRDefault="0034352E" w:rsidP="00AF736D">
      <w:pPr>
        <w:tabs>
          <w:tab w:val="right" w:pos="850"/>
          <w:tab w:val="left" w:pos="1134"/>
          <w:tab w:val="left" w:pos="1559"/>
          <w:tab w:val="left" w:pos="1984"/>
          <w:tab w:val="left" w:leader="dot" w:pos="7654"/>
          <w:tab w:val="right" w:pos="8929"/>
          <w:tab w:val="right" w:pos="9638"/>
        </w:tabs>
        <w:spacing w:after="120"/>
        <w:ind w:left="1134" w:hanging="1134"/>
      </w:pPr>
    </w:p>
    <w:p w14:paraId="2D76C6CA" w14:textId="77777777" w:rsidR="00AF736D" w:rsidRPr="00F26B2E" w:rsidRDefault="00AF736D" w:rsidP="00EB66F0">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t>Annex I</w:t>
      </w:r>
      <w:r w:rsidRPr="00F26B2E">
        <w:rPr>
          <w:rStyle w:val="Hyperlink"/>
          <w:noProof/>
          <w:color w:val="auto"/>
        </w:rPr>
        <w:tab/>
      </w:r>
    </w:p>
    <w:p w14:paraId="40B4FC23" w14:textId="64A80031"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noProof/>
        </w:rPr>
        <w:tab/>
      </w:r>
      <w:r w:rsidRPr="00F26B2E">
        <w:rPr>
          <w:rStyle w:val="Hyperlink"/>
          <w:noProof/>
          <w:color w:val="auto"/>
        </w:rPr>
        <w:t xml:space="preserve">Full Government statement delivered during the seventy-eighth session of the </w:t>
      </w:r>
      <w:r w:rsidRPr="00F26B2E">
        <w:rPr>
          <w:rStyle w:val="Hyperlink"/>
          <w:noProof/>
          <w:color w:val="auto"/>
        </w:rPr>
        <w:br/>
        <w:t>Working Party on the Transport of Perishable Foodstuffs</w:t>
      </w:r>
      <w:r w:rsidRPr="00F26B2E">
        <w:rPr>
          <w:noProof/>
          <w:webHidden/>
        </w:rPr>
        <w:tab/>
      </w:r>
      <w:r w:rsidRPr="00F26B2E">
        <w:rPr>
          <w:noProof/>
          <w:webHidden/>
        </w:rPr>
        <w:tab/>
      </w:r>
      <w:r w:rsidRPr="00F26B2E">
        <w:rPr>
          <w:noProof/>
          <w:webHidden/>
        </w:rPr>
        <w:tab/>
        <w:t>1</w:t>
      </w:r>
      <w:r w:rsidR="00327A4E">
        <w:rPr>
          <w:noProof/>
          <w:webHidden/>
        </w:rPr>
        <w:t>6</w:t>
      </w:r>
    </w:p>
    <w:p w14:paraId="7A39B2DD" w14:textId="38554495" w:rsidR="00AF736D"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r>
      <w:r w:rsidRPr="00F26B2E">
        <w:rPr>
          <w:rStyle w:val="Hyperlink"/>
          <w:noProof/>
          <w:color w:val="auto"/>
        </w:rPr>
        <w:tab/>
      </w:r>
      <w:r w:rsidRPr="00DF105D">
        <w:rPr>
          <w:w w:val="103"/>
          <w:lang w:eastAsia="zh-CN"/>
        </w:rPr>
        <w:t xml:space="preserve">Statement from </w:t>
      </w:r>
      <w:r>
        <w:rPr>
          <w:w w:val="103"/>
          <w:lang w:eastAsia="zh-CN"/>
        </w:rPr>
        <w:t>Denmark</w:t>
      </w:r>
      <w:r w:rsidRPr="00DF105D">
        <w:rPr>
          <w:w w:val="103"/>
          <w:lang w:eastAsia="zh-CN"/>
        </w:rPr>
        <w:t xml:space="preserve"> </w:t>
      </w:r>
      <w:r>
        <w:rPr>
          <w:w w:val="103"/>
          <w:lang w:eastAsia="zh-CN"/>
        </w:rPr>
        <w:t>at the start of the session</w:t>
      </w:r>
      <w:r w:rsidRPr="00F26B2E">
        <w:rPr>
          <w:noProof/>
          <w:webHidden/>
        </w:rPr>
        <w:tab/>
      </w:r>
      <w:r w:rsidRPr="00F26B2E">
        <w:rPr>
          <w:noProof/>
          <w:webHidden/>
        </w:rPr>
        <w:tab/>
      </w:r>
      <w:r w:rsidRPr="00F26B2E">
        <w:rPr>
          <w:noProof/>
          <w:webHidden/>
        </w:rPr>
        <w:tab/>
        <w:t>1</w:t>
      </w:r>
      <w:r w:rsidR="00327A4E">
        <w:rPr>
          <w:noProof/>
          <w:webHidden/>
        </w:rPr>
        <w:t>6</w:t>
      </w:r>
    </w:p>
    <w:p w14:paraId="7218217C" w14:textId="64F60214" w:rsidR="006927E3" w:rsidRPr="00F26B2E" w:rsidRDefault="006927E3"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webHidden/>
        </w:rPr>
        <w:tab/>
      </w:r>
      <w:r>
        <w:rPr>
          <w:noProof/>
          <w:webHidden/>
        </w:rPr>
        <w:tab/>
        <w:t xml:space="preserve">Statement from </w:t>
      </w:r>
      <w:r w:rsidR="00070DB9">
        <w:rPr>
          <w:noProof/>
          <w:webHidden/>
        </w:rPr>
        <w:t xml:space="preserve">the </w:t>
      </w:r>
      <w:r>
        <w:rPr>
          <w:noProof/>
          <w:webHidden/>
        </w:rPr>
        <w:t>Russian Federation</w:t>
      </w:r>
      <w:r>
        <w:rPr>
          <w:noProof/>
          <w:webHidden/>
        </w:rPr>
        <w:tab/>
      </w:r>
      <w:r>
        <w:rPr>
          <w:noProof/>
          <w:webHidden/>
        </w:rPr>
        <w:tab/>
      </w:r>
      <w:r>
        <w:rPr>
          <w:noProof/>
          <w:webHidden/>
        </w:rPr>
        <w:tab/>
        <w:t>1</w:t>
      </w:r>
      <w:r w:rsidR="00327A4E">
        <w:rPr>
          <w:noProof/>
          <w:webHidden/>
        </w:rPr>
        <w:t>6</w:t>
      </w:r>
    </w:p>
    <w:p w14:paraId="128FB48F" w14:textId="77777777"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rStyle w:val="Hyperlink"/>
          <w:noProof/>
          <w:color w:val="auto"/>
        </w:rPr>
      </w:pPr>
      <w:r w:rsidRPr="00F26B2E">
        <w:rPr>
          <w:rStyle w:val="Hyperlink"/>
          <w:noProof/>
          <w:color w:val="auto"/>
        </w:rPr>
        <w:tab/>
        <w:t>Annex II</w:t>
      </w:r>
    </w:p>
    <w:p w14:paraId="2E0E978F" w14:textId="6C102B78" w:rsidR="00AF736D"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webHidden/>
        </w:rPr>
      </w:pPr>
      <w:r w:rsidRPr="00F26B2E">
        <w:rPr>
          <w:rStyle w:val="Hyperlink"/>
          <w:noProof/>
          <w:color w:val="auto"/>
        </w:rPr>
        <w:tab/>
      </w:r>
      <w:r w:rsidRPr="00F26B2E">
        <w:rPr>
          <w:noProof/>
        </w:rPr>
        <w:tab/>
      </w:r>
      <w:r w:rsidRPr="00F26B2E">
        <w:rPr>
          <w:rStyle w:val="Hyperlink"/>
          <w:noProof/>
          <w:color w:val="auto"/>
        </w:rPr>
        <w:t>Proposed amendments to the ATP</w:t>
      </w:r>
      <w:r w:rsidRPr="00F26B2E">
        <w:rPr>
          <w:noProof/>
          <w:webHidden/>
        </w:rPr>
        <w:tab/>
      </w:r>
      <w:r w:rsidRPr="00F26B2E">
        <w:rPr>
          <w:noProof/>
          <w:webHidden/>
        </w:rPr>
        <w:tab/>
      </w:r>
      <w:r w:rsidRPr="00F26B2E">
        <w:rPr>
          <w:noProof/>
          <w:webHidden/>
        </w:rPr>
        <w:tab/>
        <w:t>1</w:t>
      </w:r>
      <w:r w:rsidR="00327A4E">
        <w:rPr>
          <w:noProof/>
          <w:webHidden/>
        </w:rPr>
        <w:t>7</w:t>
      </w:r>
    </w:p>
    <w:p w14:paraId="00D918FA" w14:textId="5A3F6B4B" w:rsidR="00AF736D" w:rsidRDefault="00F77D80" w:rsidP="00AF736D">
      <w:pPr>
        <w:tabs>
          <w:tab w:val="right" w:pos="850"/>
          <w:tab w:val="left" w:pos="1134"/>
          <w:tab w:val="left" w:pos="1559"/>
          <w:tab w:val="left" w:pos="1984"/>
          <w:tab w:val="left" w:leader="dot" w:pos="7654"/>
          <w:tab w:val="right" w:pos="8929"/>
          <w:tab w:val="right" w:pos="9638"/>
        </w:tabs>
        <w:spacing w:after="120"/>
        <w:ind w:left="1134" w:hanging="1134"/>
        <w:rPr>
          <w:noProof/>
          <w:webHidden/>
        </w:rPr>
      </w:pPr>
      <w:r>
        <w:rPr>
          <w:noProof/>
          <w:webHidden/>
        </w:rPr>
        <w:tab/>
      </w:r>
      <w:r w:rsidR="00AF736D">
        <w:rPr>
          <w:noProof/>
          <w:webHidden/>
        </w:rPr>
        <w:t>Annex III</w:t>
      </w:r>
    </w:p>
    <w:p w14:paraId="239FE200" w14:textId="3AC3A88E" w:rsidR="00AF736D" w:rsidRPr="00F26B2E" w:rsidRDefault="00AF736D" w:rsidP="00AF73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webHidden/>
        </w:rPr>
        <w:tab/>
      </w:r>
      <w:r>
        <w:rPr>
          <w:noProof/>
          <w:webHidden/>
        </w:rPr>
        <w:tab/>
      </w:r>
      <w:r w:rsidRPr="008C656D">
        <w:rPr>
          <w:noProof/>
        </w:rPr>
        <w:t>Additions to the ATP Handbook</w:t>
      </w:r>
      <w:r>
        <w:rPr>
          <w:noProof/>
        </w:rPr>
        <w:tab/>
      </w:r>
      <w:r>
        <w:rPr>
          <w:noProof/>
        </w:rPr>
        <w:tab/>
      </w:r>
      <w:r>
        <w:rPr>
          <w:noProof/>
        </w:rPr>
        <w:tab/>
      </w:r>
      <w:r w:rsidR="00253C6E" w:rsidRPr="00253C6E">
        <w:rPr>
          <w:noProof/>
        </w:rPr>
        <w:t>20</w:t>
      </w:r>
    </w:p>
    <w:p w14:paraId="47ADCFCD" w14:textId="77777777" w:rsidR="00AF736D" w:rsidRDefault="00AF736D" w:rsidP="00AF736D">
      <w:pPr>
        <w:spacing w:before="120"/>
        <w:rPr>
          <w:b/>
          <w:sz w:val="28"/>
          <w:szCs w:val="28"/>
        </w:rPr>
      </w:pPr>
      <w:r>
        <w:rPr>
          <w:b/>
          <w:sz w:val="28"/>
          <w:szCs w:val="28"/>
        </w:rPr>
        <w:br w:type="page"/>
      </w:r>
    </w:p>
    <w:p w14:paraId="01EEF900" w14:textId="77777777" w:rsidR="006F4ABA" w:rsidRPr="00344F97" w:rsidRDefault="006F4ABA" w:rsidP="006F4ABA">
      <w:pPr>
        <w:pStyle w:val="HChG"/>
        <w:rPr>
          <w:bCs/>
          <w:szCs w:val="24"/>
        </w:rPr>
      </w:pPr>
      <w:r w:rsidRPr="00344F97">
        <w:rPr>
          <w:szCs w:val="24"/>
        </w:rPr>
        <w:lastRenderedPageBreak/>
        <w:tab/>
      </w:r>
      <w:bookmarkStart w:id="1" w:name="_Toc401568633"/>
      <w:r w:rsidRPr="00344F97">
        <w:rPr>
          <w:szCs w:val="24"/>
        </w:rPr>
        <w:t>I.</w:t>
      </w:r>
      <w:r w:rsidRPr="00344F97">
        <w:rPr>
          <w:szCs w:val="24"/>
        </w:rPr>
        <w:tab/>
      </w:r>
      <w:r w:rsidRPr="006F734F">
        <w:t>Attendance</w:t>
      </w:r>
      <w:bookmarkEnd w:id="1"/>
    </w:p>
    <w:p w14:paraId="47D332E4" w14:textId="77777777" w:rsidR="006F4ABA" w:rsidRPr="0009377F" w:rsidRDefault="006F4ABA" w:rsidP="006F4ABA">
      <w:pPr>
        <w:pStyle w:val="SingleTxtG"/>
        <w:rPr>
          <w:szCs w:val="24"/>
          <w:lang w:val="en-US"/>
        </w:rPr>
      </w:pPr>
      <w:r>
        <w:t>1</w:t>
      </w:r>
      <w:r w:rsidRPr="0009377F">
        <w:t>.</w:t>
      </w:r>
      <w:r w:rsidRPr="0009377F">
        <w:tab/>
      </w:r>
      <w:r w:rsidRPr="0019529F">
        <w:t xml:space="preserve">The </w:t>
      </w:r>
      <w:r>
        <w:rPr>
          <w:bCs/>
        </w:rPr>
        <w:t>e</w:t>
      </w:r>
      <w:r w:rsidRPr="00D47FE9">
        <w:rPr>
          <w:bCs/>
        </w:rPr>
        <w:t>ightieth</w:t>
      </w:r>
      <w:r w:rsidRPr="0019529F">
        <w:t xml:space="preserve"> session of </w:t>
      </w:r>
      <w:r>
        <w:t>Working Party on the Transport of Perishable Foodstuffs of the United Nations Economic Commission for Europe</w:t>
      </w:r>
      <w:r w:rsidRPr="0019529F">
        <w:t xml:space="preserve"> </w:t>
      </w:r>
      <w:r>
        <w:t xml:space="preserve">was held </w:t>
      </w:r>
      <w:r w:rsidRPr="0009377F">
        <w:t xml:space="preserve">from </w:t>
      </w:r>
      <w:r>
        <w:t>24–27</w:t>
      </w:r>
      <w:r w:rsidRPr="00940F8D">
        <w:t xml:space="preserve"> </w:t>
      </w:r>
      <w:r>
        <w:t>October</w:t>
      </w:r>
      <w:r w:rsidRPr="00940F8D">
        <w:t xml:space="preserve"> 20</w:t>
      </w:r>
      <w:r>
        <w:t xml:space="preserve">23 </w:t>
      </w:r>
      <w:r w:rsidRPr="0009377F">
        <w:t>with Mr.</w:t>
      </w:r>
      <w:r>
        <w:t> </w:t>
      </w:r>
      <w:r w:rsidRPr="0009377F">
        <w:t xml:space="preserve">K. de Putter (Netherlands) as Chair and Mr. </w:t>
      </w:r>
      <w:r>
        <w:t>O.</w:t>
      </w:r>
      <w:r w:rsidRPr="0009377F">
        <w:t xml:space="preserve"> </w:t>
      </w:r>
      <w:r>
        <w:t>Valet</w:t>
      </w:r>
      <w:r w:rsidRPr="0009377F">
        <w:t xml:space="preserve"> (</w:t>
      </w:r>
      <w:r>
        <w:t>France</w:t>
      </w:r>
      <w:r w:rsidRPr="0009377F">
        <w:t>) as Vice-Chair.</w:t>
      </w:r>
    </w:p>
    <w:p w14:paraId="0C543006" w14:textId="77934FAE" w:rsidR="006F4ABA" w:rsidRDefault="006F4ABA" w:rsidP="006F4ABA">
      <w:pPr>
        <w:pStyle w:val="SingleTxtG"/>
      </w:pPr>
      <w:r w:rsidRPr="008A4B57">
        <w:t>2.</w:t>
      </w:r>
      <w:r w:rsidRPr="008A4B57">
        <w:tab/>
        <w:t>Representatives of the following countries took part in the session: Czech</w:t>
      </w:r>
      <w:r w:rsidR="00C253D4">
        <w:t>ia</w:t>
      </w:r>
      <w:r w:rsidRPr="008A4B57">
        <w:t xml:space="preserve">, Denmark, Finland, France, Germany, Italy, Luxembourg, Netherlands, Poland, </w:t>
      </w:r>
      <w:r>
        <w:t xml:space="preserve">Portugal, </w:t>
      </w:r>
      <w:r w:rsidRPr="008A4B57">
        <w:t xml:space="preserve">Russian Federation, Slovenia, </w:t>
      </w:r>
      <w:proofErr w:type="gramStart"/>
      <w:r w:rsidRPr="008A4B57">
        <w:t xml:space="preserve">Spain, </w:t>
      </w:r>
      <w:r w:rsidR="00F723FD" w:rsidRPr="00F723FD">
        <w:t xml:space="preserve"> Türkiye</w:t>
      </w:r>
      <w:proofErr w:type="gramEnd"/>
      <w:r w:rsidRPr="008A4B57">
        <w:t>, United Kingdom of Great Britain and Northern Ireland and United States of America.</w:t>
      </w:r>
      <w:r w:rsidRPr="0009377F">
        <w:t xml:space="preserve"> </w:t>
      </w:r>
    </w:p>
    <w:p w14:paraId="14C2FC79" w14:textId="6964D03A" w:rsidR="006F4ABA" w:rsidRDefault="006F4ABA" w:rsidP="006F4ABA">
      <w:pPr>
        <w:pStyle w:val="SingleTxtG"/>
      </w:pPr>
      <w:r>
        <w:t>3.</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 xml:space="preserve">(CLCCR) and </w:t>
      </w:r>
      <w:proofErr w:type="spellStart"/>
      <w:r w:rsidRPr="0009377F">
        <w:t>Transfrigoroute</w:t>
      </w:r>
      <w:proofErr w:type="spellEnd"/>
      <w:r w:rsidRPr="0009377F">
        <w:t xml:space="preserve"> International (TI) also took part in the session.</w:t>
      </w:r>
    </w:p>
    <w:p w14:paraId="175C5A78" w14:textId="77777777" w:rsidR="006F4ABA" w:rsidRPr="0009377F" w:rsidRDefault="006F4ABA" w:rsidP="006F4ABA">
      <w:pPr>
        <w:pStyle w:val="HChG"/>
        <w:rPr>
          <w:caps/>
        </w:rPr>
      </w:pPr>
      <w:r>
        <w:tab/>
      </w:r>
      <w:bookmarkStart w:id="2" w:name="_Toc401568230"/>
      <w:bookmarkStart w:id="3" w:name="_Toc401568635"/>
      <w:r w:rsidRPr="0009377F">
        <w:t>II.</w:t>
      </w:r>
      <w:r w:rsidRPr="0009377F">
        <w:tab/>
        <w:t xml:space="preserve">Adoption of the agenda </w:t>
      </w:r>
      <w:bookmarkEnd w:id="2"/>
      <w:bookmarkEnd w:id="3"/>
      <w:r w:rsidRPr="0009377F">
        <w:t>(agenda item 1)</w:t>
      </w:r>
    </w:p>
    <w:p w14:paraId="4D075D06" w14:textId="77777777" w:rsidR="006F4ABA" w:rsidRPr="00400463" w:rsidRDefault="006F4ABA" w:rsidP="006F4ABA">
      <w:pPr>
        <w:tabs>
          <w:tab w:val="left" w:pos="2300"/>
        </w:tabs>
        <w:ind w:left="1134" w:right="1134"/>
        <w:jc w:val="both"/>
      </w:pPr>
      <w:r w:rsidRPr="00400463">
        <w:rPr>
          <w:i/>
        </w:rPr>
        <w:t>Documents</w:t>
      </w:r>
      <w:r w:rsidRPr="00400463">
        <w:t>:</w:t>
      </w:r>
      <w:r w:rsidRPr="00400463">
        <w:tab/>
      </w:r>
      <w:r w:rsidRPr="00400463">
        <w:tab/>
      </w:r>
      <w:r w:rsidRPr="00400463">
        <w:tab/>
        <w:t>ECE/TRANS/WP.11/</w:t>
      </w:r>
      <w:r>
        <w:t>250</w:t>
      </w:r>
    </w:p>
    <w:p w14:paraId="2E888832" w14:textId="77777777" w:rsidR="006F4ABA" w:rsidRPr="0009377F" w:rsidRDefault="006F4ABA" w:rsidP="006F4ABA">
      <w:pPr>
        <w:tabs>
          <w:tab w:val="left" w:pos="2300"/>
        </w:tabs>
        <w:ind w:left="1134" w:right="1134"/>
        <w:jc w:val="both"/>
        <w:rPr>
          <w:lang w:val="en-US"/>
        </w:rPr>
      </w:pPr>
      <w:r w:rsidRPr="00400463">
        <w:tab/>
      </w:r>
      <w:r w:rsidRPr="00400463">
        <w:tab/>
      </w:r>
      <w:r w:rsidRPr="00400463">
        <w:tab/>
      </w:r>
      <w:r>
        <w:rPr>
          <w:lang w:val="en-US"/>
        </w:rPr>
        <w:t>ECE/TRANS/WP.11/250</w:t>
      </w:r>
      <w:r w:rsidRPr="0009377F">
        <w:rPr>
          <w:lang w:val="en-US"/>
        </w:rPr>
        <w:t>/Add.1</w:t>
      </w:r>
    </w:p>
    <w:p w14:paraId="46DDB7E9" w14:textId="77777777" w:rsidR="006F4ABA" w:rsidRDefault="006F4ABA" w:rsidP="006F4ABA">
      <w:pPr>
        <w:tabs>
          <w:tab w:val="left" w:pos="2300"/>
        </w:tabs>
        <w:ind w:left="1134" w:right="1134"/>
        <w:jc w:val="both"/>
      </w:pPr>
      <w:r>
        <w:rPr>
          <w:i/>
        </w:rPr>
        <w:tab/>
      </w:r>
      <w:r w:rsidRPr="0009377F">
        <w:tab/>
      </w:r>
      <w:r>
        <w:tab/>
      </w:r>
      <w:r w:rsidRPr="001D35E8">
        <w:t xml:space="preserve">Informal document </w:t>
      </w:r>
      <w:r w:rsidRPr="0009377F">
        <w:t>INF.1 (Secretariat)</w:t>
      </w:r>
    </w:p>
    <w:p w14:paraId="42E54601" w14:textId="77777777" w:rsidR="006F4ABA" w:rsidRDefault="006F4ABA" w:rsidP="006F4ABA">
      <w:pPr>
        <w:tabs>
          <w:tab w:val="left" w:pos="2300"/>
        </w:tabs>
        <w:spacing w:after="120"/>
        <w:ind w:left="1134" w:right="1134"/>
      </w:pPr>
      <w:r>
        <w:tab/>
      </w:r>
      <w:r>
        <w:tab/>
      </w:r>
      <w:r>
        <w:tab/>
        <w:t>Informal document INF.4 (Secretariat)</w:t>
      </w:r>
    </w:p>
    <w:p w14:paraId="70BB5E77" w14:textId="5B953163" w:rsidR="006F4ABA" w:rsidRPr="0009377F" w:rsidRDefault="006F4ABA" w:rsidP="006F4ABA">
      <w:pPr>
        <w:pStyle w:val="SingleTxtG"/>
      </w:pPr>
      <w:r>
        <w:t>4</w:t>
      </w:r>
      <w:r w:rsidRPr="0009377F">
        <w:t>.</w:t>
      </w:r>
      <w:r w:rsidRPr="0009377F">
        <w:tab/>
        <w:t>The provisional agenda (</w:t>
      </w:r>
      <w:r w:rsidRPr="006F734F">
        <w:t>ECE</w:t>
      </w:r>
      <w:r w:rsidRPr="0009377F">
        <w:t>/TRANS/WP.11/</w:t>
      </w:r>
      <w:r>
        <w:t xml:space="preserve">250 </w:t>
      </w:r>
      <w:r w:rsidRPr="0009377F">
        <w:t>and -/Add.</w:t>
      </w:r>
      <w:r>
        <w:t>1</w:t>
      </w:r>
      <w:r w:rsidRPr="0009377F">
        <w:t xml:space="preserve">) </w:t>
      </w:r>
      <w:r>
        <w:t>were</w:t>
      </w:r>
      <w:r w:rsidRPr="0009377F">
        <w:t xml:space="preserve"> adopted as amended by informal document INF.1 to take account of i</w:t>
      </w:r>
      <w:r>
        <w:t xml:space="preserve">nformal documents INF.1 to </w:t>
      </w:r>
      <w:r w:rsidRPr="001C2E61">
        <w:t>INF.</w:t>
      </w:r>
      <w:r>
        <w:t>19</w:t>
      </w:r>
      <w:r w:rsidRPr="001C2E61">
        <w:t>.</w:t>
      </w:r>
    </w:p>
    <w:p w14:paraId="5F23EDB8" w14:textId="77777777" w:rsidR="006F4ABA" w:rsidRDefault="006F4ABA" w:rsidP="006F4ABA">
      <w:pPr>
        <w:pStyle w:val="HChG"/>
      </w:pPr>
      <w:r>
        <w:tab/>
        <w:t>III.</w:t>
      </w:r>
      <w:r>
        <w:tab/>
      </w:r>
      <w:r w:rsidRPr="00CA77FE">
        <w:t xml:space="preserve">Activities of ECE bodies of </w:t>
      </w:r>
      <w:r w:rsidRPr="00D86A74">
        <w:t>interest</w:t>
      </w:r>
      <w:r w:rsidRPr="00CA77FE">
        <w:t xml:space="preserve"> to the Working Party</w:t>
      </w:r>
      <w:r>
        <w:t xml:space="preserve"> </w:t>
      </w:r>
      <w:r w:rsidRPr="0009377F">
        <w:t>(agenda item </w:t>
      </w:r>
      <w:r>
        <w:t>2</w:t>
      </w:r>
      <w:r w:rsidRPr="0009377F">
        <w:t>)</w:t>
      </w:r>
    </w:p>
    <w:p w14:paraId="2B1F9312" w14:textId="77777777" w:rsidR="00D66BA8" w:rsidRDefault="00D66BA8" w:rsidP="00D66BA8">
      <w:pPr>
        <w:pStyle w:val="H1G"/>
      </w:pPr>
      <w:r>
        <w:tab/>
        <w:t>A.</w:t>
      </w:r>
      <w:r>
        <w:tab/>
        <w:t xml:space="preserve">Inland Transport </w:t>
      </w:r>
      <w:r w:rsidRPr="00D86A74">
        <w:t>Committee</w:t>
      </w:r>
    </w:p>
    <w:p w14:paraId="7559F3C0" w14:textId="05948786" w:rsidR="00D66BA8" w:rsidRDefault="00FC6BBB" w:rsidP="00D66BA8">
      <w:pPr>
        <w:pStyle w:val="SingleTxtG"/>
      </w:pPr>
      <w:r>
        <w:rPr>
          <w:lang w:val="en-US"/>
        </w:rPr>
        <w:t>5</w:t>
      </w:r>
      <w:r w:rsidR="00D66BA8">
        <w:rPr>
          <w:lang w:val="en-US"/>
        </w:rPr>
        <w:t>.</w:t>
      </w:r>
      <w:r w:rsidR="00D66BA8">
        <w:rPr>
          <w:lang w:val="en-US"/>
        </w:rPr>
        <w:tab/>
        <w:t xml:space="preserve">The </w:t>
      </w:r>
      <w:r w:rsidR="00D66BA8" w:rsidRPr="00807E02">
        <w:rPr>
          <w:lang w:val="en-US"/>
        </w:rPr>
        <w:t xml:space="preserve">Working Party </w:t>
      </w:r>
      <w:r w:rsidR="00D66BA8">
        <w:rPr>
          <w:lang w:val="en-US"/>
        </w:rPr>
        <w:t xml:space="preserve">noted paragraphs 118-120 from the report of </w:t>
      </w:r>
      <w:r w:rsidR="00D66BA8" w:rsidRPr="00807E02">
        <w:rPr>
          <w:lang w:val="en-US"/>
        </w:rPr>
        <w:t xml:space="preserve">the </w:t>
      </w:r>
      <w:r w:rsidR="00D66BA8">
        <w:t>eighty-fifth session of the Inland Transport Committee (ITC),</w:t>
      </w:r>
      <w:r w:rsidR="00D66BA8" w:rsidRPr="00807E02">
        <w:rPr>
          <w:lang w:val="en-US"/>
        </w:rPr>
        <w:t xml:space="preserve"> </w:t>
      </w:r>
      <w:r w:rsidR="00D66BA8">
        <w:t xml:space="preserve">(21-24 February 2023) </w:t>
      </w:r>
      <w:r w:rsidR="00D66BA8">
        <w:rPr>
          <w:lang w:val="en-US"/>
        </w:rPr>
        <w:t>(ECE/TRANS/328</w:t>
      </w:r>
      <w:r w:rsidR="00D66BA8" w:rsidRPr="00807E02">
        <w:rPr>
          <w:lang w:val="en-US"/>
        </w:rPr>
        <w:t>)</w:t>
      </w:r>
      <w:r w:rsidR="00D66BA8">
        <w:t>.</w:t>
      </w:r>
    </w:p>
    <w:p w14:paraId="16E90144" w14:textId="2E1FCA04" w:rsidR="00D66BA8" w:rsidRDefault="00FC6BBB" w:rsidP="00D66BA8">
      <w:pPr>
        <w:pStyle w:val="SingleTxtG"/>
      </w:pPr>
      <w:r>
        <w:t>6</w:t>
      </w:r>
      <w:r w:rsidR="00D66BA8">
        <w:t>.</w:t>
      </w:r>
      <w:r w:rsidR="00D66BA8">
        <w:tab/>
        <w:t xml:space="preserve">The Working Party also noted annex I to </w:t>
      </w:r>
      <w:r w:rsidR="00D66BA8">
        <w:rPr>
          <w:lang w:val="en-US"/>
        </w:rPr>
        <w:t>ECE/TRANS/328 containing a ministerial declaration titled "</w:t>
      </w:r>
      <w:r w:rsidR="00D66BA8">
        <w:t>Harnessing the full potential of inland transport solutions in the global fight against climate change."</w:t>
      </w:r>
    </w:p>
    <w:p w14:paraId="03E25291" w14:textId="1495C6FC" w:rsidR="00D66BA8" w:rsidRDefault="00FC6BBB" w:rsidP="00D66BA8">
      <w:pPr>
        <w:pStyle w:val="SingleTxtG"/>
      </w:pPr>
      <w:r>
        <w:rPr>
          <w:lang w:val="en-US"/>
        </w:rPr>
        <w:t>7</w:t>
      </w:r>
      <w:r w:rsidR="00D66BA8" w:rsidRPr="00E43A5D">
        <w:t>.</w:t>
      </w:r>
      <w:r w:rsidR="00D66BA8" w:rsidRPr="00E43A5D">
        <w:tab/>
        <w:t>The ITC adopted the reports of its subsidiary bodies</w:t>
      </w:r>
      <w:r w:rsidR="00D66BA8">
        <w:t>, including the reports of the seventy-eighth (</w:t>
      </w:r>
      <w:r w:rsidR="00D66BA8" w:rsidRPr="00235610">
        <w:t>ECE/TRANS/WP.11/247</w:t>
      </w:r>
      <w:r w:rsidR="00D66BA8">
        <w:t>) and seventy-ninth (</w:t>
      </w:r>
      <w:r w:rsidR="00D66BA8" w:rsidRPr="00235610">
        <w:t>ECE/TRANS/WP.11/249</w:t>
      </w:r>
      <w:r w:rsidR="00D66BA8">
        <w:t>) sessions of WP.11</w:t>
      </w:r>
      <w:r w:rsidR="00D66BA8" w:rsidRPr="00E43A5D">
        <w:t xml:space="preserve"> (</w:t>
      </w:r>
      <w:r w:rsidR="00D66BA8">
        <w:t xml:space="preserve">see </w:t>
      </w:r>
      <w:r w:rsidR="00D66BA8" w:rsidRPr="00E43A5D">
        <w:t>ECE/TRANS/328, para. 149)</w:t>
      </w:r>
      <w:r w:rsidR="00D66BA8" w:rsidRPr="00E43A5D">
        <w:rPr>
          <w:lang w:val="en-US"/>
        </w:rPr>
        <w:t>.</w:t>
      </w:r>
    </w:p>
    <w:p w14:paraId="1C863562" w14:textId="77777777" w:rsidR="00D66BA8" w:rsidRPr="00CA24F8" w:rsidRDefault="00D66BA8" w:rsidP="00D66BA8">
      <w:pPr>
        <w:pStyle w:val="H23G"/>
        <w:jc w:val="both"/>
      </w:pPr>
      <w:r w:rsidRPr="00CA24F8">
        <w:rPr>
          <w:b w:val="0"/>
        </w:rPr>
        <w:tab/>
      </w:r>
      <w:r w:rsidRPr="00DD53D3">
        <w:rPr>
          <w:bCs/>
        </w:rPr>
        <w:t>1.</w:t>
      </w:r>
      <w:r w:rsidRPr="00CA24F8">
        <w:rPr>
          <w:b w:val="0"/>
        </w:rPr>
        <w:tab/>
      </w:r>
      <w:r w:rsidRPr="00473C0C">
        <w:t>Development of the ITC Strategy on reducing greenhouse</w:t>
      </w:r>
      <w:r w:rsidRPr="00CA24F8">
        <w:rPr>
          <w:b w:val="0"/>
        </w:rPr>
        <w:t xml:space="preserve"> </w:t>
      </w:r>
      <w:r w:rsidRPr="00473C0C">
        <w:t xml:space="preserve">gas emissions </w:t>
      </w:r>
      <w:r w:rsidRPr="00CA24F8">
        <w:t>in inland transport</w:t>
      </w:r>
    </w:p>
    <w:p w14:paraId="63BAA69F" w14:textId="77777777" w:rsidR="00D66BA8" w:rsidRDefault="00D66BA8" w:rsidP="00D66BA8">
      <w:pPr>
        <w:pStyle w:val="SingleTxtG"/>
        <w:rPr>
          <w:lang w:val="fr-CH"/>
        </w:rPr>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INF.3 (</w:t>
      </w:r>
      <w:proofErr w:type="spellStart"/>
      <w:r>
        <w:rPr>
          <w:lang w:val="fr-CH"/>
        </w:rPr>
        <w:t>Secretariat</w:t>
      </w:r>
      <w:proofErr w:type="spellEnd"/>
      <w:r>
        <w:rPr>
          <w:lang w:val="fr-CH"/>
        </w:rPr>
        <w:t>)</w:t>
      </w:r>
    </w:p>
    <w:p w14:paraId="0A97208B" w14:textId="715D62A4" w:rsidR="00D66BA8" w:rsidRPr="00FA36EA" w:rsidRDefault="00FC6BBB" w:rsidP="00D66BA8">
      <w:pPr>
        <w:pStyle w:val="SingleTxtG"/>
      </w:pPr>
      <w:r>
        <w:t>8</w:t>
      </w:r>
      <w:r w:rsidR="00D66BA8" w:rsidRPr="00C21695">
        <w:t>.</w:t>
      </w:r>
      <w:r w:rsidR="00D66BA8">
        <w:tab/>
        <w:t>WP.11</w:t>
      </w:r>
      <w:r w:rsidR="00D66BA8" w:rsidRPr="00F81D10">
        <w:t xml:space="preserve"> noted the continued work on the implementation of the ITC strategy until 2030 including the next steps set out in document ECE/TRANS/202</w:t>
      </w:r>
      <w:r w:rsidR="00D66BA8">
        <w:t>3</w:t>
      </w:r>
      <w:r w:rsidR="00D66BA8" w:rsidRPr="00F81D10">
        <w:t>/3.</w:t>
      </w:r>
      <w:r w:rsidR="00D66BA8">
        <w:t xml:space="preserve"> </w:t>
      </w:r>
    </w:p>
    <w:p w14:paraId="62C834DC" w14:textId="269E2757" w:rsidR="00D66BA8" w:rsidRDefault="00FC6BBB" w:rsidP="00D66BA8">
      <w:pPr>
        <w:pStyle w:val="SingleTxtG"/>
      </w:pPr>
      <w:r>
        <w:t>9</w:t>
      </w:r>
      <w:r w:rsidR="00D66BA8">
        <w:t>.</w:t>
      </w:r>
      <w:r w:rsidR="00D66BA8">
        <w:tab/>
      </w:r>
      <w:r w:rsidR="00D66BA8" w:rsidRPr="00F81D10">
        <w:t xml:space="preserve">The </w:t>
      </w:r>
      <w:r w:rsidR="00D66BA8">
        <w:t>Working Party</w:t>
      </w:r>
      <w:r w:rsidR="00D66BA8" w:rsidRPr="00F81D10">
        <w:t xml:space="preserve"> </w:t>
      </w:r>
      <w:r w:rsidR="00D66BA8">
        <w:t xml:space="preserve">welcomed the presentation in informal document INF.3 on the development of the ITC Strategy on reducing greenhouse gas emissions in inland transport. It noted </w:t>
      </w:r>
      <w:r w:rsidR="00D66BA8" w:rsidRPr="00F81D10">
        <w:t xml:space="preserve">with interest </w:t>
      </w:r>
      <w:r w:rsidR="00D66BA8">
        <w:t>the strategic objectives and action plan based on the legal instruments administered by ITC as well as the list of milestones and priorities to help deliver on climate goals and to assist in mitigating and adapting to climate change, as outlined in</w:t>
      </w:r>
      <w:r w:rsidR="00D66BA8" w:rsidRPr="00F81D10">
        <w:t xml:space="preserve"> document ECE/TRANS/202</w:t>
      </w:r>
      <w:r w:rsidR="00D66BA8">
        <w:t>3/21.</w:t>
      </w:r>
    </w:p>
    <w:p w14:paraId="35A0B6E3" w14:textId="77777777" w:rsidR="00D66BA8" w:rsidRPr="00923D0D" w:rsidRDefault="00D66BA8" w:rsidP="00D66BA8">
      <w:pPr>
        <w:pStyle w:val="H23G"/>
        <w:jc w:val="both"/>
        <w:rPr>
          <w:bCs/>
        </w:rPr>
      </w:pPr>
      <w:r w:rsidRPr="00923D0D">
        <w:rPr>
          <w:bCs/>
        </w:rPr>
        <w:lastRenderedPageBreak/>
        <w:tab/>
      </w:r>
      <w:r>
        <w:rPr>
          <w:bCs/>
        </w:rPr>
        <w:t>2.</w:t>
      </w:r>
      <w:r w:rsidRPr="00923D0D">
        <w:rPr>
          <w:bCs/>
        </w:rPr>
        <w:tab/>
        <w:t>ITC strategy on climate change mitigation - Draft contribution</w:t>
      </w:r>
    </w:p>
    <w:p w14:paraId="7194E992" w14:textId="77777777" w:rsidR="00D66BA8" w:rsidRDefault="00D66BA8" w:rsidP="00D66BA8">
      <w:pPr>
        <w:pStyle w:val="SingleTxtG"/>
        <w:ind w:left="2835" w:hanging="1701"/>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INF.5 (</w:t>
      </w:r>
      <w:proofErr w:type="spellStart"/>
      <w:r>
        <w:rPr>
          <w:lang w:val="fr-CH"/>
        </w:rPr>
        <w:t>Secretariat</w:t>
      </w:r>
      <w:proofErr w:type="spellEnd"/>
      <w:r>
        <w:rPr>
          <w:lang w:val="fr-CH"/>
        </w:rPr>
        <w:t xml:space="preserve"> </w:t>
      </w:r>
      <w:r w:rsidRPr="00923D0D">
        <w:t>in collaboration with the WP.11 Bureau</w:t>
      </w:r>
      <w:r>
        <w:rPr>
          <w:lang w:val="fr-CH"/>
        </w:rPr>
        <w:t>)</w:t>
      </w:r>
    </w:p>
    <w:p w14:paraId="78D16E56" w14:textId="1C57EE87" w:rsidR="00D66BA8" w:rsidRDefault="005C3785" w:rsidP="00D66BA8">
      <w:pPr>
        <w:pStyle w:val="SingleTxtG"/>
      </w:pPr>
      <w:r>
        <w:t>10</w:t>
      </w:r>
      <w:r w:rsidR="00D66BA8">
        <w:t>.</w:t>
      </w:r>
      <w:r w:rsidR="00D66BA8">
        <w:tab/>
      </w:r>
      <w:r w:rsidR="00D66BA8" w:rsidRPr="00171CB4">
        <w:t xml:space="preserve">The Working Party </w:t>
      </w:r>
      <w:r w:rsidR="00D66BA8">
        <w:t>agreed that the following activities,</w:t>
      </w:r>
      <w:r w:rsidR="00D66BA8" w:rsidRPr="00A0006C">
        <w:t xml:space="preserve"> where a positive effect in climate change mitigation </w:t>
      </w:r>
      <w:r w:rsidR="00D66BA8">
        <w:t>could be</w:t>
      </w:r>
      <w:r w:rsidR="00D66BA8" w:rsidRPr="00A0006C">
        <w:t xml:space="preserve"> achieved</w:t>
      </w:r>
      <w:r w:rsidR="00D66BA8">
        <w:t>, should be undertaken by WP.11:</w:t>
      </w:r>
    </w:p>
    <w:p w14:paraId="1582D374" w14:textId="77777777" w:rsidR="00D66BA8" w:rsidRPr="00A0006C" w:rsidRDefault="00D66BA8" w:rsidP="00D66BA8">
      <w:pPr>
        <w:tabs>
          <w:tab w:val="left" w:pos="1701"/>
          <w:tab w:val="left" w:pos="2268"/>
        </w:tabs>
        <w:spacing w:after="120"/>
        <w:ind w:left="1134" w:right="1134"/>
        <w:jc w:val="both"/>
      </w:pPr>
      <w:r>
        <w:tab/>
        <w:t>(a)</w:t>
      </w:r>
      <w:r w:rsidRPr="00A0006C">
        <w:tab/>
      </w:r>
      <w:r>
        <w:t>For g</w:t>
      </w:r>
      <w:r w:rsidRPr="00A0006C">
        <w:t xml:space="preserve">reening the vehicles transporting </w:t>
      </w:r>
      <w:r>
        <w:t xml:space="preserve">perishable foodstuffs efforts are currently done to define the scope of the ATP agreement with the view of including </w:t>
      </w:r>
      <w:r w:rsidRPr="00A0006C">
        <w:t xml:space="preserve">provisions to enable the use of </w:t>
      </w:r>
      <w:r w:rsidRPr="00CD4308">
        <w:rPr>
          <w:rFonts w:eastAsia="SimSun"/>
          <w:lang w:eastAsia="zh-CN"/>
        </w:rPr>
        <w:t>alternative</w:t>
      </w:r>
      <w:r w:rsidRPr="00A0006C">
        <w:t xml:space="preserve"> </w:t>
      </w:r>
      <w:r>
        <w:t xml:space="preserve">energy sources for propulsion and refrigeration as well as the use of </w:t>
      </w:r>
      <w:r w:rsidRPr="00A0006C">
        <w:t xml:space="preserve">electrified </w:t>
      </w:r>
      <w:proofErr w:type="gramStart"/>
      <w:r w:rsidRPr="00A0006C">
        <w:t>vehicles</w:t>
      </w:r>
      <w:r>
        <w:t>;</w:t>
      </w:r>
      <w:proofErr w:type="gramEnd"/>
    </w:p>
    <w:p w14:paraId="56F6C681" w14:textId="77777777" w:rsidR="00D66BA8" w:rsidRPr="0091292E" w:rsidRDefault="00D66BA8" w:rsidP="00D66BA8">
      <w:pPr>
        <w:tabs>
          <w:tab w:val="left" w:pos="1701"/>
          <w:tab w:val="left" w:pos="2268"/>
        </w:tabs>
        <w:spacing w:after="120"/>
        <w:ind w:left="1134" w:right="1134"/>
        <w:jc w:val="both"/>
        <w:rPr>
          <w:rFonts w:asciiTheme="majorBidi" w:hAnsiTheme="majorBidi" w:cstheme="majorBidi"/>
        </w:rPr>
      </w:pPr>
      <w:r>
        <w:tab/>
        <w:t>(b)</w:t>
      </w:r>
      <w:r>
        <w:tab/>
      </w:r>
      <w:r w:rsidRPr="00A0006C">
        <w:t xml:space="preserve">Adoption of provisions to </w:t>
      </w:r>
      <w:r>
        <w:t xml:space="preserve">streamline the replacement of refrigerants for those </w:t>
      </w:r>
      <w:r w:rsidRPr="009D5B88">
        <w:t>with lower Global Warming Potential (GWP)</w:t>
      </w:r>
      <w:r>
        <w:t xml:space="preserve">, using as reference Chapter 6 of the 2022 Assessment Report from the Refrigeration, Air Conditioning and Heat Pumps Technical Options Committee (see </w:t>
      </w:r>
      <w:hyperlink r:id="rId13" w:history="1">
        <w:r w:rsidRPr="00F11616">
          <w:rPr>
            <w:rStyle w:val="Hyperlink"/>
            <w:rFonts w:asciiTheme="majorBidi" w:hAnsiTheme="majorBidi" w:cstheme="majorBidi"/>
          </w:rPr>
          <w:t>https://ozone.unep.org/system/files/documents/RTOC-assessment%20-report-2022.pdf</w:t>
        </w:r>
      </w:hyperlink>
      <w:r>
        <w:rPr>
          <w:rFonts w:ascii="Arial" w:hAnsi="Arial" w:cs="Arial"/>
          <w:sz w:val="21"/>
          <w:szCs w:val="21"/>
        </w:rPr>
        <w:t>)</w:t>
      </w:r>
      <w:r w:rsidRPr="0091292E">
        <w:rPr>
          <w:rFonts w:asciiTheme="majorBidi" w:hAnsiTheme="majorBidi" w:cstheme="majorBidi"/>
        </w:rPr>
        <w:t>;</w:t>
      </w:r>
    </w:p>
    <w:p w14:paraId="542A3A00" w14:textId="77777777" w:rsidR="00D66BA8" w:rsidRPr="00A0006C" w:rsidRDefault="00D66BA8" w:rsidP="00D66BA8">
      <w:pPr>
        <w:tabs>
          <w:tab w:val="left" w:pos="1701"/>
          <w:tab w:val="left" w:pos="2268"/>
        </w:tabs>
        <w:spacing w:after="120"/>
        <w:ind w:left="1134" w:right="1134"/>
        <w:jc w:val="both"/>
      </w:pPr>
      <w:r>
        <w:tab/>
        <w:t>(c)</w:t>
      </w:r>
      <w:r>
        <w:tab/>
      </w:r>
      <w:r w:rsidRPr="00BC2407">
        <w:t xml:space="preserve">Promoting </w:t>
      </w:r>
      <w:r>
        <w:t xml:space="preserve">the correct use of </w:t>
      </w:r>
      <w:proofErr w:type="gramStart"/>
      <w:r w:rsidRPr="00BC2407">
        <w:t>temperature controlled</w:t>
      </w:r>
      <w:proofErr w:type="gramEnd"/>
      <w:r w:rsidRPr="00BC2407">
        <w:t xml:space="preserve"> </w:t>
      </w:r>
      <w:r>
        <w:t xml:space="preserve">equipment for the </w:t>
      </w:r>
      <w:r w:rsidRPr="00BC2407">
        <w:t xml:space="preserve">transport </w:t>
      </w:r>
      <w:r>
        <w:t xml:space="preserve">of perishable foodstuffs </w:t>
      </w:r>
      <w:r w:rsidRPr="00BC2407">
        <w:t>to reduce food waste</w:t>
      </w:r>
      <w:r w:rsidRPr="00A0006C">
        <w:t>;</w:t>
      </w:r>
    </w:p>
    <w:p w14:paraId="72FFE47E" w14:textId="77777777" w:rsidR="00D66BA8" w:rsidRDefault="00D66BA8" w:rsidP="00D66BA8">
      <w:pPr>
        <w:tabs>
          <w:tab w:val="left" w:pos="1701"/>
          <w:tab w:val="left" w:pos="2268"/>
        </w:tabs>
        <w:spacing w:after="120"/>
        <w:ind w:left="1134" w:right="1134"/>
        <w:jc w:val="both"/>
      </w:pPr>
      <w:r>
        <w:tab/>
        <w:t>(d)</w:t>
      </w:r>
      <w:r>
        <w:tab/>
        <w:t xml:space="preserve">Following closely the work done in standardization organizations related to refrigerated or insulated container used for last mile </w:t>
      </w:r>
      <w:proofErr w:type="gramStart"/>
      <w:r>
        <w:t>deliveries</w:t>
      </w:r>
      <w:r w:rsidRPr="00A0006C">
        <w:t>;</w:t>
      </w:r>
      <w:proofErr w:type="gramEnd"/>
    </w:p>
    <w:p w14:paraId="5DEDB573" w14:textId="77777777" w:rsidR="00D66BA8" w:rsidRPr="00A0006C" w:rsidRDefault="00D66BA8" w:rsidP="00D66BA8">
      <w:pPr>
        <w:tabs>
          <w:tab w:val="left" w:pos="1701"/>
          <w:tab w:val="left" w:pos="2268"/>
        </w:tabs>
        <w:spacing w:after="120"/>
        <w:ind w:left="1134" w:right="1134"/>
        <w:jc w:val="both"/>
      </w:pPr>
      <w:r>
        <w:tab/>
      </w:r>
      <w:r w:rsidRPr="000C55B0">
        <w:t>(e)</w:t>
      </w:r>
      <w:r w:rsidRPr="000C55B0">
        <w:tab/>
        <w:t xml:space="preserve">Following the work of ISO related to maritime </w:t>
      </w:r>
      <w:proofErr w:type="gramStart"/>
      <w:r w:rsidRPr="000C55B0">
        <w:t>containers</w:t>
      </w:r>
      <w:r>
        <w:t>;</w:t>
      </w:r>
      <w:proofErr w:type="gramEnd"/>
    </w:p>
    <w:p w14:paraId="0356EA67" w14:textId="77777777" w:rsidR="00D66BA8" w:rsidRDefault="00D66BA8" w:rsidP="00D66BA8">
      <w:pPr>
        <w:tabs>
          <w:tab w:val="left" w:pos="1701"/>
          <w:tab w:val="left" w:pos="2268"/>
        </w:tabs>
        <w:spacing w:after="120"/>
        <w:ind w:left="1134" w:right="1134"/>
      </w:pPr>
      <w:r>
        <w:tab/>
        <w:t>(f)</w:t>
      </w:r>
      <w:r>
        <w:tab/>
      </w:r>
      <w:r w:rsidRPr="00A0006C">
        <w:t>Work</w:t>
      </w:r>
      <w:r>
        <w:t>ing</w:t>
      </w:r>
      <w:r w:rsidRPr="00A0006C">
        <w:t xml:space="preserve"> to allow electronic versions of</w:t>
      </w:r>
      <w:r>
        <w:t xml:space="preserve"> </w:t>
      </w:r>
      <w:proofErr w:type="gramStart"/>
      <w:r w:rsidRPr="00A0006C">
        <w:t>documents;</w:t>
      </w:r>
      <w:proofErr w:type="gramEnd"/>
    </w:p>
    <w:p w14:paraId="386B1AEE" w14:textId="77777777" w:rsidR="00D66BA8" w:rsidRDefault="00D66BA8" w:rsidP="00D66BA8">
      <w:pPr>
        <w:tabs>
          <w:tab w:val="left" w:pos="1701"/>
          <w:tab w:val="left" w:pos="2268"/>
        </w:tabs>
        <w:spacing w:after="120"/>
        <w:ind w:left="1134" w:right="1134"/>
        <w:jc w:val="both"/>
      </w:pPr>
      <w:r>
        <w:tab/>
        <w:t>(g)</w:t>
      </w:r>
      <w:r>
        <w:tab/>
        <w:t>Drafting guidance material for the transport of other perishable goods not included in the ATP agreement</w:t>
      </w:r>
      <w:r w:rsidRPr="00D034DA">
        <w:t xml:space="preserve"> </w:t>
      </w:r>
      <w:r>
        <w:t>and sharing best practices for the transport of all perishable goods. This is especially important to prevent food waste and related CO</w:t>
      </w:r>
      <w:r w:rsidRPr="00DA5B33">
        <w:rPr>
          <w:vertAlign w:val="subscript"/>
        </w:rPr>
        <w:t>2</w:t>
      </w:r>
      <w:r>
        <w:t xml:space="preserve"> </w:t>
      </w:r>
      <w:proofErr w:type="gramStart"/>
      <w:r>
        <w:t>emissions;</w:t>
      </w:r>
      <w:proofErr w:type="gramEnd"/>
    </w:p>
    <w:p w14:paraId="7FF4E80F" w14:textId="77777777" w:rsidR="00D66BA8" w:rsidRDefault="00D66BA8" w:rsidP="00D66BA8">
      <w:pPr>
        <w:tabs>
          <w:tab w:val="left" w:pos="1701"/>
          <w:tab w:val="left" w:pos="2268"/>
        </w:tabs>
        <w:spacing w:after="120"/>
        <w:ind w:left="1134" w:right="1134"/>
        <w:jc w:val="both"/>
        <w:rPr>
          <w:rStyle w:val="ui-provider"/>
        </w:rPr>
      </w:pPr>
      <w:r>
        <w:tab/>
        <w:t>(h)</w:t>
      </w:r>
      <w:r>
        <w:tab/>
      </w:r>
      <w:r w:rsidRPr="00760CCC">
        <w:t xml:space="preserve">Future work might include </w:t>
      </w:r>
      <w:r w:rsidRPr="00760CCC">
        <w:rPr>
          <w:rStyle w:val="ui-provider"/>
        </w:rPr>
        <w:t xml:space="preserve">considering alternative transport modes for perishable foodstuffs. So </w:t>
      </w:r>
      <w:proofErr w:type="gramStart"/>
      <w:r w:rsidRPr="00760CCC">
        <w:rPr>
          <w:rStyle w:val="ui-provider"/>
        </w:rPr>
        <w:t>far</w:t>
      </w:r>
      <w:proofErr w:type="gramEnd"/>
      <w:r w:rsidRPr="00760CCC">
        <w:rPr>
          <w:rStyle w:val="ui-provider"/>
        </w:rPr>
        <w:t xml:space="preserve"> the ATP Agreement only includes road</w:t>
      </w:r>
      <w:r>
        <w:rPr>
          <w:rStyle w:val="ui-provider"/>
        </w:rPr>
        <w:t xml:space="preserve"> and </w:t>
      </w:r>
      <w:r w:rsidRPr="00760CCC">
        <w:rPr>
          <w:rStyle w:val="ui-provider"/>
        </w:rPr>
        <w:t>rail</w:t>
      </w:r>
      <w:r>
        <w:rPr>
          <w:rStyle w:val="ui-provider"/>
        </w:rPr>
        <w:t>;</w:t>
      </w:r>
    </w:p>
    <w:p w14:paraId="71779237" w14:textId="3C11B1B5" w:rsidR="00D66BA8" w:rsidRDefault="00D66BA8" w:rsidP="00D66BA8">
      <w:pPr>
        <w:pStyle w:val="SingleTxtG"/>
      </w:pPr>
      <w:r>
        <w:rPr>
          <w:rStyle w:val="ui-provider"/>
        </w:rPr>
        <w:tab/>
        <w:t>(</w:t>
      </w:r>
      <w:proofErr w:type="spellStart"/>
      <w:r>
        <w:rPr>
          <w:rStyle w:val="ui-provider"/>
        </w:rPr>
        <w:t>i</w:t>
      </w:r>
      <w:proofErr w:type="spellEnd"/>
      <w:r>
        <w:rPr>
          <w:rStyle w:val="ui-provider"/>
        </w:rPr>
        <w:t>)</w:t>
      </w:r>
      <w:r w:rsidRPr="00A0006C">
        <w:tab/>
      </w:r>
      <w:r w:rsidRPr="00F62C43">
        <w:t>From an organisational point of view,</w:t>
      </w:r>
      <w:r w:rsidRPr="00A0006C">
        <w:t xml:space="preserve"> the </w:t>
      </w:r>
      <w:r w:rsidRPr="00F62C43">
        <w:t xml:space="preserve">ITC strategy </w:t>
      </w:r>
      <w:r>
        <w:t>c</w:t>
      </w:r>
      <w:r w:rsidRPr="00F62C43">
        <w:t xml:space="preserve">ould be an opportunity for ITC to develop </w:t>
      </w:r>
      <w:r>
        <w:t>a framework</w:t>
      </w:r>
      <w:r w:rsidRPr="00F62C43">
        <w:t xml:space="preserve"> for all its subsidiary bodies to be</w:t>
      </w:r>
      <w:r>
        <w:t>come</w:t>
      </w:r>
      <w:r w:rsidRPr="00F62C43">
        <w:t xml:space="preserve"> more climate neutral, by </w:t>
      </w:r>
      <w:r w:rsidRPr="00F62C43">
        <w:rPr>
          <w:u w:val="single"/>
        </w:rPr>
        <w:t>encouraging hybrid meetings</w:t>
      </w:r>
      <w:r w:rsidRPr="00F62C43">
        <w:t>.</w:t>
      </w:r>
      <w:r w:rsidRPr="00760CCC">
        <w:rPr>
          <w:rStyle w:val="ui-provider"/>
        </w:rPr>
        <w:t xml:space="preserve"> </w:t>
      </w:r>
    </w:p>
    <w:p w14:paraId="1331311C" w14:textId="77777777" w:rsidR="00D66BA8" w:rsidRPr="00923D0D" w:rsidRDefault="00D66BA8" w:rsidP="00D66BA8">
      <w:pPr>
        <w:pStyle w:val="H23G"/>
        <w:jc w:val="both"/>
        <w:rPr>
          <w:bCs/>
        </w:rPr>
      </w:pPr>
      <w:r w:rsidRPr="00923D0D">
        <w:rPr>
          <w:bCs/>
        </w:rPr>
        <w:tab/>
      </w:r>
      <w:r>
        <w:rPr>
          <w:bCs/>
        </w:rPr>
        <w:t>3.</w:t>
      </w:r>
      <w:r w:rsidRPr="00923D0D">
        <w:rPr>
          <w:bCs/>
        </w:rPr>
        <w:tab/>
        <w:t>Recommended information for the review of ITC Working Parties</w:t>
      </w:r>
    </w:p>
    <w:p w14:paraId="6135ACA7" w14:textId="77777777" w:rsidR="00D66BA8" w:rsidRDefault="00D66BA8" w:rsidP="00D66BA8">
      <w:pPr>
        <w:pStyle w:val="SingleTxtG"/>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INF.6 (</w:t>
      </w:r>
      <w:r w:rsidRPr="00923D0D">
        <w:t>WP.11's bureau with inputs from the secretariat</w:t>
      </w:r>
      <w:r>
        <w:rPr>
          <w:lang w:val="fr-CH"/>
        </w:rPr>
        <w:t>)</w:t>
      </w:r>
    </w:p>
    <w:p w14:paraId="4ADE2FE7" w14:textId="07B42460" w:rsidR="00CA2AD9" w:rsidRPr="00CA2AD9" w:rsidRDefault="005C3785" w:rsidP="0006094C">
      <w:pPr>
        <w:pStyle w:val="SingleTxtG"/>
      </w:pPr>
      <w:r>
        <w:t>11</w:t>
      </w:r>
      <w:r w:rsidR="00D66BA8">
        <w:t>.</w:t>
      </w:r>
      <w:r w:rsidR="00D66BA8">
        <w:tab/>
      </w:r>
      <w:r w:rsidR="00D66BA8" w:rsidRPr="00171CB4">
        <w:t xml:space="preserve">The Working Party </w:t>
      </w:r>
      <w:r w:rsidR="00D66BA8">
        <w:t xml:space="preserve">took note of the information provided in the informal document and made a few changes to the text that will be </w:t>
      </w:r>
      <w:proofErr w:type="gramStart"/>
      <w:r w:rsidR="00D66BA8">
        <w:t>taken into account</w:t>
      </w:r>
      <w:proofErr w:type="gramEnd"/>
      <w:r w:rsidR="00D66BA8">
        <w:t xml:space="preserve"> when drafting the final version</w:t>
      </w:r>
      <w:r w:rsidR="00D66BA8" w:rsidRPr="00171CB4">
        <w:t>.</w:t>
      </w:r>
    </w:p>
    <w:p w14:paraId="00639AAB" w14:textId="77777777" w:rsidR="006F4ABA" w:rsidRPr="00803899" w:rsidRDefault="006F4ABA" w:rsidP="006F4ABA">
      <w:pPr>
        <w:pStyle w:val="H1G"/>
      </w:pPr>
      <w:r w:rsidRPr="001613BF">
        <w:tab/>
      </w:r>
      <w:r>
        <w:t>B.</w:t>
      </w:r>
      <w:r w:rsidRPr="00803899">
        <w:tab/>
        <w:t xml:space="preserve">Working Party on </w:t>
      </w:r>
      <w:r w:rsidRPr="009C6AEA">
        <w:t>Agricultural</w:t>
      </w:r>
      <w:r w:rsidRPr="00803899">
        <w:t xml:space="preserve"> Quality </w:t>
      </w:r>
      <w:r w:rsidRPr="00D86A74">
        <w:t>Standards</w:t>
      </w:r>
    </w:p>
    <w:p w14:paraId="0831380A" w14:textId="1983D8F6" w:rsidR="006F4ABA" w:rsidRPr="00266004" w:rsidRDefault="00EA4011" w:rsidP="006F4ABA">
      <w:pPr>
        <w:pStyle w:val="SingleTxtG"/>
      </w:pPr>
      <w:r>
        <w:t>12</w:t>
      </w:r>
      <w:r w:rsidR="006F4ABA">
        <w:t>.</w:t>
      </w:r>
      <w:r w:rsidR="006F4ABA">
        <w:tab/>
      </w:r>
      <w:r w:rsidR="006F4ABA" w:rsidRPr="00266004">
        <w:t>The activities of the Working Party on Agricultural Quality Standards (WP.7) of interest to WP.11 are:</w:t>
      </w:r>
    </w:p>
    <w:p w14:paraId="633F87A9" w14:textId="70471F3C" w:rsidR="006F4ABA" w:rsidRPr="00266004" w:rsidRDefault="00C23355" w:rsidP="00AA2AA7">
      <w:pPr>
        <w:pStyle w:val="Bullet1G"/>
      </w:pPr>
      <w:hyperlink r:id="rId14" w:history="1">
        <w:r w:rsidR="006F4ABA" w:rsidRPr="00266004">
          <w:t>Thirty-</w:t>
        </w:r>
        <w:proofErr w:type="gramStart"/>
        <w:r w:rsidR="006F4ABA" w:rsidRPr="00266004">
          <w:t>first  session</w:t>
        </w:r>
        <w:proofErr w:type="gramEnd"/>
        <w:r w:rsidR="006F4ABA" w:rsidRPr="00266004">
          <w:t xml:space="preserve"> of the Specialized Section on Standardization of Meat (GE.11)</w:t>
        </w:r>
      </w:hyperlink>
      <w:r w:rsidR="006F4ABA" w:rsidRPr="00266004">
        <w:t xml:space="preserve"> 28</w:t>
      </w:r>
      <w:r w:rsidR="00AA2AA7">
        <w:t> </w:t>
      </w:r>
      <w:r w:rsidR="006F4ABA" w:rsidRPr="00266004">
        <w:t>-</w:t>
      </w:r>
      <w:r w:rsidR="00AA2AA7">
        <w:t> </w:t>
      </w:r>
      <w:r w:rsidR="006F4ABA" w:rsidRPr="00266004">
        <w:t>29 August 2023, Geneva, Switzerland;</w:t>
      </w:r>
    </w:p>
    <w:p w14:paraId="1744572C" w14:textId="77777777" w:rsidR="006F4ABA" w:rsidRPr="00266004" w:rsidRDefault="00C23355" w:rsidP="00CD57F6">
      <w:pPr>
        <w:pStyle w:val="Bullet1G"/>
      </w:pPr>
      <w:hyperlink r:id="rId15" w:history="1">
        <w:r w:rsidR="006F4ABA" w:rsidRPr="00266004">
          <w:t>Seventy-eighth session of the Working Party on Agricultural Quality Standards (WP.7)</w:t>
        </w:r>
      </w:hyperlink>
      <w:r w:rsidR="006F4ABA" w:rsidRPr="00266004">
        <w:t xml:space="preserve"> 13 - 15 November 2023, Geneva, Switzerland.</w:t>
      </w:r>
    </w:p>
    <w:p w14:paraId="33D0F60C" w14:textId="72271D85" w:rsidR="006F4ABA" w:rsidRPr="00266004" w:rsidRDefault="00EA4011" w:rsidP="006F4ABA">
      <w:pPr>
        <w:pStyle w:val="SingleTxtG"/>
        <w:rPr>
          <w:spacing w:val="-3"/>
        </w:rPr>
      </w:pPr>
      <w:r>
        <w:rPr>
          <w:spacing w:val="-3"/>
        </w:rPr>
        <w:t>13</w:t>
      </w:r>
      <w:r w:rsidR="006F4ABA">
        <w:rPr>
          <w:spacing w:val="-3"/>
        </w:rPr>
        <w:t>.</w:t>
      </w:r>
      <w:r w:rsidR="006F4ABA">
        <w:rPr>
          <w:spacing w:val="-3"/>
        </w:rPr>
        <w:tab/>
      </w:r>
      <w:r w:rsidR="006F4ABA" w:rsidRPr="00266004">
        <w:rPr>
          <w:spacing w:val="-3"/>
        </w:rPr>
        <w:t xml:space="preserve">The latest UNECE tool to combat food loss and waste can be found at </w:t>
      </w:r>
      <w:r w:rsidR="006F4ABA" w:rsidRPr="00266004">
        <w:t>https://unece.org/trade/wp7/food-loss-and-waste</w:t>
      </w:r>
    </w:p>
    <w:p w14:paraId="727BF3A3" w14:textId="61A47472" w:rsidR="006F4ABA" w:rsidRDefault="00EA4011" w:rsidP="006F4ABA">
      <w:pPr>
        <w:pStyle w:val="SingleTxtG"/>
        <w:rPr>
          <w:spacing w:val="-3"/>
        </w:rPr>
      </w:pPr>
      <w:r>
        <w:rPr>
          <w:spacing w:val="-3"/>
        </w:rPr>
        <w:t>14</w:t>
      </w:r>
      <w:r w:rsidR="006F4ABA">
        <w:rPr>
          <w:spacing w:val="-3"/>
        </w:rPr>
        <w:t>.</w:t>
      </w:r>
      <w:r w:rsidR="006F4ABA">
        <w:rPr>
          <w:spacing w:val="-3"/>
        </w:rPr>
        <w:tab/>
      </w:r>
      <w:r w:rsidR="006F4ABA" w:rsidRPr="00266004">
        <w:rPr>
          <w:spacing w:val="-3"/>
        </w:rPr>
        <w:t xml:space="preserve">For more information on these and other activities, please visit WP.7 website at </w:t>
      </w:r>
      <w:hyperlink r:id="rId16" w:history="1">
        <w:r w:rsidR="007F39A2" w:rsidRPr="00DE3025">
          <w:rPr>
            <w:rStyle w:val="Hyperlink"/>
          </w:rPr>
          <w:t>https://unece.org/trade/working-party-agricultural-quality-standards-wp7</w:t>
        </w:r>
      </w:hyperlink>
      <w:r w:rsidR="006F4ABA" w:rsidRPr="00266004">
        <w:rPr>
          <w:spacing w:val="-3"/>
        </w:rPr>
        <w:t>.</w:t>
      </w:r>
    </w:p>
    <w:p w14:paraId="6C093F44" w14:textId="77777777" w:rsidR="000516DE" w:rsidRDefault="000516DE" w:rsidP="000516DE">
      <w:pPr>
        <w:pStyle w:val="H1G"/>
      </w:pPr>
      <w:r>
        <w:lastRenderedPageBreak/>
        <w:tab/>
        <w:t>C.</w:t>
      </w:r>
      <w:r>
        <w:tab/>
        <w:t>Standardization organizations</w:t>
      </w:r>
    </w:p>
    <w:p w14:paraId="39CCF3D6" w14:textId="7D142070" w:rsidR="000516DE" w:rsidRDefault="00EA4011" w:rsidP="000516DE">
      <w:pPr>
        <w:pStyle w:val="SingleTxtG"/>
        <w:rPr>
          <w:lang w:val="en-US"/>
        </w:rPr>
      </w:pPr>
      <w:r>
        <w:t>15</w:t>
      </w:r>
      <w:r w:rsidR="000516DE">
        <w:t>.</w:t>
      </w:r>
      <w:r w:rsidR="000516DE">
        <w:tab/>
        <w:t xml:space="preserve">Delegations participating in the work of </w:t>
      </w:r>
      <w:r w:rsidR="000516DE" w:rsidRPr="002D25F3">
        <w:t>standardization organizations</w:t>
      </w:r>
      <w:r w:rsidR="000516DE">
        <w:t xml:space="preserve"> were invited </w:t>
      </w:r>
      <w:r w:rsidR="000516DE" w:rsidRPr="00D86A74">
        <w:t>to</w:t>
      </w:r>
      <w:r w:rsidR="000516DE">
        <w:t xml:space="preserve"> inform the Working Party about progress on the development of </w:t>
      </w:r>
      <w:r w:rsidR="000516DE">
        <w:rPr>
          <w:lang w:val="en-US"/>
        </w:rPr>
        <w:t>standards dealing with transport under controlled temperatures and what impact these standards were expected to have on the ATP.</w:t>
      </w:r>
    </w:p>
    <w:p w14:paraId="06B33462" w14:textId="77777777" w:rsidR="000516DE" w:rsidRPr="002619AF" w:rsidRDefault="000516DE" w:rsidP="000516DE">
      <w:pPr>
        <w:pStyle w:val="H23G"/>
      </w:pPr>
      <w:r>
        <w:tab/>
      </w:r>
      <w:r>
        <w:tab/>
      </w:r>
      <w:bookmarkStart w:id="4" w:name="_Toc528146968"/>
      <w:r w:rsidRPr="002619AF">
        <w:t>EN Standards</w:t>
      </w:r>
      <w:bookmarkEnd w:id="4"/>
    </w:p>
    <w:p w14:paraId="23ED4CB3" w14:textId="77777777" w:rsidR="000516DE" w:rsidRPr="002619AF" w:rsidRDefault="000516DE" w:rsidP="000516DE">
      <w:pPr>
        <w:pStyle w:val="H23G"/>
      </w:pPr>
      <w:r w:rsidRPr="002619AF">
        <w:tab/>
      </w:r>
      <w:bookmarkStart w:id="5" w:name="_Toc528146969"/>
      <w:r w:rsidRPr="002619AF">
        <w:t>1.</w:t>
      </w:r>
      <w:r w:rsidRPr="002619AF">
        <w:tab/>
        <w:t>CEN/TC 413 Working Group 2</w:t>
      </w:r>
      <w:bookmarkEnd w:id="5"/>
    </w:p>
    <w:p w14:paraId="61A4323C" w14:textId="082D5F87" w:rsidR="000516DE" w:rsidRPr="002619AF" w:rsidRDefault="00EA4011" w:rsidP="000516DE">
      <w:pPr>
        <w:pStyle w:val="SingleTxtG"/>
      </w:pPr>
      <w:r>
        <w:t>16</w:t>
      </w:r>
      <w:r w:rsidR="000516DE" w:rsidRPr="002619AF">
        <w:t>.</w:t>
      </w:r>
      <w:r w:rsidR="000516DE" w:rsidRPr="002619AF">
        <w:tab/>
        <w:t xml:space="preserve">EN 16440 </w:t>
      </w:r>
      <w:r w:rsidR="000516DE" w:rsidRPr="00B00429">
        <w:t>—</w:t>
      </w:r>
      <w:r w:rsidR="000516DE" w:rsidRPr="002619AF">
        <w:t xml:space="preserve"> 1:2015-01 Testing methodologies of cooling equipment for insulated means of transport — Part 1: Mechanical refrigeration devices with forced air circulation evaporator with or without heating devices. </w:t>
      </w:r>
      <w:r w:rsidR="000516DE" w:rsidRPr="00C47794">
        <w:rPr>
          <w:i/>
          <w:iCs/>
        </w:rPr>
        <w:t>The final version was published in January 2015</w:t>
      </w:r>
      <w:r w:rsidR="000516DE" w:rsidRPr="002619AF">
        <w:t xml:space="preserve">. </w:t>
      </w:r>
    </w:p>
    <w:p w14:paraId="73282560" w14:textId="4FB674D1" w:rsidR="000516DE" w:rsidRDefault="00EA4011" w:rsidP="000516DE">
      <w:pPr>
        <w:pStyle w:val="SingleTxtG"/>
      </w:pPr>
      <w:r>
        <w:t>17</w:t>
      </w:r>
      <w:r w:rsidR="000516DE">
        <w:t>.</w:t>
      </w:r>
      <w:r w:rsidR="000516DE">
        <w:tab/>
      </w:r>
      <w:proofErr w:type="spellStart"/>
      <w:r w:rsidR="000516DE" w:rsidRPr="003440A5">
        <w:t>FprEN</w:t>
      </w:r>
      <w:proofErr w:type="spellEnd"/>
      <w:r w:rsidR="000516DE" w:rsidRPr="003440A5">
        <w:t xml:space="preserve"> 16440-2:2023 </w:t>
      </w:r>
      <w:r w:rsidR="000516DE">
        <w:t>was</w:t>
      </w:r>
      <w:r w:rsidR="000516DE" w:rsidRPr="003440A5">
        <w:t xml:space="preserve"> still under preparation for a final vote at CEN level:</w:t>
      </w:r>
    </w:p>
    <w:p w14:paraId="662EBE32" w14:textId="77777777" w:rsidR="000516DE" w:rsidRPr="003440A5" w:rsidRDefault="000516DE" w:rsidP="000516DE">
      <w:pPr>
        <w:pStyle w:val="Bullet1G"/>
        <w:numPr>
          <w:ilvl w:val="0"/>
          <w:numId w:val="0"/>
        </w:numPr>
        <w:tabs>
          <w:tab w:val="left" w:pos="1701"/>
        </w:tabs>
        <w:ind w:left="1701" w:hanging="170"/>
      </w:pPr>
      <w:r w:rsidRPr="00CD4570">
        <w:t>•</w:t>
      </w:r>
      <w:r w:rsidRPr="00CD4570">
        <w:tab/>
        <w:t>Part 2: Eutectic Systems: The current</w:t>
      </w:r>
      <w:r>
        <w:t xml:space="preserve"> </w:t>
      </w:r>
      <w:r w:rsidRPr="003440A5">
        <w:t xml:space="preserve">working draft will be </w:t>
      </w:r>
      <w:r>
        <w:t>sent to final vote within the next weeks.</w:t>
      </w:r>
      <w:r w:rsidRPr="00CD4570">
        <w:t xml:space="preserve"> </w:t>
      </w:r>
      <w:r>
        <w:t>E</w:t>
      </w:r>
      <w:r w:rsidRPr="00C256A7">
        <w:t xml:space="preserve">specially the test provisions for cooling capacities and consumption for new equipment with eutectic systems </w:t>
      </w:r>
      <w:r>
        <w:t>as well equipment in daily operation sequences were adopted</w:t>
      </w:r>
      <w:r w:rsidRPr="00C256A7">
        <w:t>.</w:t>
      </w:r>
    </w:p>
    <w:p w14:paraId="2A437AC7" w14:textId="77777777" w:rsidR="000516DE" w:rsidRPr="002619AF" w:rsidRDefault="000516DE" w:rsidP="000516DE">
      <w:pPr>
        <w:pStyle w:val="H23G"/>
      </w:pPr>
      <w:r w:rsidRPr="002619AF">
        <w:tab/>
      </w:r>
      <w:bookmarkStart w:id="6" w:name="_Toc528146970"/>
      <w:r w:rsidRPr="002619AF">
        <w:t>2.</w:t>
      </w:r>
      <w:r w:rsidRPr="002619AF">
        <w:tab/>
        <w:t>CEN/TC 413 Working Group 1</w:t>
      </w:r>
      <w:bookmarkEnd w:id="6"/>
    </w:p>
    <w:p w14:paraId="79C9EC5F" w14:textId="77777777" w:rsidR="000516DE" w:rsidRPr="00DF3F01" w:rsidRDefault="000516DE" w:rsidP="000516DE">
      <w:pPr>
        <w:pStyle w:val="Bullet1G"/>
        <w:numPr>
          <w:ilvl w:val="0"/>
          <w:numId w:val="0"/>
        </w:numPr>
        <w:tabs>
          <w:tab w:val="left" w:pos="1701"/>
        </w:tabs>
        <w:ind w:left="1701" w:hanging="170"/>
      </w:pPr>
      <w:r w:rsidRPr="00DF3F01">
        <w:t>•</w:t>
      </w:r>
      <w:r w:rsidRPr="00DF3F01">
        <w:tab/>
        <w:t xml:space="preserve">EN 17066 Part 1: Container </w:t>
      </w:r>
      <w:r>
        <w:t>—</w:t>
      </w:r>
      <w:r w:rsidRPr="00DF3F01">
        <w:t xml:space="preserve"> Insulated means of transport for temperature sensitive goods </w:t>
      </w:r>
      <w:r>
        <w:t>—</w:t>
      </w:r>
      <w:r w:rsidRPr="00DF3F01">
        <w:t xml:space="preserve"> Requirements and testing to define the terminology, the specific requirements, test provisions, dimensioning of insulated bodies including evaluation of k value. </w:t>
      </w:r>
      <w:r w:rsidRPr="005A5741">
        <w:rPr>
          <w:i/>
          <w:iCs/>
        </w:rPr>
        <w:t>Final version was published in October 2019.</w:t>
      </w:r>
    </w:p>
    <w:p w14:paraId="527DEEAC" w14:textId="77777777" w:rsidR="000516DE" w:rsidRPr="002619AF" w:rsidRDefault="000516DE" w:rsidP="000516DE">
      <w:pPr>
        <w:pStyle w:val="Bullet1G"/>
        <w:numPr>
          <w:ilvl w:val="0"/>
          <w:numId w:val="0"/>
        </w:numPr>
        <w:tabs>
          <w:tab w:val="left" w:pos="1701"/>
        </w:tabs>
        <w:ind w:left="1701" w:hanging="170"/>
      </w:pPr>
      <w:r w:rsidRPr="00B64501">
        <w:t>•</w:t>
      </w:r>
      <w:r w:rsidRPr="00B64501">
        <w:tab/>
      </w:r>
      <w:proofErr w:type="spellStart"/>
      <w:r w:rsidRPr="00B64501">
        <w:t>FprEN</w:t>
      </w:r>
      <w:proofErr w:type="spellEnd"/>
      <w:r w:rsidRPr="00B64501">
        <w:t xml:space="preserve"> 17066 Part 2: Equipme</w:t>
      </w:r>
      <w:r w:rsidRPr="00DF3F01">
        <w:t xml:space="preserve">nt </w:t>
      </w:r>
      <w:r>
        <w:t>—</w:t>
      </w:r>
      <w:r w:rsidRPr="00DF3F01">
        <w:t xml:space="preserve"> Combination of insulated bodies and their cooling and/or heating devices including verification of cooling and heating capacities for long</w:t>
      </w:r>
      <w:r w:rsidRPr="002619AF">
        <w:t xml:space="preserve"> distance transport as well distribution</w:t>
      </w:r>
      <w:r>
        <w:t xml:space="preserve">. </w:t>
      </w:r>
      <w:r w:rsidRPr="00D6189B">
        <w:rPr>
          <w:i/>
          <w:iCs/>
        </w:rPr>
        <w:t xml:space="preserve">The final working draft will be sent </w:t>
      </w:r>
      <w:r>
        <w:rPr>
          <w:i/>
          <w:iCs/>
        </w:rPr>
        <w:t>for a</w:t>
      </w:r>
      <w:r w:rsidRPr="00D6189B">
        <w:rPr>
          <w:i/>
          <w:iCs/>
        </w:rPr>
        <w:t xml:space="preserve"> final vote in May 2024 after </w:t>
      </w:r>
      <w:r>
        <w:rPr>
          <w:i/>
          <w:iCs/>
        </w:rPr>
        <w:t>the</w:t>
      </w:r>
      <w:r w:rsidRPr="00D6189B">
        <w:rPr>
          <w:i/>
          <w:iCs/>
        </w:rPr>
        <w:t xml:space="preserve"> French and German translation</w:t>
      </w:r>
      <w:r>
        <w:rPr>
          <w:i/>
          <w:iCs/>
        </w:rPr>
        <w:t>s are ready</w:t>
      </w:r>
      <w:r w:rsidRPr="00177FC2">
        <w:rPr>
          <w:i/>
          <w:iCs/>
        </w:rPr>
        <w:t>.</w:t>
      </w:r>
    </w:p>
    <w:p w14:paraId="443A278F" w14:textId="77777777" w:rsidR="000516DE" w:rsidRDefault="000516DE" w:rsidP="000516DE">
      <w:pPr>
        <w:pStyle w:val="Bullet1G"/>
        <w:numPr>
          <w:ilvl w:val="0"/>
          <w:numId w:val="0"/>
        </w:numPr>
        <w:tabs>
          <w:tab w:val="left" w:pos="1701"/>
        </w:tabs>
        <w:ind w:left="1701" w:hanging="170"/>
        <w:rPr>
          <w:i/>
          <w:iCs/>
        </w:rPr>
      </w:pPr>
      <w:r w:rsidRPr="00B64501">
        <w:rPr>
          <w:iCs/>
        </w:rPr>
        <w:t>•</w:t>
      </w:r>
      <w:r w:rsidRPr="00B64501">
        <w:rPr>
          <w:iCs/>
        </w:rPr>
        <w:tab/>
      </w:r>
      <w:bookmarkStart w:id="7" w:name="_Hlk102462313"/>
      <w:proofErr w:type="spellStart"/>
      <w:r w:rsidRPr="00B64501">
        <w:t>prEN</w:t>
      </w:r>
      <w:proofErr w:type="spellEnd"/>
      <w:r w:rsidRPr="00B64501">
        <w:t xml:space="preserve"> 17066 Part 3: Small containers for multiple use with an internal volume not more than 2 m³ - The special combination of smaller insulated bodies and their cooling and/or heating devices including verification of cooling and heating capacities.</w:t>
      </w:r>
      <w:r>
        <w:t xml:space="preserve"> </w:t>
      </w:r>
      <w:r w:rsidRPr="00F407FA">
        <w:rPr>
          <w:i/>
          <w:iCs/>
        </w:rPr>
        <w:t xml:space="preserve">The working project could not be activated at the CEN inquiry in January 2023 </w:t>
      </w:r>
      <w:proofErr w:type="gramStart"/>
      <w:r w:rsidRPr="00F407FA">
        <w:rPr>
          <w:i/>
          <w:iCs/>
        </w:rPr>
        <w:t>due to the fact that</w:t>
      </w:r>
      <w:proofErr w:type="gramEnd"/>
      <w:r w:rsidRPr="00F407FA">
        <w:rPr>
          <w:i/>
          <w:iCs/>
        </w:rPr>
        <w:t xml:space="preserve"> at least 5 requested nations did not confirm their participation. This project is on hold </w:t>
      </w:r>
      <w:proofErr w:type="gramStart"/>
      <w:r w:rsidRPr="00F407FA">
        <w:rPr>
          <w:i/>
          <w:iCs/>
        </w:rPr>
        <w:t>at the moment</w:t>
      </w:r>
      <w:proofErr w:type="gramEnd"/>
      <w:r w:rsidRPr="00F407FA">
        <w:rPr>
          <w:i/>
          <w:iCs/>
        </w:rPr>
        <w:t>. Further interested parties are welcome</w:t>
      </w:r>
      <w:r>
        <w:rPr>
          <w:i/>
          <w:iCs/>
        </w:rPr>
        <w:t>d to participate</w:t>
      </w:r>
      <w:r w:rsidRPr="00F407FA">
        <w:rPr>
          <w:i/>
          <w:iCs/>
        </w:rPr>
        <w:t xml:space="preserve"> for a reactivation of this project.</w:t>
      </w:r>
    </w:p>
    <w:p w14:paraId="060C6215" w14:textId="77777777" w:rsidR="000516DE" w:rsidRPr="004F64ED" w:rsidRDefault="000516DE" w:rsidP="000516DE">
      <w:pPr>
        <w:pStyle w:val="Bullet1G"/>
        <w:numPr>
          <w:ilvl w:val="0"/>
          <w:numId w:val="0"/>
        </w:numPr>
        <w:tabs>
          <w:tab w:val="left" w:pos="1701"/>
        </w:tabs>
        <w:ind w:left="1701" w:hanging="170"/>
      </w:pPr>
      <w:r w:rsidRPr="004F64ED">
        <w:rPr>
          <w:iCs/>
        </w:rPr>
        <w:t>•</w:t>
      </w:r>
      <w:r w:rsidRPr="004F64ED">
        <w:rPr>
          <w:iCs/>
        </w:rPr>
        <w:tab/>
      </w:r>
      <w:proofErr w:type="spellStart"/>
      <w:r w:rsidRPr="004F64ED">
        <w:t>FprEN</w:t>
      </w:r>
      <w:proofErr w:type="spellEnd"/>
      <w:r w:rsidRPr="004F64ED">
        <w:t xml:space="preserve"> 17893:2023: Thermal Road Vehicles - Safety Standard for temperature-controlled systems using flammable refrigerants for the transport of goods – Requirements. </w:t>
      </w:r>
      <w:r w:rsidRPr="00A12DFA">
        <w:rPr>
          <w:i/>
          <w:iCs/>
        </w:rPr>
        <w:t xml:space="preserve">The final draft will be sent to the final vote, starting on </w:t>
      </w:r>
      <w:r>
        <w:rPr>
          <w:i/>
          <w:iCs/>
        </w:rPr>
        <w:t xml:space="preserve">9 November </w:t>
      </w:r>
      <w:r w:rsidRPr="00A12DFA">
        <w:rPr>
          <w:i/>
          <w:iCs/>
        </w:rPr>
        <w:t>2023</w:t>
      </w:r>
      <w:r w:rsidRPr="004F64ED">
        <w:t>.</w:t>
      </w:r>
    </w:p>
    <w:bookmarkEnd w:id="7"/>
    <w:p w14:paraId="241B7DE5" w14:textId="77777777" w:rsidR="000516DE" w:rsidRDefault="000516DE" w:rsidP="000516DE">
      <w:pPr>
        <w:pStyle w:val="H23G"/>
      </w:pPr>
      <w:r w:rsidRPr="002619AF">
        <w:tab/>
      </w:r>
      <w:r>
        <w:t>3</w:t>
      </w:r>
      <w:r w:rsidRPr="002619AF">
        <w:t>.</w:t>
      </w:r>
      <w:r w:rsidRPr="002619AF">
        <w:tab/>
        <w:t>CEN/TC 4</w:t>
      </w:r>
      <w:r>
        <w:t>2</w:t>
      </w:r>
      <w:r w:rsidRPr="002619AF">
        <w:t xml:space="preserve">3 </w:t>
      </w:r>
    </w:p>
    <w:p w14:paraId="4DB991DB" w14:textId="173FDCA1" w:rsidR="000516DE" w:rsidRPr="0052066A" w:rsidRDefault="000516DE" w:rsidP="000516DE">
      <w:pPr>
        <w:pStyle w:val="H23G"/>
        <w:rPr>
          <w:b w:val="0"/>
          <w:bCs/>
          <w:i/>
          <w:iCs/>
        </w:rPr>
      </w:pPr>
      <w:r w:rsidRPr="002619AF">
        <w:tab/>
      </w:r>
      <w:bookmarkStart w:id="8" w:name="_Toc528146971"/>
      <w:r w:rsidR="00CD57F6">
        <w:tab/>
      </w:r>
      <w:r w:rsidRPr="0052066A">
        <w:rPr>
          <w:b w:val="0"/>
          <w:bCs/>
          <w:i/>
          <w:iCs/>
        </w:rPr>
        <w:t>Revision of EN 12830</w:t>
      </w:r>
      <w:bookmarkEnd w:id="8"/>
    </w:p>
    <w:p w14:paraId="631D6C54" w14:textId="5D38127D" w:rsidR="000516DE" w:rsidRPr="008073F4" w:rsidRDefault="003565A9" w:rsidP="000516DE">
      <w:pPr>
        <w:pStyle w:val="SingleTxtG"/>
      </w:pPr>
      <w:r>
        <w:t>18</w:t>
      </w:r>
      <w:r w:rsidR="000516DE" w:rsidRPr="008073F4">
        <w:t>.</w:t>
      </w:r>
      <w:r w:rsidR="000516DE" w:rsidRPr="008073F4">
        <w:tab/>
        <w:t xml:space="preserve">EN 12830:2018-10 — Temperature recorders for the transport, </w:t>
      </w:r>
      <w:proofErr w:type="gramStart"/>
      <w:r w:rsidR="000516DE" w:rsidRPr="008073F4">
        <w:t>storage</w:t>
      </w:r>
      <w:proofErr w:type="gramEnd"/>
      <w:r w:rsidR="000516DE" w:rsidRPr="008073F4">
        <w:t xml:space="preserve"> and distribution of temperature sensitive goods — Tests, performance, suitability: </w:t>
      </w:r>
      <w:r w:rsidR="000516DE" w:rsidRPr="008073F4">
        <w:rPr>
          <w:i/>
          <w:iCs/>
        </w:rPr>
        <w:t>Final version was published in October 2018</w:t>
      </w:r>
      <w:r w:rsidR="000516DE" w:rsidRPr="008073F4">
        <w:t xml:space="preserve">. </w:t>
      </w:r>
      <w:r w:rsidR="000516DE" w:rsidRPr="008073F4">
        <w:rPr>
          <w:i/>
          <w:iCs/>
        </w:rPr>
        <w:t xml:space="preserve">An inquiry for starting a new revision is active </w:t>
      </w:r>
      <w:proofErr w:type="gramStart"/>
      <w:r w:rsidR="000516DE" w:rsidRPr="008073F4">
        <w:rPr>
          <w:i/>
          <w:iCs/>
        </w:rPr>
        <w:t>at the moment</w:t>
      </w:r>
      <w:proofErr w:type="gramEnd"/>
      <w:r w:rsidR="000516DE" w:rsidRPr="008073F4">
        <w:rPr>
          <w:i/>
          <w:iCs/>
        </w:rPr>
        <w:t>.</w:t>
      </w:r>
    </w:p>
    <w:p w14:paraId="7AD1B053" w14:textId="07FFC656" w:rsidR="000516DE" w:rsidRPr="0052066A" w:rsidRDefault="000516DE" w:rsidP="000516DE">
      <w:pPr>
        <w:pStyle w:val="H23G"/>
        <w:rPr>
          <w:b w:val="0"/>
          <w:bCs/>
          <w:i/>
          <w:iCs/>
        </w:rPr>
      </w:pPr>
      <w:r w:rsidRPr="0043112A">
        <w:tab/>
      </w:r>
      <w:bookmarkStart w:id="9" w:name="_Toc528146972"/>
      <w:r w:rsidR="00CD57F6">
        <w:tab/>
      </w:r>
      <w:r w:rsidRPr="0052066A">
        <w:rPr>
          <w:b w:val="0"/>
          <w:bCs/>
          <w:i/>
          <w:iCs/>
        </w:rPr>
        <w:t>Revision of EN 13485 and EN 13486</w:t>
      </w:r>
      <w:bookmarkEnd w:id="9"/>
    </w:p>
    <w:p w14:paraId="596649E0" w14:textId="77777777" w:rsidR="000516DE" w:rsidRPr="0043112A" w:rsidRDefault="000516DE" w:rsidP="000516DE">
      <w:pPr>
        <w:pStyle w:val="Bullet1G"/>
        <w:numPr>
          <w:ilvl w:val="0"/>
          <w:numId w:val="0"/>
        </w:numPr>
        <w:tabs>
          <w:tab w:val="left" w:pos="1701"/>
        </w:tabs>
        <w:ind w:left="1701" w:hanging="170"/>
      </w:pPr>
      <w:r w:rsidRPr="0043112A">
        <w:t>•</w:t>
      </w:r>
      <w:r w:rsidRPr="0043112A">
        <w:tab/>
      </w:r>
      <w:proofErr w:type="spellStart"/>
      <w:r w:rsidRPr="0043112A">
        <w:t>FprEN</w:t>
      </w:r>
      <w:proofErr w:type="spellEnd"/>
      <w:r w:rsidRPr="0043112A">
        <w:t xml:space="preserve"> 13485:2023 — Thermometers for measuring the air and product temperature for the transport, storage and distribution of chilled, frozen, deep-frozen/quick-frozen food and ice cream — Tests, performance, suitability</w:t>
      </w:r>
      <w:r>
        <w:t xml:space="preserve">. </w:t>
      </w:r>
      <w:r w:rsidRPr="001F382F">
        <w:rPr>
          <w:i/>
          <w:iCs/>
        </w:rPr>
        <w:t xml:space="preserve">The final CEN inquiry ended </w:t>
      </w:r>
      <w:r>
        <w:rPr>
          <w:i/>
          <w:iCs/>
        </w:rPr>
        <w:t>on 20 October 2023</w:t>
      </w:r>
      <w:r w:rsidRPr="001F382F">
        <w:rPr>
          <w:i/>
          <w:iCs/>
        </w:rPr>
        <w:t xml:space="preserve">. Results will be published </w:t>
      </w:r>
      <w:r>
        <w:rPr>
          <w:i/>
          <w:iCs/>
        </w:rPr>
        <w:t>in the next few days.</w:t>
      </w:r>
      <w:r w:rsidRPr="001F382F">
        <w:rPr>
          <w:i/>
          <w:iCs/>
        </w:rPr>
        <w:t xml:space="preserve"> </w:t>
      </w:r>
    </w:p>
    <w:p w14:paraId="442CFB9A" w14:textId="77777777" w:rsidR="000516DE" w:rsidRPr="0043112A" w:rsidRDefault="000516DE" w:rsidP="000516DE">
      <w:pPr>
        <w:pStyle w:val="Bullet1G"/>
        <w:numPr>
          <w:ilvl w:val="0"/>
          <w:numId w:val="0"/>
        </w:numPr>
        <w:tabs>
          <w:tab w:val="left" w:pos="1701"/>
        </w:tabs>
        <w:ind w:left="1701" w:hanging="170"/>
      </w:pPr>
      <w:r w:rsidRPr="0043112A">
        <w:t>•</w:t>
      </w:r>
      <w:r w:rsidRPr="0043112A">
        <w:tab/>
        <w:t xml:space="preserve">Revision of the EN 13486:2002 — Temperature recorders and thermometers for the transport, storage and distribution of chilled, frozen, deep-frozen/quick-frozen food </w:t>
      </w:r>
      <w:r w:rsidRPr="0043112A">
        <w:lastRenderedPageBreak/>
        <w:t>and ice cream — Periodic verification</w:t>
      </w:r>
      <w:r>
        <w:t xml:space="preserve">. </w:t>
      </w:r>
      <w:r w:rsidRPr="001F382F">
        <w:rPr>
          <w:i/>
          <w:iCs/>
        </w:rPr>
        <w:t xml:space="preserve">The final CEN inquiry ended </w:t>
      </w:r>
      <w:r>
        <w:rPr>
          <w:i/>
          <w:iCs/>
        </w:rPr>
        <w:t>on 20 October 2023</w:t>
      </w:r>
      <w:r w:rsidRPr="001F382F">
        <w:rPr>
          <w:i/>
          <w:iCs/>
        </w:rPr>
        <w:t xml:space="preserve">. Results will be published </w:t>
      </w:r>
      <w:r>
        <w:rPr>
          <w:i/>
          <w:iCs/>
        </w:rPr>
        <w:t>in the next few days.</w:t>
      </w:r>
    </w:p>
    <w:p w14:paraId="0CBD2C00" w14:textId="26798AEB" w:rsidR="000516DE" w:rsidRPr="00257D9C" w:rsidRDefault="000516DE" w:rsidP="000516DE">
      <w:pPr>
        <w:pStyle w:val="H23G"/>
        <w:rPr>
          <w:highlight w:val="yellow"/>
        </w:rPr>
      </w:pPr>
      <w:r w:rsidRPr="002619AF">
        <w:tab/>
      </w:r>
      <w:r w:rsidRPr="002619AF">
        <w:tab/>
      </w:r>
      <w:bookmarkStart w:id="10" w:name="_Toc528146973"/>
      <w:r w:rsidRPr="006311C6">
        <w:t>ISO Standards</w:t>
      </w:r>
      <w:bookmarkEnd w:id="10"/>
    </w:p>
    <w:p w14:paraId="504DA270" w14:textId="039A3905" w:rsidR="000516DE" w:rsidRPr="006311C6" w:rsidRDefault="001B1577" w:rsidP="000516DE">
      <w:pPr>
        <w:pStyle w:val="SingleTxtG"/>
      </w:pPr>
      <w:r>
        <w:t>19</w:t>
      </w:r>
      <w:r w:rsidR="000516DE" w:rsidRPr="006311C6">
        <w:t>.</w:t>
      </w:r>
      <w:r w:rsidR="000516DE" w:rsidRPr="006311C6">
        <w:tab/>
        <w:t>TC104 is responsible for the mari</w:t>
      </w:r>
      <w:r w:rsidR="000516DE">
        <w:t>time</w:t>
      </w:r>
      <w:r w:rsidR="000516DE" w:rsidRPr="006311C6">
        <w:t xml:space="preserve"> container standards, the chair of TC104 is currently trying to reinvigorate this committee. ISO 1496-2, the insulated and refrigerated container standard which falls under this committee is up for systematic review.</w:t>
      </w:r>
    </w:p>
    <w:p w14:paraId="4D5D837F" w14:textId="0440D1B7" w:rsidR="000516DE" w:rsidRPr="002619AF" w:rsidRDefault="000516DE" w:rsidP="000516DE">
      <w:pPr>
        <w:pStyle w:val="H23G"/>
      </w:pPr>
      <w:r w:rsidRPr="002619AF">
        <w:tab/>
      </w:r>
      <w:bookmarkStart w:id="11" w:name="_Toc528146975"/>
      <w:r w:rsidRPr="002619AF">
        <w:tab/>
        <w:t>Other standardization activities of interest to WP.11</w:t>
      </w:r>
      <w:bookmarkEnd w:id="11"/>
    </w:p>
    <w:p w14:paraId="178A6CB1" w14:textId="272140EF" w:rsidR="000516DE" w:rsidRPr="00E33C2C" w:rsidRDefault="001B1577" w:rsidP="000516DE">
      <w:pPr>
        <w:pStyle w:val="SingleTxtG"/>
      </w:pPr>
      <w:r>
        <w:t>20</w:t>
      </w:r>
      <w:r w:rsidR="000516DE" w:rsidRPr="00E33C2C">
        <w:t>.</w:t>
      </w:r>
      <w:r w:rsidR="000516DE" w:rsidRPr="00E33C2C">
        <w:tab/>
        <w:t>The two Korean projects within ISO/TC 122/WG 16 "Temperature controlled product packaging", (Convenorship: Korea) are published:</w:t>
      </w:r>
    </w:p>
    <w:p w14:paraId="347875B4" w14:textId="77777777" w:rsidR="000516DE" w:rsidRDefault="000516DE" w:rsidP="000516DE">
      <w:pPr>
        <w:pStyle w:val="Bullet1G"/>
        <w:numPr>
          <w:ilvl w:val="0"/>
          <w:numId w:val="0"/>
        </w:numPr>
        <w:tabs>
          <w:tab w:val="left" w:pos="1701"/>
        </w:tabs>
        <w:ind w:left="1701" w:hanging="170"/>
      </w:pPr>
      <w:r w:rsidRPr="002619AF">
        <w:t>•</w:t>
      </w:r>
      <w:r w:rsidRPr="002619AF">
        <w:tab/>
      </w:r>
      <w:r w:rsidRPr="00D3731F">
        <w:t>ISO 22982-1:2021-03:</w:t>
      </w:r>
      <w:r w:rsidRPr="002619AF">
        <w:t xml:space="preserve"> </w:t>
      </w:r>
      <w:r w:rsidRPr="00B1280A">
        <w:t xml:space="preserve">Transport packaging </w:t>
      </w:r>
      <w:r>
        <w:t>—</w:t>
      </w:r>
      <w:r w:rsidRPr="00B1280A">
        <w:t xml:space="preserve"> Temperature-controlled transport packages for parcel shipping </w:t>
      </w:r>
      <w:r>
        <w:t>—</w:t>
      </w:r>
      <w:r w:rsidRPr="00B1280A">
        <w:t xml:space="preserve"> Part </w:t>
      </w:r>
      <w:r>
        <w:t>1</w:t>
      </w:r>
      <w:r w:rsidRPr="00B1280A">
        <w:t xml:space="preserve">: </w:t>
      </w:r>
      <w:r w:rsidRPr="002619AF">
        <w:t>General requirements</w:t>
      </w:r>
      <w:r w:rsidRPr="00B1280A">
        <w:t>.</w:t>
      </w:r>
    </w:p>
    <w:p w14:paraId="0C484519" w14:textId="77777777" w:rsidR="000516DE" w:rsidRDefault="000516DE" w:rsidP="000516DE">
      <w:pPr>
        <w:pStyle w:val="Bullet1G"/>
        <w:numPr>
          <w:ilvl w:val="0"/>
          <w:numId w:val="0"/>
        </w:numPr>
        <w:tabs>
          <w:tab w:val="left" w:pos="1701"/>
        </w:tabs>
        <w:ind w:left="1701" w:hanging="170"/>
      </w:pPr>
      <w:r>
        <w:t>•</w:t>
      </w:r>
      <w:r>
        <w:tab/>
      </w:r>
      <w:r w:rsidRPr="00B1280A">
        <w:t xml:space="preserve">ISO 22982-2:2021-03: </w:t>
      </w:r>
      <w:r w:rsidRPr="005E2411">
        <w:t>Temperature controlled transport packages for parcel shipping — Part 2: General specifications of testing</w:t>
      </w:r>
    </w:p>
    <w:p w14:paraId="4B8F873B" w14:textId="0D5195C0" w:rsidR="000516DE" w:rsidRPr="001B6CF7" w:rsidRDefault="000516DE" w:rsidP="000516DE">
      <w:pPr>
        <w:pStyle w:val="H23G"/>
        <w:jc w:val="both"/>
      </w:pPr>
      <w:r>
        <w:tab/>
      </w:r>
      <w:r>
        <w:tab/>
      </w:r>
      <w:r w:rsidRPr="001B6CF7">
        <w:t>ISO</w:t>
      </w:r>
      <w:r>
        <w:t>/</w:t>
      </w:r>
      <w:r w:rsidRPr="001B6CF7">
        <w:t>TC 315</w:t>
      </w:r>
      <w:r>
        <w:t xml:space="preserve"> </w:t>
      </w:r>
      <w:r w:rsidRPr="00D06C88">
        <w:t>"Cold chain logistics"</w:t>
      </w:r>
    </w:p>
    <w:p w14:paraId="5C43B048" w14:textId="77777777" w:rsidR="000516DE" w:rsidRPr="000B143B" w:rsidRDefault="000516DE" w:rsidP="000516DE">
      <w:pPr>
        <w:pStyle w:val="SingleTxtG"/>
        <w:rPr>
          <w:highlight w:val="yellow"/>
        </w:rPr>
      </w:pPr>
      <w:r w:rsidRPr="000B143B">
        <w:rPr>
          <w:i/>
          <w:iCs/>
        </w:rPr>
        <w:t>Document</w:t>
      </w:r>
      <w:r w:rsidRPr="000B143B">
        <w:t>:</w:t>
      </w:r>
      <w:r w:rsidRPr="000B143B">
        <w:rPr>
          <w:i/>
          <w:iCs/>
        </w:rPr>
        <w:t xml:space="preserve"> </w:t>
      </w:r>
      <w:r w:rsidRPr="000B143B">
        <w:rPr>
          <w:i/>
          <w:iCs/>
        </w:rPr>
        <w:tab/>
      </w:r>
      <w:r w:rsidRPr="000B143B">
        <w:t>Informal document INF.</w:t>
      </w:r>
      <w:r>
        <w:t>10</w:t>
      </w:r>
      <w:r w:rsidRPr="000B143B">
        <w:t xml:space="preserve"> (</w:t>
      </w:r>
      <w:proofErr w:type="spellStart"/>
      <w:r w:rsidRPr="000B143B">
        <w:t>Transfrigoroute</w:t>
      </w:r>
      <w:proofErr w:type="spellEnd"/>
      <w:r w:rsidRPr="000B143B">
        <w:t xml:space="preserve"> International </w:t>
      </w:r>
      <w:r>
        <w:t>on behalf of the ISO liaison representatives</w:t>
      </w:r>
      <w:r w:rsidRPr="000B143B">
        <w:t>).</w:t>
      </w:r>
    </w:p>
    <w:p w14:paraId="2BCEAFCC" w14:textId="41C4E02C" w:rsidR="000516DE" w:rsidRDefault="001B1577" w:rsidP="000516DE">
      <w:pPr>
        <w:pStyle w:val="SingleTxtG"/>
      </w:pPr>
      <w:r>
        <w:t>21</w:t>
      </w:r>
      <w:r w:rsidR="000516DE" w:rsidRPr="000B143B">
        <w:t>.</w:t>
      </w:r>
      <w:r w:rsidR="000516DE" w:rsidRPr="000B143B">
        <w:tab/>
        <w:t xml:space="preserve">The representative of </w:t>
      </w:r>
      <w:proofErr w:type="spellStart"/>
      <w:r w:rsidR="000516DE" w:rsidRPr="000B143B">
        <w:t>Transfrigoroute</w:t>
      </w:r>
      <w:proofErr w:type="spellEnd"/>
      <w:r w:rsidR="000516DE" w:rsidRPr="000B143B">
        <w:t xml:space="preserve"> International informed WP.11 </w:t>
      </w:r>
      <w:r w:rsidR="000516DE">
        <w:t>on the latest plenary and working groups meetings that took place in Paris, on 18 – 22 September 2022 in hybrid mode.</w:t>
      </w:r>
    </w:p>
    <w:p w14:paraId="333ADF54" w14:textId="38D8DF89" w:rsidR="000516DE" w:rsidRPr="00D07AD5" w:rsidRDefault="001B1577" w:rsidP="000516DE">
      <w:pPr>
        <w:pStyle w:val="SingleTxtG"/>
      </w:pPr>
      <w:r>
        <w:t>22</w:t>
      </w:r>
      <w:r w:rsidR="000516DE" w:rsidRPr="00D07AD5">
        <w:t>.</w:t>
      </w:r>
      <w:r w:rsidR="000516DE" w:rsidRPr="00D07AD5">
        <w:tab/>
      </w:r>
      <w:r w:rsidR="000516DE">
        <w:t>More information on the working groups, structure of the ISO/TC 315 and future schedule of meetings can</w:t>
      </w:r>
      <w:r w:rsidR="000516DE" w:rsidRPr="00D07AD5">
        <w:t xml:space="preserve"> be found </w:t>
      </w:r>
      <w:r w:rsidR="000516DE">
        <w:t>in</w:t>
      </w:r>
      <w:r w:rsidR="000516DE" w:rsidRPr="00D07AD5">
        <w:t xml:space="preserve"> informal document INF.</w:t>
      </w:r>
      <w:r w:rsidR="000516DE">
        <w:t>10</w:t>
      </w:r>
      <w:r w:rsidR="000516DE" w:rsidRPr="00D07AD5">
        <w:t>.</w:t>
      </w:r>
    </w:p>
    <w:p w14:paraId="46C067C3" w14:textId="77777777" w:rsidR="00C25AEC" w:rsidRPr="008E4CBB" w:rsidRDefault="00C25AEC" w:rsidP="00C25AEC">
      <w:pPr>
        <w:pStyle w:val="HChG"/>
      </w:pPr>
      <w:r>
        <w:tab/>
        <w:t>I</w:t>
      </w:r>
      <w:r w:rsidRPr="008E4CBB">
        <w:t>V.</w:t>
      </w:r>
      <w:r w:rsidRPr="008E4CBB">
        <w:tab/>
        <w:t>Activities of other international organizations dealing with issues of interest to the Working Party (agenda item </w:t>
      </w:r>
      <w:r>
        <w:t>3</w:t>
      </w:r>
      <w:r w:rsidRPr="008E4CBB">
        <w:t>)</w:t>
      </w:r>
    </w:p>
    <w:p w14:paraId="5E59834C" w14:textId="77777777" w:rsidR="00C25AEC" w:rsidRPr="00785398" w:rsidRDefault="00C25AEC" w:rsidP="00C25AEC">
      <w:pPr>
        <w:pStyle w:val="H1G"/>
      </w:pPr>
      <w:r w:rsidRPr="008E4CBB">
        <w:tab/>
      </w:r>
      <w:r w:rsidRPr="00785398">
        <w:t>A.</w:t>
      </w:r>
      <w:r w:rsidRPr="00785398">
        <w:tab/>
        <w:t>International Institute of Refrigeration (IIR)</w:t>
      </w:r>
    </w:p>
    <w:p w14:paraId="2EB64643" w14:textId="02E23A78" w:rsidR="003A06B3" w:rsidRDefault="003A06B3" w:rsidP="00C25AEC">
      <w:pPr>
        <w:pStyle w:val="SingleTxtG"/>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w:t>
      </w:r>
      <w:r w:rsidR="00CA5D61">
        <w:rPr>
          <w:lang w:val="fr-CH"/>
        </w:rPr>
        <w:t>2</w:t>
      </w:r>
      <w:r>
        <w:rPr>
          <w:lang w:val="fr-CH"/>
        </w:rPr>
        <w:t xml:space="preserve"> (</w:t>
      </w:r>
      <w:r w:rsidR="00C7027C" w:rsidRPr="00785398">
        <w:t>International Institute of Refrigeration</w:t>
      </w:r>
      <w:r>
        <w:rPr>
          <w:lang w:val="fr-CH"/>
        </w:rPr>
        <w:t>)</w:t>
      </w:r>
    </w:p>
    <w:p w14:paraId="2B0EE42F" w14:textId="0B85FFE2" w:rsidR="00C25AEC" w:rsidRPr="00785398" w:rsidRDefault="00C25AEC" w:rsidP="00C25AEC">
      <w:pPr>
        <w:pStyle w:val="SingleTxtG"/>
      </w:pPr>
      <w:r>
        <w:t>23</w:t>
      </w:r>
      <w:r w:rsidRPr="00785398">
        <w:t>.</w:t>
      </w:r>
      <w:r w:rsidRPr="00785398">
        <w:tab/>
        <w:t xml:space="preserve">The Working Party was informed about the results of the meeting of the IIR </w:t>
      </w:r>
      <w:r w:rsidRPr="00785398">
        <w:br/>
        <w:t xml:space="preserve">sub-commission on refrigerated transport </w:t>
      </w:r>
      <w:r>
        <w:t>h</w:t>
      </w:r>
      <w:r w:rsidRPr="00785398">
        <w:t xml:space="preserve">osted by LOTRIČ Metrology Ltd, </w:t>
      </w:r>
      <w:proofErr w:type="spellStart"/>
      <w:r w:rsidRPr="00785398">
        <w:t>Selca</w:t>
      </w:r>
      <w:proofErr w:type="spellEnd"/>
      <w:r w:rsidRPr="00785398">
        <w:t>, Slovenia</w:t>
      </w:r>
      <w:r>
        <w:t xml:space="preserve"> on </w:t>
      </w:r>
      <w:r w:rsidRPr="00785398">
        <w:t xml:space="preserve">18 and 19 April 2023 (see informal document INF.2). </w:t>
      </w:r>
    </w:p>
    <w:p w14:paraId="7554B64A" w14:textId="77777777" w:rsidR="00C25AEC" w:rsidRDefault="00C25AEC" w:rsidP="00C25AEC">
      <w:pPr>
        <w:pStyle w:val="SingleTxtG"/>
      </w:pPr>
      <w:r>
        <w:t>24.</w:t>
      </w:r>
      <w:r>
        <w:tab/>
        <w:t>The following points, which will be discussed under agenda item 5, were raised for clarification by WP.11:</w:t>
      </w:r>
    </w:p>
    <w:p w14:paraId="4DE21F35" w14:textId="77777777" w:rsidR="00C25AEC" w:rsidRPr="0041547D" w:rsidRDefault="00C25AEC" w:rsidP="00C25AEC">
      <w:pPr>
        <w:tabs>
          <w:tab w:val="left" w:pos="1701"/>
          <w:tab w:val="left" w:pos="2268"/>
        </w:tabs>
        <w:spacing w:after="120"/>
        <w:ind w:left="1134" w:right="1134"/>
        <w:jc w:val="both"/>
      </w:pPr>
      <w:r>
        <w:tab/>
        <w:t>(a)</w:t>
      </w:r>
      <w:r>
        <w:tab/>
      </w:r>
      <w:r w:rsidRPr="0041547D">
        <w:t xml:space="preserve">Section 4.3.1 (b): </w:t>
      </w:r>
      <w:r>
        <w:t>States</w:t>
      </w:r>
      <w:r w:rsidRPr="0041547D">
        <w:t xml:space="preserve"> that the first test should be carried</w:t>
      </w:r>
      <w:r>
        <w:t xml:space="preserve"> </w:t>
      </w:r>
      <w:r w:rsidRPr="0041547D">
        <w:t xml:space="preserve">out at least 4 hours </w:t>
      </w:r>
      <w:r>
        <w:t xml:space="preserve">at </w:t>
      </w:r>
      <w:r w:rsidRPr="0041547D">
        <w:t xml:space="preserve">each temperature level under control of the thermostat: what should </w:t>
      </w:r>
      <w:r>
        <w:t xml:space="preserve">then </w:t>
      </w:r>
      <w:r w:rsidRPr="0041547D">
        <w:t>be the tolerance of the thermostat</w:t>
      </w:r>
      <w:r>
        <w:t xml:space="preserve"> temperature</w:t>
      </w:r>
      <w:r w:rsidRPr="0041547D">
        <w:t>?</w:t>
      </w:r>
    </w:p>
    <w:p w14:paraId="76D40480" w14:textId="77777777" w:rsidR="00C25AEC" w:rsidRDefault="00C25AEC" w:rsidP="00C25AEC">
      <w:pPr>
        <w:tabs>
          <w:tab w:val="left" w:pos="1701"/>
          <w:tab w:val="left" w:pos="2268"/>
        </w:tabs>
        <w:spacing w:after="120"/>
        <w:ind w:left="1134" w:right="1134"/>
        <w:jc w:val="both"/>
      </w:pPr>
      <w:r>
        <w:tab/>
        <w:t>(b)</w:t>
      </w:r>
      <w:r>
        <w:tab/>
        <w:t>While it</w:t>
      </w:r>
      <w:r w:rsidRPr="0041547D">
        <w:t xml:space="preserve"> is </w:t>
      </w:r>
      <w:r>
        <w:t>agreed</w:t>
      </w:r>
      <w:r w:rsidRPr="0041547D">
        <w:t xml:space="preserve"> that the test procedure </w:t>
      </w:r>
      <w:r>
        <w:t>in</w:t>
      </w:r>
      <w:r w:rsidRPr="0041547D">
        <w:t xml:space="preserve"> section 7.2.1 shall be defined</w:t>
      </w:r>
      <w:r>
        <w:t xml:space="preserve"> </w:t>
      </w:r>
      <w:r w:rsidRPr="0041547D">
        <w:t>as in section</w:t>
      </w:r>
      <w:r>
        <w:t> </w:t>
      </w:r>
      <w:r w:rsidRPr="0041547D">
        <w:t xml:space="preserve">4, the tests of refrigerating capacity </w:t>
      </w:r>
      <w:r>
        <w:t>of</w:t>
      </w:r>
      <w:r w:rsidRPr="0041547D">
        <w:t xml:space="preserve"> section 7.2</w:t>
      </w:r>
      <w:r>
        <w:t>.</w:t>
      </w:r>
      <w:r w:rsidRPr="0041547D">
        <w:t>1</w:t>
      </w:r>
      <w:r>
        <w:t xml:space="preserve"> </w:t>
      </w:r>
      <w:r w:rsidRPr="0041547D">
        <w:t>are</w:t>
      </w:r>
      <w:r>
        <w:t xml:space="preserve"> </w:t>
      </w:r>
      <w:r w:rsidRPr="0041547D">
        <w:t>performed only at -20</w:t>
      </w:r>
      <w:r>
        <w:t> </w:t>
      </w:r>
      <w:r w:rsidRPr="0041547D">
        <w:t>°C and 0</w:t>
      </w:r>
      <w:r>
        <w:t> </w:t>
      </w:r>
      <w:r w:rsidRPr="0041547D">
        <w:t>°C (Nominal and individual refrigerating</w:t>
      </w:r>
      <w:r>
        <w:t xml:space="preserve"> </w:t>
      </w:r>
      <w:r w:rsidRPr="0041547D">
        <w:t>capacity)</w:t>
      </w:r>
      <w:r>
        <w:t>,</w:t>
      </w:r>
      <w:r w:rsidRPr="0041547D">
        <w:t xml:space="preserve"> while in section 4.2.3 it</w:t>
      </w:r>
      <w:r>
        <w:t xml:space="preserve"> i</w:t>
      </w:r>
      <w:r w:rsidRPr="0041547D">
        <w:t>s required to test</w:t>
      </w:r>
      <w:r>
        <w:t xml:space="preserve"> </w:t>
      </w:r>
      <w:r w:rsidRPr="0041547D">
        <w:t>three levels of temperature.</w:t>
      </w:r>
      <w:r>
        <w:t xml:space="preserve"> </w:t>
      </w:r>
    </w:p>
    <w:p w14:paraId="3EBD90F2" w14:textId="77777777" w:rsidR="00C25AEC" w:rsidRPr="00785398" w:rsidRDefault="00C25AEC" w:rsidP="00C25AEC">
      <w:pPr>
        <w:pStyle w:val="SingleTxtG"/>
      </w:pPr>
      <w:r>
        <w:t>25</w:t>
      </w:r>
      <w:r w:rsidRPr="00785398">
        <w:t>.</w:t>
      </w:r>
      <w:r w:rsidRPr="00785398">
        <w:tab/>
        <w:t>The date for the next CERTE meeting is 1</w:t>
      </w:r>
      <w:r>
        <w:t>6</w:t>
      </w:r>
      <w:r w:rsidRPr="00785398">
        <w:t>-1</w:t>
      </w:r>
      <w:r>
        <w:t>7</w:t>
      </w:r>
      <w:r w:rsidRPr="00785398">
        <w:t xml:space="preserve"> </w:t>
      </w:r>
      <w:r>
        <w:t>April</w:t>
      </w:r>
      <w:r w:rsidRPr="00785398">
        <w:t xml:space="preserve"> 202</w:t>
      </w:r>
      <w:r>
        <w:t>4</w:t>
      </w:r>
      <w:r w:rsidRPr="00785398">
        <w:t>.</w:t>
      </w:r>
    </w:p>
    <w:p w14:paraId="096E63DE" w14:textId="77777777" w:rsidR="00C25AEC" w:rsidRPr="00302D0E" w:rsidRDefault="00C25AEC" w:rsidP="00C25AEC">
      <w:pPr>
        <w:pStyle w:val="H1G"/>
      </w:pPr>
      <w:r w:rsidRPr="00302D0E">
        <w:tab/>
        <w:t>B.</w:t>
      </w:r>
      <w:r w:rsidRPr="00302D0E">
        <w:tab/>
      </w:r>
      <w:proofErr w:type="spellStart"/>
      <w:r w:rsidRPr="00302D0E">
        <w:t>Transfrigoroute</w:t>
      </w:r>
      <w:proofErr w:type="spellEnd"/>
      <w:r w:rsidRPr="00302D0E">
        <w:t xml:space="preserve"> International</w:t>
      </w:r>
    </w:p>
    <w:p w14:paraId="6AF9E7DB" w14:textId="77777777" w:rsidR="00C25AEC" w:rsidRDefault="00C25AEC" w:rsidP="00C25AEC">
      <w:pPr>
        <w:pStyle w:val="SingleTxtG"/>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INF.14 (</w:t>
      </w:r>
      <w:proofErr w:type="spellStart"/>
      <w:r>
        <w:t>Transfrigoroute</w:t>
      </w:r>
      <w:proofErr w:type="spellEnd"/>
      <w:r>
        <w:t xml:space="preserve"> International</w:t>
      </w:r>
      <w:r>
        <w:rPr>
          <w:lang w:val="fr-CH"/>
        </w:rPr>
        <w:t>)</w:t>
      </w:r>
    </w:p>
    <w:p w14:paraId="10409CD8" w14:textId="77777777" w:rsidR="00C25AEC" w:rsidRPr="00302D0E" w:rsidRDefault="00C25AEC" w:rsidP="00C25AEC">
      <w:pPr>
        <w:pStyle w:val="SingleTxtG"/>
      </w:pPr>
      <w:r>
        <w:t>26</w:t>
      </w:r>
      <w:r w:rsidRPr="00302D0E">
        <w:t>.</w:t>
      </w:r>
      <w:r w:rsidRPr="00302D0E">
        <w:tab/>
        <w:t xml:space="preserve">The representative of </w:t>
      </w:r>
      <w:proofErr w:type="spellStart"/>
      <w:r w:rsidRPr="00302D0E">
        <w:t>Transfrigoroute</w:t>
      </w:r>
      <w:proofErr w:type="spellEnd"/>
      <w:r w:rsidRPr="00302D0E">
        <w:t xml:space="preserve"> International informed the Working Party that </w:t>
      </w:r>
      <w:r>
        <w:t>t</w:t>
      </w:r>
      <w:r w:rsidRPr="000A440A">
        <w:t xml:space="preserve">ransportation and logistics, including all suppliers </w:t>
      </w:r>
      <w:r>
        <w:t>for the</w:t>
      </w:r>
      <w:r w:rsidRPr="000A440A">
        <w:t xml:space="preserve"> business sector (</w:t>
      </w:r>
      <w:r>
        <w:t>t</w:t>
      </w:r>
      <w:r w:rsidRPr="000A440A">
        <w:t xml:space="preserve">ransport </w:t>
      </w:r>
      <w:r w:rsidRPr="000A440A">
        <w:lastRenderedPageBreak/>
        <w:t>compan</w:t>
      </w:r>
      <w:r>
        <w:t>ies</w:t>
      </w:r>
      <w:r w:rsidRPr="000A440A">
        <w:t>, rental compan</w:t>
      </w:r>
      <w:r>
        <w:t>ies</w:t>
      </w:r>
      <w:r w:rsidRPr="000A440A">
        <w:t xml:space="preserve">, </w:t>
      </w:r>
      <w:r>
        <w:t>Original Equipment Manufacturer (</w:t>
      </w:r>
      <w:r w:rsidRPr="000A440A">
        <w:t>OEM</w:t>
      </w:r>
      <w:r>
        <w:t>)</w:t>
      </w:r>
      <w:r w:rsidRPr="000A440A">
        <w:t>, bodybuilder</w:t>
      </w:r>
      <w:r>
        <w:t>s</w:t>
      </w:r>
      <w:r w:rsidRPr="000A440A">
        <w:t>, equipment manufacturer</w:t>
      </w:r>
      <w:r>
        <w:t>s, etc.)</w:t>
      </w:r>
      <w:r w:rsidRPr="000A440A">
        <w:t xml:space="preserve"> </w:t>
      </w:r>
      <w:r>
        <w:t>were</w:t>
      </w:r>
      <w:r w:rsidRPr="000A440A">
        <w:t xml:space="preserve"> still impacted by recent succession of crisis (COVID, Ukraine-Russian conflict) and all </w:t>
      </w:r>
      <w:r>
        <w:t xml:space="preserve">the </w:t>
      </w:r>
      <w:r w:rsidRPr="000A440A">
        <w:t>associated consequences</w:t>
      </w:r>
      <w:r>
        <w:t>.</w:t>
      </w:r>
    </w:p>
    <w:p w14:paraId="19CDCDAF" w14:textId="77777777" w:rsidR="00C25AEC" w:rsidRPr="000A440A" w:rsidRDefault="00C25AEC" w:rsidP="00C25AEC">
      <w:pPr>
        <w:pStyle w:val="SingleTxtG"/>
      </w:pPr>
      <w:r>
        <w:t>27.</w:t>
      </w:r>
      <w:r>
        <w:tab/>
        <w:t>It was also mentioned that the r</w:t>
      </w:r>
      <w:r w:rsidRPr="000A440A">
        <w:t xml:space="preserve">efrigerated transport sector is at the crossroad of two revolutions: decarbonizing all transport segments to contribute to the global, European, and national emissions reduction targets, but also transforming the refrigerant used for </w:t>
      </w:r>
      <w:r>
        <w:t>transport</w:t>
      </w:r>
      <w:r w:rsidRPr="000A440A">
        <w:t xml:space="preserve"> operations to render them more sustainable. </w:t>
      </w:r>
    </w:p>
    <w:p w14:paraId="0758636E" w14:textId="77777777" w:rsidR="00C25AEC" w:rsidRPr="00C82306" w:rsidRDefault="00C25AEC" w:rsidP="00C25AEC">
      <w:pPr>
        <w:pStyle w:val="SingleTxtG"/>
      </w:pPr>
      <w:r w:rsidRPr="00302D0E">
        <w:t>2</w:t>
      </w:r>
      <w:r>
        <w:t>8</w:t>
      </w:r>
      <w:r w:rsidRPr="00302D0E">
        <w:t>.</w:t>
      </w:r>
      <w:r w:rsidRPr="00302D0E">
        <w:tab/>
        <w:t xml:space="preserve">It was worth </w:t>
      </w:r>
      <w:r>
        <w:t xml:space="preserve">noting </w:t>
      </w:r>
      <w:r w:rsidRPr="00302D0E">
        <w:t xml:space="preserve">that </w:t>
      </w:r>
      <w:r>
        <w:t>o</w:t>
      </w:r>
      <w:r w:rsidRPr="000A440A">
        <w:t xml:space="preserve">n 5 April 2022, the European Commission made a legislative proposal to update Regulation (EU) No 517/2014 (the </w:t>
      </w:r>
      <w:r>
        <w:t>"</w:t>
      </w:r>
      <w:r w:rsidRPr="000A440A">
        <w:t>F-gas Regulation</w:t>
      </w:r>
      <w:r>
        <w:t>"</w:t>
      </w:r>
      <w:r w:rsidRPr="000A440A">
        <w:t>). Currently, the co-legislators in the European Parliament and the Council are negotiating the proposal.</w:t>
      </w:r>
      <w:r>
        <w:t xml:space="preserve"> </w:t>
      </w:r>
      <w:r w:rsidRPr="000A440A">
        <w:t>This revision is highly critical as most of thermal appliances used in refrigerated transport rely on F</w:t>
      </w:r>
      <w:r>
        <w:t>-</w:t>
      </w:r>
      <w:r w:rsidRPr="000A440A">
        <w:t>Gas to operate</w:t>
      </w:r>
      <w:r>
        <w:t>. The f</w:t>
      </w:r>
      <w:r w:rsidRPr="000A440A">
        <w:t>inal text of F</w:t>
      </w:r>
      <w:r>
        <w:t>-</w:t>
      </w:r>
      <w:r w:rsidRPr="000A440A">
        <w:t>Gas revision is expected by end of October 2023.</w:t>
      </w:r>
    </w:p>
    <w:p w14:paraId="183EA6C8" w14:textId="29B0FD3A" w:rsidR="006F4ABA" w:rsidRDefault="006F4ABA" w:rsidP="006F4ABA">
      <w:pPr>
        <w:pStyle w:val="HChG"/>
      </w:pPr>
      <w:r>
        <w:tab/>
        <w:t>V</w:t>
      </w:r>
      <w:r w:rsidRPr="003A5E25">
        <w:t>.</w:t>
      </w:r>
      <w:r w:rsidRPr="003A5E25">
        <w:tab/>
        <w:t>Status and implementation of the Agreement on the International Carriage of Perishable Foodstuffs and on the Special Equipment to be Used for such Carriage (ATP)</w:t>
      </w:r>
      <w:r>
        <w:t xml:space="preserve"> </w:t>
      </w:r>
      <w:r w:rsidRPr="0009377F">
        <w:t>(agenda item </w:t>
      </w:r>
      <w:r>
        <w:t>4</w:t>
      </w:r>
      <w:r w:rsidRPr="0009377F">
        <w:t>)</w:t>
      </w:r>
    </w:p>
    <w:p w14:paraId="36911628" w14:textId="77777777" w:rsidR="006F4ABA" w:rsidRDefault="006F4ABA" w:rsidP="006F4ABA">
      <w:pPr>
        <w:pStyle w:val="H1G"/>
      </w:pPr>
      <w:r>
        <w:tab/>
        <w:t>A.</w:t>
      </w:r>
      <w:r>
        <w:tab/>
        <w:t xml:space="preserve">Status of application of the </w:t>
      </w:r>
      <w:r w:rsidRPr="00D86A74">
        <w:t>Agreement</w:t>
      </w:r>
    </w:p>
    <w:p w14:paraId="770BCBA7" w14:textId="05EF5232" w:rsidR="006F4ABA" w:rsidRPr="00D076DD" w:rsidRDefault="00DD50C7" w:rsidP="006F4ABA">
      <w:pPr>
        <w:pStyle w:val="SingleTxtG"/>
      </w:pPr>
      <w:r>
        <w:t>29</w:t>
      </w:r>
      <w:r w:rsidR="006F4ABA">
        <w:t>.</w:t>
      </w:r>
      <w:r w:rsidR="006F4ABA">
        <w:tab/>
      </w:r>
      <w:r w:rsidR="006F4ABA" w:rsidRPr="00867E93">
        <w:t>There have been no new accessions to ATP since the last session and the number of Contracting Parties remains at 5</w:t>
      </w:r>
      <w:r w:rsidR="006F4ABA">
        <w:t>2</w:t>
      </w:r>
      <w:r w:rsidR="006F4ABA" w:rsidRPr="00867E93">
        <w:t>.</w:t>
      </w:r>
    </w:p>
    <w:p w14:paraId="1A90BEAE" w14:textId="77777777" w:rsidR="006F4ABA" w:rsidRDefault="006F4ABA" w:rsidP="006F4ABA">
      <w:pPr>
        <w:pStyle w:val="H1G"/>
      </w:pPr>
      <w:r>
        <w:tab/>
        <w:t>B.</w:t>
      </w:r>
      <w:r>
        <w:tab/>
      </w:r>
      <w:r w:rsidRPr="00D86A74">
        <w:t>Status</w:t>
      </w:r>
      <w:r>
        <w:t xml:space="preserve"> of amendments</w:t>
      </w:r>
    </w:p>
    <w:p w14:paraId="3DEFDA2D" w14:textId="4930FD83" w:rsidR="006F4ABA" w:rsidRPr="001F42FE" w:rsidRDefault="00DD50C7" w:rsidP="006F4ABA">
      <w:pPr>
        <w:pStyle w:val="SingleTxtG"/>
      </w:pPr>
      <w:r>
        <w:rPr>
          <w:lang w:val="en-US"/>
        </w:rPr>
        <w:t>30</w:t>
      </w:r>
      <w:r w:rsidR="006F4ABA">
        <w:rPr>
          <w:lang w:val="en-US"/>
        </w:rPr>
        <w:t>.</w:t>
      </w:r>
      <w:r w:rsidR="006F4ABA">
        <w:rPr>
          <w:lang w:val="en-US"/>
        </w:rPr>
        <w:tab/>
      </w:r>
      <w:r w:rsidR="006F4ABA" w:rsidRPr="001F42FE">
        <w:rPr>
          <w:lang w:val="en-US"/>
        </w:rPr>
        <w:t xml:space="preserve">Proposed amendments to the ATP </w:t>
      </w:r>
      <w:r w:rsidR="006F4ABA" w:rsidRPr="001F42FE">
        <w:t xml:space="preserve">adopted by WP.11 </w:t>
      </w:r>
      <w:r w:rsidR="006F4ABA">
        <w:t>at its seventy-seventh, seventy-eighth and seventy-ninth sessions held in Geneva on 26-29 October 2021, 3-6 May 2022 and 25-28 October 2022 respectively</w:t>
      </w:r>
      <w:r w:rsidR="006F4ABA" w:rsidRPr="001F42FE">
        <w:t xml:space="preserve">, and contained </w:t>
      </w:r>
      <w:r w:rsidR="006F4ABA">
        <w:t>in the Annex to the report ECE/TRANS/WP.11/245, Annex II to the report ECE/TRANS/WP.11/247 and Annex II to the report ECE/TRANS/WP.11/249</w:t>
      </w:r>
      <w:r w:rsidR="006F4ABA" w:rsidRPr="001F42FE">
        <w:t xml:space="preserve">, </w:t>
      </w:r>
      <w:r w:rsidR="006F4ABA" w:rsidRPr="001F42FE">
        <w:rPr>
          <w:lang w:val="en-US"/>
        </w:rPr>
        <w:t>(depositary notification C.N.</w:t>
      </w:r>
      <w:r w:rsidR="006F4ABA">
        <w:rPr>
          <w:lang w:val="en-US"/>
        </w:rPr>
        <w:t>30</w:t>
      </w:r>
      <w:r w:rsidR="006F4ABA" w:rsidRPr="001F42FE">
        <w:rPr>
          <w:lang w:val="en-US"/>
        </w:rPr>
        <w:t>.202</w:t>
      </w:r>
      <w:r w:rsidR="006F4ABA">
        <w:rPr>
          <w:lang w:val="en-US"/>
        </w:rPr>
        <w:t>3</w:t>
      </w:r>
      <w:r w:rsidR="006F4ABA" w:rsidRPr="001F42FE">
        <w:rPr>
          <w:lang w:val="en-US"/>
        </w:rPr>
        <w:t xml:space="preserve">.TREATIES-XI.B.22), </w:t>
      </w:r>
      <w:r w:rsidR="006F4ABA" w:rsidRPr="001F42FE">
        <w:t xml:space="preserve">were notified to ATP Contracting Parties by the United Nations Treaty Section on </w:t>
      </w:r>
      <w:r w:rsidR="006F4ABA">
        <w:t>3 February 2023</w:t>
      </w:r>
      <w:r w:rsidR="006F4ABA" w:rsidRPr="001F42FE">
        <w:t>.</w:t>
      </w:r>
    </w:p>
    <w:p w14:paraId="3591B655" w14:textId="777A7104" w:rsidR="006F4ABA" w:rsidRPr="001F42FE" w:rsidRDefault="00DD50C7" w:rsidP="006F4ABA">
      <w:pPr>
        <w:pStyle w:val="SingleTxtG"/>
        <w:rPr>
          <w:lang w:val="en-US"/>
        </w:rPr>
      </w:pPr>
      <w:r>
        <w:t>31</w:t>
      </w:r>
      <w:r w:rsidR="006F4ABA">
        <w:t>.</w:t>
      </w:r>
      <w:r w:rsidR="006F4ABA">
        <w:tab/>
      </w:r>
      <w:r w:rsidR="006F4ABA" w:rsidRPr="001F42FE">
        <w:t xml:space="preserve">On </w:t>
      </w:r>
      <w:r w:rsidR="006F4ABA">
        <w:t>30 March 2023</w:t>
      </w:r>
      <w:r w:rsidR="006F4ABA" w:rsidRPr="001F42FE">
        <w:t>, the Government of Germany, in accordance with Article</w:t>
      </w:r>
      <w:r w:rsidR="006F4ABA">
        <w:t> </w:t>
      </w:r>
      <w:r w:rsidR="006F4ABA" w:rsidRPr="001F42FE">
        <w:t>18</w:t>
      </w:r>
      <w:r w:rsidR="006F4ABA">
        <w:t> </w:t>
      </w:r>
      <w:r w:rsidR="006F4ABA" w:rsidRPr="001F42FE">
        <w:t>(2)</w:t>
      </w:r>
      <w:r w:rsidR="006F4ABA">
        <w:t> </w:t>
      </w:r>
      <w:r w:rsidR="006F4ABA" w:rsidRPr="001F42FE">
        <w:t>(b) of the ATP, informed the Secretary-General that although it intended to accept the proposals, the conditions for such acceptance were not yet fulfilled</w:t>
      </w:r>
      <w:r w:rsidR="006F4ABA" w:rsidRPr="001F42FE">
        <w:rPr>
          <w:bCs/>
        </w:rPr>
        <w:t xml:space="preserve"> </w:t>
      </w:r>
      <w:r w:rsidR="006F4ABA" w:rsidRPr="001F42FE">
        <w:t>(</w:t>
      </w:r>
      <w:hyperlink r:id="rId17" w:tooltip="Opens internal link in current window" w:history="1">
        <w:r w:rsidR="006F4ABA" w:rsidRPr="001F42FE">
          <w:t>C.N.</w:t>
        </w:r>
        <w:r w:rsidR="006F4ABA">
          <w:t>101</w:t>
        </w:r>
        <w:r w:rsidR="006F4ABA" w:rsidRPr="001F42FE">
          <w:t>.202</w:t>
        </w:r>
        <w:r w:rsidR="006F4ABA">
          <w:t>3</w:t>
        </w:r>
        <w:r w:rsidR="006F4ABA" w:rsidRPr="001F42FE">
          <w:t>.TREATIES-XI.B.22</w:t>
        </w:r>
      </w:hyperlink>
      <w:r w:rsidR="006F4ABA" w:rsidRPr="001F42FE">
        <w:t>). Therefore, proposals of amendments adopted at the 20</w:t>
      </w:r>
      <w:r w:rsidR="006F4ABA">
        <w:t>21</w:t>
      </w:r>
      <w:r w:rsidR="006F4ABA" w:rsidRPr="001F42FE">
        <w:t xml:space="preserve"> and 202</w:t>
      </w:r>
      <w:r w:rsidR="006F4ABA">
        <w:t>2</w:t>
      </w:r>
      <w:r w:rsidR="006F4ABA" w:rsidRPr="001F42FE">
        <w:t xml:space="preserve"> sessions of WP.11 will be deemed accepted only if, before the expiry of a period of nine months following the initial notification period of six months, the Government of Germany does not notify an objection to the proposed amendments.</w:t>
      </w:r>
    </w:p>
    <w:p w14:paraId="320CA762" w14:textId="77777777" w:rsidR="006F4ABA" w:rsidRDefault="006F4ABA" w:rsidP="006F4ABA">
      <w:pPr>
        <w:pStyle w:val="H1G"/>
      </w:pPr>
      <w:r>
        <w:tab/>
        <w:t>C.</w:t>
      </w:r>
      <w:r>
        <w:tab/>
        <w:t>Test stations officially designated by the competent authorities of countries Parties to ATP</w:t>
      </w:r>
    </w:p>
    <w:p w14:paraId="2A7E1F8A" w14:textId="77777777" w:rsidR="006F4ABA" w:rsidRDefault="006F4ABA" w:rsidP="006F4ABA">
      <w:pPr>
        <w:pStyle w:val="SingleTxtG"/>
      </w:pPr>
      <w:proofErr w:type="gramStart"/>
      <w:r w:rsidRPr="00960600">
        <w:rPr>
          <w:i/>
          <w:iCs/>
          <w:lang w:val="fr-CH"/>
        </w:rPr>
        <w:t>Document</w:t>
      </w:r>
      <w:r w:rsidRPr="00960600">
        <w:rPr>
          <w:lang w:val="fr-CH"/>
        </w:rPr>
        <w:t>:</w:t>
      </w:r>
      <w:proofErr w:type="gramEnd"/>
      <w:r w:rsidRPr="00960600">
        <w:rPr>
          <w:i/>
          <w:iCs/>
          <w:lang w:val="fr-CH"/>
        </w:rPr>
        <w:t xml:space="preserve"> </w:t>
      </w:r>
      <w:r w:rsidRPr="00960600">
        <w:rPr>
          <w:i/>
          <w:iCs/>
          <w:lang w:val="fr-CH"/>
        </w:rPr>
        <w:tab/>
      </w:r>
      <w:r w:rsidRPr="00960600">
        <w:rPr>
          <w:i/>
          <w:iCs/>
          <w:lang w:val="fr-CH"/>
        </w:rPr>
        <w:tab/>
      </w:r>
      <w:r>
        <w:rPr>
          <w:lang w:val="fr-CH"/>
        </w:rPr>
        <w:t>Informal document INF.7/Rev.1 (Spain)</w:t>
      </w:r>
    </w:p>
    <w:p w14:paraId="438CA8CE" w14:textId="2F4E8BE8" w:rsidR="006F4ABA" w:rsidRDefault="00DD50C7" w:rsidP="006F4ABA">
      <w:pPr>
        <w:pStyle w:val="SingleTxtG"/>
      </w:pPr>
      <w:r>
        <w:t>32</w:t>
      </w:r>
      <w:r w:rsidR="006F4ABA">
        <w:t>.</w:t>
      </w:r>
      <w:r w:rsidR="006F4ABA">
        <w:tab/>
        <w:t>WP.11 noted the information provided by the representative of Spain in the informal document.</w:t>
      </w:r>
    </w:p>
    <w:p w14:paraId="0634BF1B" w14:textId="735A1B05" w:rsidR="006F4ABA" w:rsidRPr="00617946" w:rsidRDefault="00DD50C7" w:rsidP="006F4ABA">
      <w:pPr>
        <w:pStyle w:val="SingleTxtG"/>
      </w:pPr>
      <w:r>
        <w:t>33</w:t>
      </w:r>
      <w:r w:rsidR="006F4ABA">
        <w:t>.</w:t>
      </w:r>
      <w:r w:rsidR="006F4ABA">
        <w:tab/>
        <w:t xml:space="preserve">The current list of officially designated test stations </w:t>
      </w:r>
      <w:r w:rsidR="006F4ABA" w:rsidRPr="00D86A74">
        <w:t>appears</w:t>
      </w:r>
      <w:r w:rsidR="006F4ABA">
        <w:t xml:space="preserve"> at the following web link: </w:t>
      </w:r>
      <w:hyperlink r:id="rId18" w:history="1">
        <w:r w:rsidR="006F4ABA" w:rsidRPr="00617946">
          <w:rPr>
            <w:rStyle w:val="Hyperlink"/>
            <w:color w:val="auto"/>
          </w:rPr>
          <w:t>https://unece.org/atp-competent-authorities-and-testing-stations</w:t>
        </w:r>
      </w:hyperlink>
    </w:p>
    <w:p w14:paraId="3094213D" w14:textId="77777777" w:rsidR="006F4ABA" w:rsidRDefault="006F4ABA" w:rsidP="006F4ABA">
      <w:pPr>
        <w:pStyle w:val="H1G"/>
      </w:pPr>
      <w:r>
        <w:lastRenderedPageBreak/>
        <w:tab/>
        <w:t>D.</w:t>
      </w:r>
      <w:r>
        <w:tab/>
        <w:t xml:space="preserve">Exchange of information among Parties under Article 6 of </w:t>
      </w:r>
      <w:r w:rsidRPr="00D86A74">
        <w:t>ATP</w:t>
      </w:r>
    </w:p>
    <w:p w14:paraId="3DCBDE01" w14:textId="62CB838E" w:rsidR="006F4ABA" w:rsidRPr="00A7507C" w:rsidRDefault="00DD50C7" w:rsidP="006F4ABA">
      <w:pPr>
        <w:pStyle w:val="SingleTxtG"/>
      </w:pPr>
      <w:r>
        <w:t>34</w:t>
      </w:r>
      <w:r w:rsidR="006F4ABA">
        <w:t>.</w:t>
      </w:r>
      <w:r w:rsidR="006F4ABA">
        <w:tab/>
      </w:r>
      <w:r w:rsidR="006F4ABA" w:rsidRPr="00A7507C">
        <w:t xml:space="preserve">At </w:t>
      </w:r>
      <w:r w:rsidR="006F4ABA">
        <w:t>its</w:t>
      </w:r>
      <w:r w:rsidR="006F4ABA" w:rsidRPr="00A7507C">
        <w:t xml:space="preserve"> seventy-</w:t>
      </w:r>
      <w:r w:rsidR="006F4ABA">
        <w:t>nin</w:t>
      </w:r>
      <w:r w:rsidR="006F4ABA" w:rsidRPr="00A7507C">
        <w:t>th session, WP.11 thanked the 2</w:t>
      </w:r>
      <w:r w:rsidR="006F4ABA">
        <w:t>1</w:t>
      </w:r>
      <w:r w:rsidR="006F4ABA" w:rsidRPr="00A7507C">
        <w:t xml:space="preserve"> countries that had provided data in response to the questionnaire on the implementation of ATP in 20</w:t>
      </w:r>
      <w:r w:rsidR="006F4ABA">
        <w:t>21</w:t>
      </w:r>
      <w:r w:rsidR="006F4ABA" w:rsidRPr="00A7507C">
        <w:t xml:space="preserve"> and stressed that it was mandatory to have information from all ATP contracting parties and that it was a means of harmonizing implementation of the agreement. </w:t>
      </w:r>
    </w:p>
    <w:p w14:paraId="511092B8" w14:textId="3482B86D" w:rsidR="006F4ABA" w:rsidRDefault="00DD50C7" w:rsidP="006F4ABA">
      <w:pPr>
        <w:pStyle w:val="SingleTxtG"/>
      </w:pPr>
      <w:r>
        <w:t>35</w:t>
      </w:r>
      <w:r w:rsidR="006F4ABA">
        <w:t>.</w:t>
      </w:r>
      <w:r w:rsidR="006F4ABA">
        <w:tab/>
      </w:r>
      <w:r w:rsidR="006F4ABA" w:rsidRPr="00A7507C">
        <w:t>The information received for the year 20</w:t>
      </w:r>
      <w:r w:rsidR="006F4ABA">
        <w:t>22</w:t>
      </w:r>
      <w:r w:rsidR="006F4ABA" w:rsidRPr="00A7507C">
        <w:t xml:space="preserve"> is presented in ECE/TRANS/WP.11/202</w:t>
      </w:r>
      <w:r w:rsidR="006F4ABA">
        <w:t>3</w:t>
      </w:r>
      <w:r w:rsidR="006F4ABA" w:rsidRPr="00A7507C">
        <w:t>/1.</w:t>
      </w:r>
    </w:p>
    <w:p w14:paraId="03D98C31" w14:textId="15E9FF46" w:rsidR="006F4ABA" w:rsidRPr="00617946" w:rsidRDefault="00DD50C7" w:rsidP="006F4ABA">
      <w:pPr>
        <w:pStyle w:val="SingleTxtG"/>
      </w:pPr>
      <w:r>
        <w:t>36</w:t>
      </w:r>
      <w:r w:rsidR="006F4ABA">
        <w:t>.</w:t>
      </w:r>
      <w:r w:rsidR="006F4ABA">
        <w:tab/>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9" w:history="1">
        <w:r w:rsidR="006F4ABA" w:rsidRPr="00617946">
          <w:rPr>
            <w:rStyle w:val="Hyperlink"/>
            <w:color w:val="auto"/>
          </w:rPr>
          <w:t>https://unece.org/atp-competent-authorities-and-testing-stations</w:t>
        </w:r>
      </w:hyperlink>
      <w:r w:rsidR="006F4ABA" w:rsidRPr="00617946">
        <w:t>.</w:t>
      </w:r>
    </w:p>
    <w:p w14:paraId="65835B26" w14:textId="77777777" w:rsidR="00E043AE" w:rsidRDefault="00E043AE" w:rsidP="00E043AE">
      <w:pPr>
        <w:pStyle w:val="H1G"/>
      </w:pPr>
      <w:r>
        <w:tab/>
        <w:t>E</w:t>
      </w:r>
      <w:r w:rsidRPr="009B3A38">
        <w:tab/>
        <w:t xml:space="preserve">Exchange of </w:t>
      </w:r>
      <w:r>
        <w:t>good practices for better implementation of ATP</w:t>
      </w:r>
    </w:p>
    <w:p w14:paraId="7B4CBD08" w14:textId="77777777" w:rsidR="00E043AE" w:rsidRDefault="00E043AE" w:rsidP="00E043AE">
      <w:pPr>
        <w:pStyle w:val="H23G"/>
        <w:jc w:val="both"/>
      </w:pPr>
      <w:r>
        <w:tab/>
        <w:t>1.</w:t>
      </w:r>
      <w:r>
        <w:tab/>
        <w:t>Good practice guide for the installation of mounted thermal devices with or without deflectors and underframe or offset thermal devices</w:t>
      </w:r>
    </w:p>
    <w:p w14:paraId="49FCE241" w14:textId="77777777" w:rsidR="00E043AE" w:rsidRPr="00DD1A71" w:rsidRDefault="00E043AE" w:rsidP="00E043AE">
      <w:pPr>
        <w:pStyle w:val="SingleTxtG"/>
        <w:rPr>
          <w:lang w:val="fr-CH"/>
        </w:rPr>
      </w:pPr>
      <w:proofErr w:type="gramStart"/>
      <w:r w:rsidRPr="00DD1A71">
        <w:rPr>
          <w:i/>
          <w:iCs/>
          <w:lang w:val="fr-CH"/>
        </w:rPr>
        <w:t>Document</w:t>
      </w:r>
      <w:r w:rsidRPr="00DD1A71">
        <w:rPr>
          <w:lang w:val="fr-CH"/>
        </w:rPr>
        <w:t>:</w:t>
      </w:r>
      <w:proofErr w:type="gramEnd"/>
      <w:r w:rsidRPr="00DD1A71">
        <w:rPr>
          <w:i/>
          <w:iCs/>
          <w:lang w:val="fr-CH"/>
        </w:rPr>
        <w:t xml:space="preserve"> </w:t>
      </w:r>
      <w:r w:rsidRPr="00DD1A71">
        <w:rPr>
          <w:i/>
          <w:iCs/>
          <w:lang w:val="fr-CH"/>
        </w:rPr>
        <w:tab/>
      </w:r>
      <w:r w:rsidRPr="00DD1A71">
        <w:rPr>
          <w:lang w:val="fr-CH"/>
        </w:rPr>
        <w:t>ECE/TRANS/WP.11/2023/2 (France)</w:t>
      </w:r>
    </w:p>
    <w:p w14:paraId="0580A551" w14:textId="77777777" w:rsidR="00E043AE" w:rsidRDefault="00E043AE" w:rsidP="00E043AE">
      <w:pPr>
        <w:pStyle w:val="SingleTxtG"/>
        <w:rPr>
          <w:bCs/>
          <w:szCs w:val="28"/>
          <w:lang w:val="en-US"/>
        </w:rPr>
      </w:pPr>
      <w:r>
        <w:rPr>
          <w:bCs/>
          <w:szCs w:val="28"/>
          <w:lang w:val="en-US"/>
        </w:rPr>
        <w:t>37.</w:t>
      </w:r>
      <w:r>
        <w:rPr>
          <w:bCs/>
          <w:szCs w:val="28"/>
          <w:lang w:val="en-US"/>
        </w:rPr>
        <w:tab/>
        <w:t xml:space="preserve">Some delegations expressed that the main concern was to determine who was going to be responsible for checking that the units were correctly installed. It was also stated that for the transport of perishable foodstuffs, the operator was always responsible for ensuring that the special equipment was up to code and that the required conditions are </w:t>
      </w:r>
      <w:proofErr w:type="gramStart"/>
      <w:r>
        <w:rPr>
          <w:bCs/>
          <w:szCs w:val="28"/>
          <w:lang w:val="en-US"/>
        </w:rPr>
        <w:t>kept at all times</w:t>
      </w:r>
      <w:proofErr w:type="gramEnd"/>
      <w:r>
        <w:rPr>
          <w:bCs/>
          <w:szCs w:val="28"/>
          <w:lang w:val="en-US"/>
        </w:rPr>
        <w:t>. The responsibility of the competent authority was to verify that the special equipment was working correctly and maintaining the necessary temperature for the transport operation.</w:t>
      </w:r>
    </w:p>
    <w:p w14:paraId="3352D5C4" w14:textId="77777777" w:rsidR="00E043AE" w:rsidRPr="00C20690" w:rsidRDefault="00E043AE" w:rsidP="00E043AE">
      <w:pPr>
        <w:pStyle w:val="SingleTxtG"/>
        <w:rPr>
          <w:bCs/>
          <w:szCs w:val="28"/>
        </w:rPr>
      </w:pPr>
      <w:r w:rsidRPr="00C20690">
        <w:rPr>
          <w:bCs/>
          <w:szCs w:val="28"/>
        </w:rPr>
        <w:t>38.</w:t>
      </w:r>
      <w:r w:rsidRPr="00C20690">
        <w:rPr>
          <w:bCs/>
          <w:szCs w:val="28"/>
        </w:rPr>
        <w:tab/>
        <w:t>WP.11 decided to publish the guidance document</w:t>
      </w:r>
      <w:r>
        <w:rPr>
          <w:bCs/>
          <w:szCs w:val="28"/>
        </w:rPr>
        <w:t>, as amended,</w:t>
      </w:r>
      <w:r w:rsidRPr="00C20690">
        <w:rPr>
          <w:bCs/>
          <w:szCs w:val="28"/>
        </w:rPr>
        <w:t xml:space="preserve"> on the UNECE website with eight votes in favour </w:t>
      </w:r>
      <w:r>
        <w:rPr>
          <w:bCs/>
          <w:szCs w:val="28"/>
        </w:rPr>
        <w:t xml:space="preserve">(Denmark, Finland, France, Italy, Luxembourg, Portugal, </w:t>
      </w:r>
      <w:proofErr w:type="gramStart"/>
      <w:r>
        <w:rPr>
          <w:bCs/>
          <w:szCs w:val="28"/>
        </w:rPr>
        <w:t>Slovenia</w:t>
      </w:r>
      <w:proofErr w:type="gramEnd"/>
      <w:r>
        <w:rPr>
          <w:bCs/>
          <w:szCs w:val="28"/>
        </w:rPr>
        <w:t xml:space="preserve"> and Spain) and two votes against (Czechia and Germany).</w:t>
      </w:r>
    </w:p>
    <w:p w14:paraId="0BDF82AB" w14:textId="77777777" w:rsidR="00E043AE" w:rsidRDefault="00E043AE" w:rsidP="00E043AE">
      <w:pPr>
        <w:pStyle w:val="H23G"/>
        <w:jc w:val="both"/>
      </w:pPr>
      <w:r>
        <w:tab/>
        <w:t>2.</w:t>
      </w:r>
      <w:r>
        <w:tab/>
        <w:t>Guide f</w:t>
      </w:r>
      <w:r w:rsidRPr="00B00265">
        <w:t>o</w:t>
      </w:r>
      <w:r>
        <w:t>r</w:t>
      </w:r>
      <w:r w:rsidRPr="00B00265">
        <w:t xml:space="preserve"> issuing the declaration of conformity (</w:t>
      </w:r>
      <w:r>
        <w:t>a</w:t>
      </w:r>
      <w:r w:rsidRPr="00B00265">
        <w:t xml:space="preserve">nnex 1, </w:t>
      </w:r>
      <w:r>
        <w:t>a</w:t>
      </w:r>
      <w:r w:rsidRPr="00B00265">
        <w:t xml:space="preserve">ppendix 2, paragraph 7.3.6) and </w:t>
      </w:r>
      <w:r>
        <w:t>for</w:t>
      </w:r>
      <w:r w:rsidRPr="00B00265">
        <w:t xml:space="preserve"> dimensioning multi-compartment, multi-temperature (MTMC) equipment </w:t>
      </w:r>
      <w:r>
        <w:t>–</w:t>
      </w:r>
      <w:r w:rsidRPr="00B00265">
        <w:t xml:space="preserve"> </w:t>
      </w:r>
      <w:r>
        <w:t xml:space="preserve">Handling of application cases specific to the </w:t>
      </w:r>
      <w:r w:rsidRPr="00B00265">
        <w:t>multi-temperature equipment dimensioning tool</w:t>
      </w:r>
    </w:p>
    <w:p w14:paraId="18A49205" w14:textId="77777777" w:rsidR="00E043AE" w:rsidRPr="00DD1A71" w:rsidRDefault="00E043AE" w:rsidP="00E043AE">
      <w:pPr>
        <w:pStyle w:val="SingleTxtG"/>
        <w:rPr>
          <w:lang w:val="fr-CH"/>
        </w:rPr>
      </w:pPr>
      <w:proofErr w:type="gramStart"/>
      <w:r w:rsidRPr="00DD1A71">
        <w:rPr>
          <w:i/>
          <w:iCs/>
          <w:lang w:val="fr-CH"/>
        </w:rPr>
        <w:t>Document</w:t>
      </w:r>
      <w:r w:rsidRPr="00DD1A71">
        <w:rPr>
          <w:lang w:val="fr-CH"/>
        </w:rPr>
        <w:t>:</w:t>
      </w:r>
      <w:proofErr w:type="gramEnd"/>
      <w:r w:rsidRPr="00DD1A71">
        <w:rPr>
          <w:i/>
          <w:iCs/>
          <w:lang w:val="fr-CH"/>
        </w:rPr>
        <w:t xml:space="preserve"> </w:t>
      </w:r>
      <w:r w:rsidRPr="00DD1A71">
        <w:rPr>
          <w:i/>
          <w:iCs/>
          <w:lang w:val="fr-CH"/>
        </w:rPr>
        <w:tab/>
      </w:r>
      <w:r w:rsidRPr="00DD1A71">
        <w:rPr>
          <w:lang w:val="fr-CH"/>
        </w:rPr>
        <w:t>ECE/TRANS/WP.11/2023/6 (France)</w:t>
      </w:r>
    </w:p>
    <w:p w14:paraId="7C82909F" w14:textId="77777777" w:rsidR="00E043AE" w:rsidRDefault="00E043AE" w:rsidP="00E043AE">
      <w:pPr>
        <w:pStyle w:val="SingleTxtG"/>
        <w:rPr>
          <w:bCs/>
          <w:szCs w:val="28"/>
          <w:lang w:val="en-US"/>
        </w:rPr>
      </w:pPr>
      <w:r>
        <w:rPr>
          <w:bCs/>
          <w:szCs w:val="28"/>
          <w:lang w:val="en-US"/>
        </w:rPr>
        <w:t>39.</w:t>
      </w:r>
      <w:r>
        <w:rPr>
          <w:bCs/>
          <w:szCs w:val="28"/>
          <w:lang w:val="en-US"/>
        </w:rPr>
        <w:tab/>
        <w:t xml:space="preserve">The French delegation clarified that the document was intended to be published as a guidance on the UNECE website. Several concerns were raised regarding the content of the </w:t>
      </w:r>
      <w:proofErr w:type="gramStart"/>
      <w:r>
        <w:rPr>
          <w:bCs/>
          <w:szCs w:val="28"/>
          <w:lang w:val="en-US"/>
        </w:rPr>
        <w:t>guidance</w:t>
      </w:r>
      <w:proofErr w:type="gramEnd"/>
      <w:r>
        <w:rPr>
          <w:bCs/>
          <w:szCs w:val="28"/>
          <w:lang w:val="en-US"/>
        </w:rPr>
        <w:t xml:space="preserve"> and it was stated that in principle, it should not include information that is not in conformity with the ATP requirements.</w:t>
      </w:r>
    </w:p>
    <w:p w14:paraId="37F3168D" w14:textId="5E0D47BB" w:rsidR="00E043AE" w:rsidRDefault="00E043AE" w:rsidP="00E043AE">
      <w:pPr>
        <w:pStyle w:val="SingleTxtG"/>
        <w:rPr>
          <w:bCs/>
          <w:szCs w:val="28"/>
          <w:lang w:val="en-US"/>
        </w:rPr>
      </w:pPr>
      <w:r>
        <w:rPr>
          <w:bCs/>
          <w:szCs w:val="28"/>
          <w:lang w:val="en-US"/>
        </w:rPr>
        <w:t>40.</w:t>
      </w:r>
      <w:r>
        <w:rPr>
          <w:bCs/>
          <w:szCs w:val="28"/>
          <w:lang w:val="en-US"/>
        </w:rPr>
        <w:tab/>
        <w:t xml:space="preserve">It was decided to publish the document in the WP.11 wiki space until 29 February 2024 to collect comments from interested delegations </w:t>
      </w:r>
      <w:r w:rsidRPr="00CA736A">
        <w:rPr>
          <w:bCs/>
          <w:szCs w:val="28"/>
          <w:lang w:val="en-US"/>
        </w:rPr>
        <w:t>(see</w:t>
      </w:r>
      <w:r w:rsidR="00B219F7">
        <w:rPr>
          <w:bCs/>
          <w:szCs w:val="28"/>
          <w:lang w:val="en-US"/>
        </w:rPr>
        <w:br/>
      </w:r>
      <w:r w:rsidRPr="00CA736A">
        <w:t xml:space="preserve"> https://wiki.unece.org/pages/viewpage.action?pageId=224002683)</w:t>
      </w:r>
      <w:r w:rsidRPr="00CA736A">
        <w:rPr>
          <w:bCs/>
          <w:szCs w:val="28"/>
          <w:lang w:val="en-US"/>
        </w:rPr>
        <w:t>.</w:t>
      </w:r>
      <w:r>
        <w:rPr>
          <w:bCs/>
          <w:szCs w:val="28"/>
          <w:lang w:val="en-US"/>
        </w:rPr>
        <w:t xml:space="preserve"> </w:t>
      </w:r>
    </w:p>
    <w:p w14:paraId="03B5038E" w14:textId="77777777" w:rsidR="00E043AE" w:rsidRPr="00C14DF7" w:rsidRDefault="00E043AE" w:rsidP="00E043AE">
      <w:pPr>
        <w:pStyle w:val="H1G"/>
      </w:pPr>
      <w:r>
        <w:tab/>
      </w:r>
      <w:r w:rsidRPr="00C14DF7">
        <w:t>F</w:t>
      </w:r>
      <w:r w:rsidRPr="00C14DF7">
        <w:tab/>
        <w:t>Interpretation of ATP</w:t>
      </w:r>
    </w:p>
    <w:p w14:paraId="52561A61" w14:textId="7AD41977" w:rsidR="00E043AE" w:rsidRPr="005A3C3E" w:rsidRDefault="00E043AE" w:rsidP="00E043AE">
      <w:pPr>
        <w:pStyle w:val="SingleTxtG"/>
      </w:pPr>
      <w:r w:rsidRPr="000B143B">
        <w:rPr>
          <w:i/>
          <w:iCs/>
        </w:rPr>
        <w:t>Document</w:t>
      </w:r>
      <w:r w:rsidRPr="000B143B">
        <w:t>:</w:t>
      </w:r>
      <w:r w:rsidRPr="000B143B">
        <w:rPr>
          <w:i/>
          <w:iCs/>
        </w:rPr>
        <w:t xml:space="preserve"> </w:t>
      </w:r>
      <w:r w:rsidRPr="000B143B">
        <w:rPr>
          <w:i/>
          <w:iCs/>
        </w:rPr>
        <w:tab/>
      </w:r>
      <w:r w:rsidRPr="002621BA">
        <w:t>ECE/TRANS/WP.11/2023/</w:t>
      </w:r>
      <w:r>
        <w:t>9 (Finland)</w:t>
      </w:r>
    </w:p>
    <w:p w14:paraId="4C3ED321" w14:textId="77777777" w:rsidR="00E043AE" w:rsidRPr="00C81770" w:rsidRDefault="00E043AE" w:rsidP="00E043AE">
      <w:pPr>
        <w:pStyle w:val="SingleTxtG"/>
        <w:rPr>
          <w:bCs/>
          <w:szCs w:val="28"/>
          <w:lang w:val="en-US"/>
        </w:rPr>
      </w:pPr>
      <w:r>
        <w:rPr>
          <w:bCs/>
          <w:szCs w:val="28"/>
          <w:lang w:val="en-US"/>
        </w:rPr>
        <w:t>41</w:t>
      </w:r>
      <w:r w:rsidRPr="00C81770">
        <w:rPr>
          <w:bCs/>
          <w:szCs w:val="28"/>
          <w:lang w:val="en-US"/>
        </w:rPr>
        <w:t>.</w:t>
      </w:r>
      <w:r w:rsidRPr="00C81770">
        <w:rPr>
          <w:bCs/>
          <w:szCs w:val="28"/>
          <w:lang w:val="en-US"/>
        </w:rPr>
        <w:tab/>
      </w:r>
      <w:r>
        <w:rPr>
          <w:bCs/>
          <w:szCs w:val="28"/>
          <w:lang w:val="en-US"/>
        </w:rPr>
        <w:t xml:space="preserve">Some delegations </w:t>
      </w:r>
      <w:proofErr w:type="gramStart"/>
      <w:r>
        <w:rPr>
          <w:bCs/>
          <w:szCs w:val="28"/>
          <w:lang w:val="en-US"/>
        </w:rPr>
        <w:t>were of the opinion that</w:t>
      </w:r>
      <w:proofErr w:type="gramEnd"/>
      <w:r>
        <w:rPr>
          <w:bCs/>
          <w:szCs w:val="28"/>
          <w:lang w:val="en-US"/>
        </w:rPr>
        <w:t xml:space="preserve"> the ATP Agreement does not provide exceptions to the application of its provisions while others thought that transport operations for non-commercial purposes were not in the scope of ATP. However, there was general agreement on the principle that food safety should be maintained during any transport operation.</w:t>
      </w:r>
    </w:p>
    <w:p w14:paraId="2136754D" w14:textId="77777777" w:rsidR="00E043AE" w:rsidRDefault="00E043AE" w:rsidP="00E043AE">
      <w:pPr>
        <w:pStyle w:val="SingleTxtG"/>
        <w:rPr>
          <w:bCs/>
          <w:szCs w:val="28"/>
          <w:lang w:val="en-US"/>
        </w:rPr>
      </w:pPr>
      <w:r>
        <w:rPr>
          <w:bCs/>
          <w:szCs w:val="28"/>
          <w:lang w:val="en-US"/>
        </w:rPr>
        <w:t>42.</w:t>
      </w:r>
      <w:r>
        <w:rPr>
          <w:bCs/>
          <w:szCs w:val="28"/>
          <w:lang w:val="en-US"/>
        </w:rPr>
        <w:tab/>
        <w:t xml:space="preserve">WP.11 agreed in principle that transport operations for private consumption or transport operations performed by the armed forces were not included in the scope of the </w:t>
      </w:r>
      <w:r>
        <w:rPr>
          <w:bCs/>
          <w:szCs w:val="28"/>
          <w:lang w:val="en-US"/>
        </w:rPr>
        <w:lastRenderedPageBreak/>
        <w:t>ATP. As some delegations wanted to consult this interpretation with their legal departments, an official interpretation will be provided at the next session.</w:t>
      </w:r>
    </w:p>
    <w:p w14:paraId="413EDC6C" w14:textId="7B0AAEB6" w:rsidR="00E043AE" w:rsidRDefault="00E043AE" w:rsidP="00E043AE">
      <w:pPr>
        <w:pStyle w:val="SingleTxtG"/>
        <w:rPr>
          <w:bCs/>
          <w:szCs w:val="28"/>
          <w:lang w:val="en-US"/>
        </w:rPr>
      </w:pPr>
      <w:r>
        <w:rPr>
          <w:bCs/>
          <w:szCs w:val="28"/>
          <w:lang w:val="en-US"/>
        </w:rPr>
        <w:t>43.</w:t>
      </w:r>
      <w:r>
        <w:rPr>
          <w:bCs/>
          <w:szCs w:val="28"/>
          <w:lang w:val="en-US"/>
        </w:rPr>
        <w:tab/>
        <w:t>I</w:t>
      </w:r>
      <w:r w:rsidRPr="00F655C1">
        <w:rPr>
          <w:bCs/>
          <w:szCs w:val="28"/>
          <w:lang w:val="en-US"/>
        </w:rPr>
        <w:t>t was also clarified</w:t>
      </w:r>
      <w:r>
        <w:rPr>
          <w:bCs/>
          <w:szCs w:val="28"/>
          <w:lang w:val="en-US"/>
        </w:rPr>
        <w:t xml:space="preserve"> during the discussion, </w:t>
      </w:r>
      <w:r w:rsidRPr="00F655C1">
        <w:rPr>
          <w:bCs/>
          <w:szCs w:val="28"/>
          <w:lang w:val="en-US"/>
        </w:rPr>
        <w:t xml:space="preserve">that </w:t>
      </w:r>
      <w:r w:rsidR="00006D49">
        <w:rPr>
          <w:bCs/>
          <w:szCs w:val="28"/>
          <w:lang w:val="en-US"/>
        </w:rPr>
        <w:t>"</w:t>
      </w:r>
      <w:r w:rsidRPr="00F655C1">
        <w:rPr>
          <w:bCs/>
          <w:szCs w:val="28"/>
          <w:lang w:val="en-US"/>
        </w:rPr>
        <w:t>own account</w:t>
      </w:r>
      <w:r w:rsidR="00006D49">
        <w:rPr>
          <w:bCs/>
          <w:szCs w:val="28"/>
          <w:lang w:val="en-US"/>
        </w:rPr>
        <w:t>"</w:t>
      </w:r>
      <w:r w:rsidRPr="00F655C1">
        <w:rPr>
          <w:bCs/>
          <w:szCs w:val="28"/>
          <w:lang w:val="en-US"/>
        </w:rPr>
        <w:t xml:space="preserve"> means </w:t>
      </w:r>
      <w:r>
        <w:rPr>
          <w:bCs/>
          <w:szCs w:val="28"/>
          <w:lang w:val="en-US"/>
        </w:rPr>
        <w:t>that</w:t>
      </w:r>
      <w:r w:rsidRPr="00F655C1">
        <w:rPr>
          <w:bCs/>
          <w:szCs w:val="28"/>
          <w:lang w:val="en-US"/>
        </w:rPr>
        <w:t xml:space="preserve"> the owner of the goods is also performing the transport operation.</w:t>
      </w:r>
      <w:r>
        <w:rPr>
          <w:bCs/>
          <w:szCs w:val="28"/>
          <w:lang w:val="en-US"/>
        </w:rPr>
        <w:t xml:space="preserve"> </w:t>
      </w:r>
    </w:p>
    <w:p w14:paraId="239ADFB9" w14:textId="77777777" w:rsidR="00E043AE" w:rsidRDefault="00E043AE" w:rsidP="00E043AE">
      <w:pPr>
        <w:pStyle w:val="SingleTxtG"/>
        <w:rPr>
          <w:bCs/>
          <w:szCs w:val="28"/>
          <w:lang w:val="en-US"/>
        </w:rPr>
      </w:pPr>
      <w:r>
        <w:rPr>
          <w:bCs/>
          <w:szCs w:val="28"/>
          <w:lang w:val="en-US"/>
        </w:rPr>
        <w:t>44.</w:t>
      </w:r>
      <w:r>
        <w:rPr>
          <w:bCs/>
          <w:szCs w:val="28"/>
          <w:lang w:val="en-US"/>
        </w:rPr>
        <w:tab/>
        <w:t xml:space="preserve">Finland is welcoming comments on whether military operations and rescue services are included in the scope of the ATP. It was decided to publish the document in the WP.11 wiki space until 29 February 2024 to collect comments from interested delegations </w:t>
      </w:r>
      <w:r w:rsidRPr="00CA736A">
        <w:rPr>
          <w:bCs/>
          <w:szCs w:val="28"/>
          <w:lang w:val="en-US"/>
        </w:rPr>
        <w:t>(</w:t>
      </w:r>
      <w:r w:rsidRPr="00FD2612">
        <w:rPr>
          <w:bCs/>
          <w:szCs w:val="28"/>
          <w:lang w:val="en-US"/>
        </w:rPr>
        <w:t xml:space="preserve">see </w:t>
      </w:r>
      <w:r w:rsidRPr="00CA736A">
        <w:rPr>
          <w:bCs/>
          <w:szCs w:val="28"/>
          <w:lang w:val="en-US"/>
        </w:rPr>
        <w:t>https://wiki.unece.org/pages/viewpage.action?pageId=224002693).</w:t>
      </w:r>
    </w:p>
    <w:p w14:paraId="07857070" w14:textId="77777777" w:rsidR="00E043AE" w:rsidRDefault="00E043AE" w:rsidP="00E043AE">
      <w:pPr>
        <w:pStyle w:val="HChG"/>
      </w:pPr>
      <w:r>
        <w:tab/>
      </w:r>
      <w:bookmarkStart w:id="12" w:name="_Toc103001686"/>
      <w:r>
        <w:t>VI.</w:t>
      </w:r>
      <w:r>
        <w:tab/>
        <w:t xml:space="preserve">Proposals of </w:t>
      </w:r>
      <w:r w:rsidRPr="00D86A74">
        <w:t>amendments</w:t>
      </w:r>
      <w:r>
        <w:t xml:space="preserve"> to ATP (agenda item 5)</w:t>
      </w:r>
      <w:bookmarkEnd w:id="12"/>
    </w:p>
    <w:p w14:paraId="3FE5C4EB" w14:textId="77777777" w:rsidR="00D952CE" w:rsidRDefault="00D952CE" w:rsidP="00D952CE">
      <w:pPr>
        <w:pStyle w:val="H1G"/>
      </w:pPr>
      <w:r>
        <w:tab/>
      </w:r>
      <w:bookmarkStart w:id="13" w:name="_Toc103001687"/>
      <w:r>
        <w:t>A</w:t>
      </w:r>
      <w:r>
        <w:tab/>
        <w:t xml:space="preserve">Pending </w:t>
      </w:r>
      <w:r w:rsidRPr="00D86A74">
        <w:t>proposals</w:t>
      </w:r>
      <w:bookmarkEnd w:id="13"/>
    </w:p>
    <w:p w14:paraId="6CC048A8" w14:textId="77777777" w:rsidR="00D952CE" w:rsidRPr="007E2757" w:rsidRDefault="00D952CE" w:rsidP="00D952CE">
      <w:pPr>
        <w:pStyle w:val="H23G"/>
        <w:jc w:val="both"/>
      </w:pPr>
      <w:r w:rsidRPr="00893906">
        <w:tab/>
      </w:r>
      <w:r w:rsidRPr="00DC2F34">
        <w:t>1.</w:t>
      </w:r>
      <w:r w:rsidRPr="00DC2F34">
        <w:tab/>
      </w:r>
      <w:r w:rsidRPr="007E2757">
        <w:tab/>
      </w:r>
      <w:r>
        <w:t>Proposal of amendment to paragraph 7.3.7 of appendix 2, annex 1</w:t>
      </w:r>
    </w:p>
    <w:p w14:paraId="27B03458" w14:textId="77777777" w:rsidR="00D952CE" w:rsidRPr="006718D7" w:rsidRDefault="00D952CE" w:rsidP="00D952CE">
      <w:pPr>
        <w:pStyle w:val="SingleTxtG"/>
        <w:ind w:left="2835" w:hanging="1701"/>
        <w:jc w:val="left"/>
      </w:pPr>
      <w:r w:rsidRPr="006718D7">
        <w:rPr>
          <w:i/>
          <w:iCs/>
        </w:rPr>
        <w:t xml:space="preserve">Documents </w:t>
      </w:r>
      <w:r w:rsidRPr="006718D7">
        <w:rPr>
          <w:i/>
          <w:iCs/>
        </w:rPr>
        <w:tab/>
      </w:r>
      <w:r w:rsidRPr="006718D7">
        <w:rPr>
          <w:i/>
          <w:iCs/>
        </w:rPr>
        <w:tab/>
      </w:r>
      <w:r w:rsidRPr="00A35A38">
        <w:t>ECE/TRANS/WP.11/2023/</w:t>
      </w:r>
      <w:r>
        <w:t>3</w:t>
      </w:r>
      <w:r>
        <w:br/>
      </w:r>
      <w:r w:rsidRPr="007E2757">
        <w:t>ECE/TRANS/WP.11/20</w:t>
      </w:r>
      <w:r>
        <w:t>23</w:t>
      </w:r>
      <w:r w:rsidRPr="007E2757">
        <w:t>/</w:t>
      </w:r>
      <w:r>
        <w:t>4</w:t>
      </w:r>
      <w:r>
        <w:br/>
      </w:r>
      <w:r w:rsidRPr="007E2757">
        <w:t>ECE/TRANS/WP.11/20</w:t>
      </w:r>
      <w:r>
        <w:t>23</w:t>
      </w:r>
      <w:r w:rsidRPr="007E2757">
        <w:t>/</w:t>
      </w:r>
      <w:r>
        <w:t>5 (France)</w:t>
      </w:r>
      <w:r>
        <w:br/>
        <w:t>Informal document INF.9 (Netherlands)</w:t>
      </w:r>
    </w:p>
    <w:p w14:paraId="2DD4C93F" w14:textId="6E5745D8" w:rsidR="00D952CE" w:rsidRDefault="00DD50C7" w:rsidP="00DE3605">
      <w:pPr>
        <w:pStyle w:val="SingleTxtG"/>
        <w:keepNext/>
        <w:keepLines/>
      </w:pPr>
      <w:r>
        <w:t>45</w:t>
      </w:r>
      <w:r w:rsidR="002121B5">
        <w:t>.</w:t>
      </w:r>
      <w:r w:rsidR="00D952CE" w:rsidRPr="002D2530">
        <w:tab/>
      </w:r>
      <w:r w:rsidR="00D952CE">
        <w:t xml:space="preserve">Some delegations </w:t>
      </w:r>
      <w:proofErr w:type="gramStart"/>
      <w:r w:rsidR="00D952CE">
        <w:t>were of the opinion that</w:t>
      </w:r>
      <w:proofErr w:type="gramEnd"/>
      <w:r w:rsidR="00D952CE">
        <w:t xml:space="preserve"> it could be useful to introduce the proposed definitions in the ATP after some redrafting while others considered that the definitions were too restrictive and that there are currently several configurations that could be used to achieve the same objective.</w:t>
      </w:r>
    </w:p>
    <w:p w14:paraId="57392EFB" w14:textId="1360BAB0" w:rsidR="00D952CE" w:rsidRDefault="00DD50C7" w:rsidP="00D952CE">
      <w:pPr>
        <w:pStyle w:val="SingleTxtG"/>
      </w:pPr>
      <w:r>
        <w:t>46</w:t>
      </w:r>
      <w:r w:rsidR="00D952CE">
        <w:t>.</w:t>
      </w:r>
      <w:r w:rsidR="00D952CE">
        <w:tab/>
        <w:t>There was an alternative proposal in informal document INF.9 to introduce an explanatory paragraph instead of the definitions, allowing for more flexibility in the configurations or designs that could be used.</w:t>
      </w:r>
    </w:p>
    <w:p w14:paraId="47CC3CC2" w14:textId="00E6BDEB" w:rsidR="00D952CE" w:rsidRDefault="002B6B0B" w:rsidP="00D952CE">
      <w:pPr>
        <w:pStyle w:val="SingleTxtG"/>
      </w:pPr>
      <w:r>
        <w:t>47</w:t>
      </w:r>
      <w:r w:rsidR="00D952CE">
        <w:t>.</w:t>
      </w:r>
      <w:r w:rsidR="00D952CE">
        <w:tab/>
        <w:t>It was decided to send the documents to the informal working group on Approval System to be carefully studied and to present a consolidated proposal at the next session.</w:t>
      </w:r>
    </w:p>
    <w:p w14:paraId="0143B5B2" w14:textId="77777777" w:rsidR="00D952CE" w:rsidRDefault="00D952CE" w:rsidP="00D952CE">
      <w:pPr>
        <w:pStyle w:val="H23G"/>
        <w:jc w:val="both"/>
      </w:pPr>
      <w:r w:rsidRPr="007E2757">
        <w:tab/>
      </w:r>
      <w:r>
        <w:t>2.</w:t>
      </w:r>
      <w:r w:rsidRPr="007E2757">
        <w:tab/>
      </w:r>
      <w:r>
        <w:t>Definition of independence of equipment</w:t>
      </w:r>
    </w:p>
    <w:p w14:paraId="1D9E31A0" w14:textId="77777777" w:rsidR="00D952CE" w:rsidRPr="006718D7" w:rsidRDefault="00D952CE" w:rsidP="00D952CE">
      <w:pPr>
        <w:pStyle w:val="SingleTxtG"/>
        <w:ind w:left="2835" w:hanging="1701"/>
        <w:jc w:val="left"/>
      </w:pPr>
      <w:r w:rsidRPr="006718D7">
        <w:rPr>
          <w:i/>
          <w:iCs/>
        </w:rPr>
        <w:t xml:space="preserve">Documents </w:t>
      </w:r>
      <w:r w:rsidRPr="006718D7">
        <w:rPr>
          <w:i/>
          <w:iCs/>
        </w:rPr>
        <w:tab/>
      </w:r>
      <w:r w:rsidRPr="006718D7">
        <w:rPr>
          <w:i/>
          <w:iCs/>
        </w:rPr>
        <w:tab/>
      </w:r>
      <w:r w:rsidRPr="00A35A38">
        <w:t>ECE/TRANS/WP.11/2023/</w:t>
      </w:r>
      <w:r>
        <w:t>7</w:t>
      </w:r>
      <w:r w:rsidRPr="006718D7">
        <w:t xml:space="preserve"> </w:t>
      </w:r>
      <w:r w:rsidRPr="006718D7">
        <w:br/>
      </w:r>
      <w:r>
        <w:t>Informal document INF.17 (France)</w:t>
      </w:r>
    </w:p>
    <w:p w14:paraId="58E2974C" w14:textId="2F109AE4" w:rsidR="00D952CE" w:rsidRDefault="002B6B0B" w:rsidP="00D952CE">
      <w:pPr>
        <w:pStyle w:val="SingleTxtG"/>
      </w:pPr>
      <w:r>
        <w:t>48</w:t>
      </w:r>
      <w:r w:rsidR="00D952CE" w:rsidRPr="002D2530">
        <w:t>.</w:t>
      </w:r>
      <w:r w:rsidR="00D952CE" w:rsidRPr="002D2530">
        <w:tab/>
      </w:r>
      <w:r w:rsidR="00D952CE">
        <w:t>Proposal was not adopted as it was considered that it should be incorporated in a comprehensive set of amendments to add electrically driven vehicles into ATP.</w:t>
      </w:r>
    </w:p>
    <w:p w14:paraId="07D33197" w14:textId="77777777" w:rsidR="00D952CE" w:rsidRPr="001C7781" w:rsidRDefault="00D952CE" w:rsidP="0052066A">
      <w:pPr>
        <w:pStyle w:val="H23G"/>
        <w:jc w:val="both"/>
      </w:pPr>
      <w:r w:rsidRPr="001C7781">
        <w:tab/>
      </w:r>
      <w:r>
        <w:t>3.</w:t>
      </w:r>
      <w:r w:rsidRPr="001C7781">
        <w:tab/>
        <w:t>Classification of equipment powered by an electrical energy source</w:t>
      </w:r>
    </w:p>
    <w:p w14:paraId="4C222A19" w14:textId="77777777" w:rsidR="00D952CE" w:rsidRDefault="00D952CE" w:rsidP="00D952CE">
      <w:pPr>
        <w:pStyle w:val="SingleTxtG"/>
        <w:ind w:left="2835" w:hanging="1701"/>
        <w:jc w:val="left"/>
        <w:rPr>
          <w:lang w:val="fr-CH"/>
        </w:rPr>
      </w:pPr>
      <w:r w:rsidRPr="00427D0F">
        <w:rPr>
          <w:i/>
          <w:iCs/>
          <w:lang w:val="fr-CH"/>
        </w:rPr>
        <w:t>Document</w:t>
      </w:r>
      <w:r>
        <w:rPr>
          <w:i/>
          <w:iCs/>
          <w:lang w:val="fr-CH"/>
        </w:rPr>
        <w:t>s</w:t>
      </w:r>
      <w:r w:rsidRPr="00427D0F">
        <w:rPr>
          <w:i/>
          <w:iCs/>
          <w:lang w:val="fr-CH"/>
        </w:rPr>
        <w:t xml:space="preserve"> </w:t>
      </w:r>
      <w:r w:rsidRPr="00427D0F">
        <w:rPr>
          <w:i/>
          <w:iCs/>
          <w:lang w:val="fr-CH"/>
        </w:rPr>
        <w:tab/>
      </w:r>
      <w:r w:rsidRPr="00427D0F">
        <w:rPr>
          <w:i/>
          <w:iCs/>
          <w:lang w:val="fr-CH"/>
        </w:rPr>
        <w:tab/>
      </w:r>
      <w:r w:rsidRPr="006718D7">
        <w:rPr>
          <w:lang w:val="fr-CH"/>
        </w:rPr>
        <w:t>ECE/TRANS/WP.11/2023/8</w:t>
      </w:r>
      <w:r w:rsidRPr="00427D0F">
        <w:rPr>
          <w:lang w:val="fr-CH"/>
        </w:rPr>
        <w:t xml:space="preserve"> </w:t>
      </w:r>
      <w:r>
        <w:rPr>
          <w:lang w:val="fr-CH"/>
        </w:rPr>
        <w:br/>
      </w:r>
      <w:r w:rsidRPr="006718D7">
        <w:rPr>
          <w:lang w:val="fr-CH"/>
        </w:rPr>
        <w:t>Informal document INF.18 (France)</w:t>
      </w:r>
    </w:p>
    <w:p w14:paraId="55B5DC6B" w14:textId="2B12F15A" w:rsidR="00D952CE" w:rsidRDefault="002B6B0B" w:rsidP="00D952CE">
      <w:pPr>
        <w:pStyle w:val="SingleTxtG"/>
      </w:pPr>
      <w:r>
        <w:t>49</w:t>
      </w:r>
      <w:r w:rsidR="00D952CE" w:rsidRPr="001C7781">
        <w:t>.</w:t>
      </w:r>
      <w:r w:rsidR="00D952CE" w:rsidRPr="001C7781">
        <w:tab/>
      </w:r>
      <w:r w:rsidR="00D952CE">
        <w:t>The representative of France clarified that the proposal was not amending the ATP and was intended as a statement in the report. There were some concerns raised with the procedure as statements or notes in the report have no legal value and can only be used as an indication of the opinion of WP.11, unless directly attributed to one or more delegations.</w:t>
      </w:r>
    </w:p>
    <w:p w14:paraId="3CD5DED2" w14:textId="10C1C47B" w:rsidR="00D952CE" w:rsidRDefault="003A7E31" w:rsidP="00D952CE">
      <w:pPr>
        <w:pStyle w:val="SingleTxtG"/>
      </w:pPr>
      <w:r>
        <w:t>50</w:t>
      </w:r>
      <w:r w:rsidR="00D952CE">
        <w:t>.</w:t>
      </w:r>
      <w:r w:rsidR="00D952CE">
        <w:tab/>
        <w:t>The proposal was withdrawn.</w:t>
      </w:r>
    </w:p>
    <w:p w14:paraId="73D1F1FB" w14:textId="77777777" w:rsidR="00D952CE" w:rsidRDefault="00D952CE" w:rsidP="00D952CE">
      <w:pPr>
        <w:pStyle w:val="H23G"/>
        <w:jc w:val="both"/>
      </w:pPr>
      <w:r>
        <w:rPr>
          <w:lang w:val="en-US"/>
        </w:rPr>
        <w:tab/>
        <w:t>4.</w:t>
      </w:r>
      <w:r>
        <w:rPr>
          <w:lang w:val="en-US"/>
        </w:rPr>
        <w:tab/>
      </w:r>
      <w:r w:rsidRPr="001020C6">
        <w:t>Results of the meeting of the IIR sub-commission on</w:t>
      </w:r>
      <w:r>
        <w:t xml:space="preserve"> </w:t>
      </w:r>
      <w:r w:rsidRPr="001020C6">
        <w:t>refrigerated transport</w:t>
      </w:r>
      <w:r>
        <w:t xml:space="preserve"> (pending questions)</w:t>
      </w:r>
    </w:p>
    <w:p w14:paraId="583D2644" w14:textId="77777777" w:rsidR="00D952CE" w:rsidRPr="001C7781" w:rsidRDefault="00D952CE" w:rsidP="00D952CE">
      <w:pPr>
        <w:pStyle w:val="SingleTxtG"/>
        <w:jc w:val="left"/>
      </w:pPr>
      <w:r w:rsidRPr="001C7781">
        <w:rPr>
          <w:i/>
          <w:iCs/>
        </w:rPr>
        <w:t xml:space="preserve">Document </w:t>
      </w:r>
      <w:r w:rsidRPr="001C7781">
        <w:rPr>
          <w:i/>
          <w:iCs/>
        </w:rPr>
        <w:tab/>
      </w:r>
      <w:r w:rsidRPr="001C7781">
        <w:rPr>
          <w:i/>
          <w:iCs/>
        </w:rPr>
        <w:tab/>
      </w:r>
      <w:r>
        <w:t>Informal document INF.2 (</w:t>
      </w:r>
      <w:r w:rsidRPr="00785398">
        <w:t>International Institute of Refrigeration</w:t>
      </w:r>
      <w:r>
        <w:t>)</w:t>
      </w:r>
    </w:p>
    <w:p w14:paraId="3CF1D0C0" w14:textId="749B560B" w:rsidR="00D952CE" w:rsidRDefault="003A7E31" w:rsidP="00D952CE">
      <w:pPr>
        <w:pStyle w:val="SingleTxtG"/>
      </w:pPr>
      <w:r>
        <w:t>51</w:t>
      </w:r>
      <w:r w:rsidR="00D952CE">
        <w:t>.</w:t>
      </w:r>
      <w:r w:rsidR="00D952CE">
        <w:tab/>
        <w:t>The following points were raised for clarification by WP.11:</w:t>
      </w:r>
    </w:p>
    <w:p w14:paraId="23E22B9F" w14:textId="77777777" w:rsidR="00D952CE" w:rsidRPr="00EE64B2" w:rsidRDefault="00D952CE" w:rsidP="00D952CE">
      <w:pPr>
        <w:tabs>
          <w:tab w:val="left" w:pos="1701"/>
          <w:tab w:val="left" w:pos="2268"/>
        </w:tabs>
        <w:spacing w:after="120"/>
        <w:ind w:left="1134" w:right="1134"/>
        <w:jc w:val="both"/>
        <w:rPr>
          <w:i/>
          <w:iCs/>
        </w:rPr>
      </w:pPr>
      <w:r w:rsidRPr="00EE64B2">
        <w:rPr>
          <w:i/>
          <w:iCs/>
        </w:rPr>
        <w:tab/>
        <w:t>(a)</w:t>
      </w:r>
      <w:r w:rsidRPr="00EE64B2">
        <w:rPr>
          <w:i/>
          <w:iCs/>
        </w:rPr>
        <w:tab/>
        <w:t>Section 4.3.1 (b): States that the first test should be carried out at least 4 hours at each temperature level under control of the thermostat: what should then be the tolerance of the thermostat temperature?</w:t>
      </w:r>
    </w:p>
    <w:p w14:paraId="36B02C62" w14:textId="0640E4C4" w:rsidR="00D952CE" w:rsidRPr="0041547D" w:rsidRDefault="003A7E31" w:rsidP="00D952CE">
      <w:pPr>
        <w:tabs>
          <w:tab w:val="left" w:pos="1701"/>
          <w:tab w:val="left" w:pos="2268"/>
        </w:tabs>
        <w:spacing w:after="120"/>
        <w:ind w:left="1134" w:right="1134"/>
        <w:jc w:val="both"/>
      </w:pPr>
      <w:r>
        <w:lastRenderedPageBreak/>
        <w:t>52</w:t>
      </w:r>
      <w:r w:rsidR="00D952CE">
        <w:t>.</w:t>
      </w:r>
      <w:r w:rsidR="00D952CE">
        <w:tab/>
        <w:t>It was agreed that this was a technical question and that the Working Party normally relies on CERTE’s expertise to deal with technical issues. It was decided to start working on the subject at the next CERTE meeting.</w:t>
      </w:r>
    </w:p>
    <w:p w14:paraId="1FA3793B" w14:textId="27D9397D" w:rsidR="00D952CE" w:rsidRPr="00EE64B2" w:rsidRDefault="00D952CE" w:rsidP="00D952CE">
      <w:pPr>
        <w:pStyle w:val="SingleTxtG"/>
        <w:rPr>
          <w:i/>
          <w:iCs/>
        </w:rPr>
      </w:pPr>
      <w:r>
        <w:tab/>
      </w:r>
      <w:r w:rsidRPr="00EE64B2">
        <w:rPr>
          <w:i/>
          <w:iCs/>
        </w:rPr>
        <w:t>(b)</w:t>
      </w:r>
      <w:r w:rsidRPr="00EE64B2">
        <w:rPr>
          <w:i/>
          <w:iCs/>
        </w:rPr>
        <w:tab/>
        <w:t>While it is agreed that the test procedure in section 7.2.1 shall be defined as in section 4, the tests of refrigerating capacity of section 7.2.1 are performed only at -20 °C and 0 °C (Nominal and individual refrigerating capacity), while in section 4.2.3 it is required to test three levels of temperature.</w:t>
      </w:r>
    </w:p>
    <w:p w14:paraId="5D6E86CD" w14:textId="0294D959" w:rsidR="00D952CE" w:rsidRPr="001C7781" w:rsidRDefault="003A7E31" w:rsidP="00D952CE">
      <w:pPr>
        <w:pStyle w:val="SingleTxtG"/>
      </w:pPr>
      <w:r>
        <w:t>53</w:t>
      </w:r>
      <w:r w:rsidR="00D952CE" w:rsidRPr="001C7781">
        <w:t>.</w:t>
      </w:r>
      <w:r w:rsidR="00D952CE" w:rsidRPr="001C7781">
        <w:tab/>
      </w:r>
      <w:r w:rsidR="00D952CE">
        <w:t xml:space="preserve">The Working Party needed more time to study the question and the reasons for deciding </w:t>
      </w:r>
      <w:r w:rsidR="00D952CE" w:rsidRPr="00023CE5">
        <w:t xml:space="preserve">that tests of refrigerating capacity </w:t>
      </w:r>
      <w:r w:rsidR="00D952CE">
        <w:t xml:space="preserve">prescribed in </w:t>
      </w:r>
      <w:r w:rsidR="00D952CE" w:rsidRPr="00023CE5">
        <w:t>section 7.2.1</w:t>
      </w:r>
      <w:r w:rsidR="00D952CE">
        <w:t xml:space="preserve"> could be performed only </w:t>
      </w:r>
      <w:r w:rsidR="00D952CE" w:rsidRPr="00FB48CE">
        <w:t>at -20 °C and 0 °C.</w:t>
      </w:r>
    </w:p>
    <w:p w14:paraId="25371CF4" w14:textId="77777777" w:rsidR="00E043AE" w:rsidRDefault="00E043AE" w:rsidP="00E043AE">
      <w:pPr>
        <w:pStyle w:val="H1G"/>
      </w:pPr>
      <w:r w:rsidRPr="0062402C">
        <w:tab/>
      </w:r>
      <w:r>
        <w:t>B</w:t>
      </w:r>
      <w:r w:rsidRPr="0062402C">
        <w:tab/>
        <w:t>New proposals</w:t>
      </w:r>
    </w:p>
    <w:p w14:paraId="421025B3" w14:textId="77777777" w:rsidR="00AD2457" w:rsidRPr="001C7781" w:rsidRDefault="00AD2457" w:rsidP="00AD2457">
      <w:pPr>
        <w:pStyle w:val="H23G"/>
        <w:jc w:val="both"/>
      </w:pPr>
      <w:r w:rsidRPr="001C7781">
        <w:tab/>
      </w:r>
      <w:r>
        <w:t>1.</w:t>
      </w:r>
      <w:r w:rsidRPr="001C7781">
        <w:tab/>
        <w:t>Amendment to paragraph 6.2.2</w:t>
      </w:r>
    </w:p>
    <w:p w14:paraId="00832EA8" w14:textId="77777777" w:rsidR="00AD2457" w:rsidRPr="006718D7" w:rsidRDefault="00AD2457" w:rsidP="00AD2457">
      <w:pPr>
        <w:pStyle w:val="SingleTxtG"/>
        <w:ind w:left="2835" w:hanging="1701"/>
        <w:jc w:val="left"/>
        <w:rPr>
          <w:lang w:val="fr-CH"/>
        </w:rPr>
      </w:pPr>
      <w:r w:rsidRPr="008B12BB">
        <w:rPr>
          <w:i/>
          <w:iCs/>
          <w:lang w:val="fr-CH"/>
        </w:rPr>
        <w:t xml:space="preserve">Documents </w:t>
      </w:r>
      <w:r w:rsidRPr="008B12BB">
        <w:rPr>
          <w:i/>
          <w:iCs/>
          <w:lang w:val="fr-CH"/>
        </w:rPr>
        <w:tab/>
      </w:r>
      <w:r w:rsidRPr="008B12BB">
        <w:rPr>
          <w:i/>
          <w:iCs/>
          <w:lang w:val="fr-CH"/>
        </w:rPr>
        <w:tab/>
      </w:r>
      <w:r w:rsidRPr="006718D7">
        <w:rPr>
          <w:lang w:val="fr-CH"/>
        </w:rPr>
        <w:t>ECE/TRANS/WP.11/2023/11</w:t>
      </w:r>
      <w:r w:rsidRPr="008B12BB">
        <w:rPr>
          <w:lang w:val="fr-CH"/>
        </w:rPr>
        <w:t xml:space="preserve"> </w:t>
      </w:r>
      <w:r w:rsidRPr="008B12BB">
        <w:rPr>
          <w:lang w:val="fr-CH"/>
        </w:rPr>
        <w:br/>
      </w:r>
      <w:r w:rsidRPr="006718D7">
        <w:rPr>
          <w:lang w:val="fr-CH"/>
        </w:rPr>
        <w:t>Informal document INF.16 (</w:t>
      </w:r>
      <w:proofErr w:type="spellStart"/>
      <w:r w:rsidRPr="006718D7">
        <w:rPr>
          <w:lang w:val="fr-CH"/>
        </w:rPr>
        <w:t>Italy</w:t>
      </w:r>
      <w:proofErr w:type="spellEnd"/>
      <w:r w:rsidRPr="006718D7">
        <w:rPr>
          <w:lang w:val="fr-CH"/>
        </w:rPr>
        <w:t>)</w:t>
      </w:r>
    </w:p>
    <w:p w14:paraId="43A1825A" w14:textId="1FE880F5" w:rsidR="00AD2457" w:rsidRDefault="003A7E31" w:rsidP="00AD2457">
      <w:pPr>
        <w:pStyle w:val="SingleTxtG"/>
      </w:pPr>
      <w:r>
        <w:t>54</w:t>
      </w:r>
      <w:r w:rsidR="00AD2457" w:rsidRPr="001C7781">
        <w:t>.</w:t>
      </w:r>
      <w:r w:rsidR="00AD2457" w:rsidRPr="001C7781">
        <w:tab/>
      </w:r>
      <w:r w:rsidR="00AD2457">
        <w:t>After some concerns were raised concerning the original proposal in document 2023/11 concerning the length of time, that it might prove too short to demonstrate that the required temperature could be maintained, the Working Party decided to adopt the alternative proposal III in informal document INF.16 (see annex</w:t>
      </w:r>
      <w:r w:rsidR="00981FDA">
        <w:t xml:space="preserve"> I</w:t>
      </w:r>
      <w:r w:rsidR="0000709D">
        <w:t>I</w:t>
      </w:r>
      <w:r w:rsidR="00AD2457">
        <w:t>).</w:t>
      </w:r>
    </w:p>
    <w:p w14:paraId="26128DB1" w14:textId="35A7FFE9" w:rsidR="00AD2457" w:rsidRDefault="003A7E31" w:rsidP="00AD2457">
      <w:pPr>
        <w:pStyle w:val="SingleTxtG"/>
      </w:pPr>
      <w:r>
        <w:t>55</w:t>
      </w:r>
      <w:r w:rsidR="00AD2457">
        <w:t>.</w:t>
      </w:r>
      <w:r w:rsidR="00AD2457">
        <w:tab/>
        <w:t>It was confirmed that the equipment could be cooled before starting the test therefore reducing considerably the running time for testing and the dependency on ambient temperature.</w:t>
      </w:r>
    </w:p>
    <w:p w14:paraId="30D279D2" w14:textId="77777777" w:rsidR="00AD2457" w:rsidRPr="001C7781" w:rsidRDefault="00AD2457" w:rsidP="00AD2457">
      <w:pPr>
        <w:pStyle w:val="H23G"/>
        <w:jc w:val="both"/>
      </w:pPr>
      <w:r w:rsidRPr="001C7781">
        <w:tab/>
      </w:r>
      <w:r>
        <w:t>2.</w:t>
      </w:r>
      <w:r w:rsidRPr="001C7781">
        <w:tab/>
        <w:t>Proposed list of major components and key characteristics</w:t>
      </w:r>
    </w:p>
    <w:p w14:paraId="159841D0" w14:textId="77777777" w:rsidR="00AD2457" w:rsidRPr="006718D7" w:rsidRDefault="00AD2457" w:rsidP="00AD2457">
      <w:pPr>
        <w:pStyle w:val="SingleTxtG"/>
        <w:rPr>
          <w:lang w:val="fr-CH"/>
        </w:rPr>
      </w:pPr>
      <w:r w:rsidRPr="006718D7">
        <w:rPr>
          <w:i/>
          <w:iCs/>
          <w:lang w:val="fr-CH"/>
        </w:rPr>
        <w:t xml:space="preserve">Document </w:t>
      </w:r>
      <w:r w:rsidRPr="006718D7">
        <w:rPr>
          <w:i/>
          <w:iCs/>
          <w:lang w:val="fr-CH"/>
        </w:rPr>
        <w:tab/>
      </w:r>
      <w:r w:rsidRPr="006718D7">
        <w:rPr>
          <w:i/>
          <w:iCs/>
          <w:lang w:val="fr-CH"/>
        </w:rPr>
        <w:tab/>
      </w:r>
      <w:r w:rsidRPr="006718D7">
        <w:rPr>
          <w:lang w:val="fr-CH"/>
        </w:rPr>
        <w:t>ECE/TRANS/WP.11/2023/12 (</w:t>
      </w:r>
      <w:proofErr w:type="spellStart"/>
      <w:r w:rsidRPr="006718D7">
        <w:rPr>
          <w:lang w:val="fr-CH"/>
        </w:rPr>
        <w:t>Transfrigoroute</w:t>
      </w:r>
      <w:proofErr w:type="spellEnd"/>
      <w:r w:rsidRPr="006718D7">
        <w:rPr>
          <w:lang w:val="fr-CH"/>
        </w:rPr>
        <w:t xml:space="preserve"> International)</w:t>
      </w:r>
    </w:p>
    <w:p w14:paraId="0D2177D8" w14:textId="7A37C32D" w:rsidR="00AD2457" w:rsidRPr="001C7781" w:rsidRDefault="003A7E31" w:rsidP="00AD2457">
      <w:pPr>
        <w:pStyle w:val="SingleTxtG"/>
      </w:pPr>
      <w:r>
        <w:t>56</w:t>
      </w:r>
      <w:r w:rsidR="00AD2457" w:rsidRPr="001C7781">
        <w:t>.</w:t>
      </w:r>
      <w:r w:rsidR="00AD2457" w:rsidRPr="001C7781">
        <w:tab/>
      </w:r>
      <w:r w:rsidR="00AD2457">
        <w:t>Proposal was adopted (see annex</w:t>
      </w:r>
      <w:r w:rsidR="00E33631">
        <w:t xml:space="preserve"> I</w:t>
      </w:r>
      <w:r w:rsidR="0000709D">
        <w:t>I</w:t>
      </w:r>
      <w:r w:rsidR="00E33631">
        <w:t>)</w:t>
      </w:r>
    </w:p>
    <w:p w14:paraId="57FF648C" w14:textId="484781FE" w:rsidR="00AD2457" w:rsidRDefault="00AD2457" w:rsidP="00AD2457">
      <w:pPr>
        <w:pStyle w:val="H23G"/>
        <w:jc w:val="both"/>
      </w:pPr>
      <w:r>
        <w:tab/>
        <w:t>3.</w:t>
      </w:r>
      <w:r>
        <w:tab/>
        <w:t>Requirements for fitting mechanically refrigerated units on equipment</w:t>
      </w:r>
    </w:p>
    <w:p w14:paraId="7BC128D8" w14:textId="77777777" w:rsidR="00AD2457" w:rsidRPr="006718D7" w:rsidRDefault="00AD2457" w:rsidP="00AD2457">
      <w:pPr>
        <w:pStyle w:val="SingleTxtG"/>
        <w:rPr>
          <w:lang w:val="fr-CH"/>
        </w:rPr>
      </w:pPr>
      <w:r w:rsidRPr="006718D7">
        <w:rPr>
          <w:i/>
          <w:iCs/>
          <w:lang w:val="fr-CH"/>
        </w:rPr>
        <w:t xml:space="preserve">Document </w:t>
      </w:r>
      <w:r w:rsidRPr="006718D7">
        <w:rPr>
          <w:i/>
          <w:iCs/>
          <w:lang w:val="fr-CH"/>
        </w:rPr>
        <w:tab/>
      </w:r>
      <w:r w:rsidRPr="006718D7">
        <w:rPr>
          <w:i/>
          <w:iCs/>
          <w:lang w:val="fr-CH"/>
        </w:rPr>
        <w:tab/>
      </w:r>
      <w:r w:rsidRPr="006718D7">
        <w:rPr>
          <w:lang w:val="fr-CH"/>
        </w:rPr>
        <w:t>ECE/TRANS/WP.11/2023/15 (</w:t>
      </w:r>
      <w:proofErr w:type="spellStart"/>
      <w:r w:rsidRPr="006718D7">
        <w:rPr>
          <w:lang w:val="fr-CH"/>
        </w:rPr>
        <w:t>Netherlands</w:t>
      </w:r>
      <w:proofErr w:type="spellEnd"/>
      <w:r w:rsidRPr="006718D7">
        <w:rPr>
          <w:lang w:val="fr-CH"/>
        </w:rPr>
        <w:t>)</w:t>
      </w:r>
    </w:p>
    <w:p w14:paraId="3C48EC71" w14:textId="7A52D5CC" w:rsidR="00AD2457" w:rsidRDefault="006154D7" w:rsidP="00AD2457">
      <w:pPr>
        <w:pStyle w:val="SingleTxtG"/>
      </w:pPr>
      <w:r>
        <w:t>57</w:t>
      </w:r>
      <w:r w:rsidR="00AD2457" w:rsidRPr="001C7781">
        <w:t>.</w:t>
      </w:r>
      <w:r w:rsidR="00AD2457" w:rsidRPr="001C7781">
        <w:tab/>
      </w:r>
      <w:r w:rsidR="00AD2457">
        <w:t>There was agreement on the principle that transport operations are under the responsibility of the operator and therefore provisions on how to fit units on equipment were not in the scope of the ATP. The proposals amending the ATP were withdrawn.</w:t>
      </w:r>
    </w:p>
    <w:p w14:paraId="54A37C32" w14:textId="56E0DBDC" w:rsidR="00AD2457" w:rsidRPr="001C7781" w:rsidRDefault="006154D7" w:rsidP="00AD2457">
      <w:pPr>
        <w:pStyle w:val="SingleTxtG"/>
      </w:pPr>
      <w:r>
        <w:t>58</w:t>
      </w:r>
      <w:r w:rsidR="00AD2457">
        <w:t>.</w:t>
      </w:r>
      <w:r w:rsidR="00AD2457">
        <w:tab/>
        <w:t xml:space="preserve">It was decided to use the title proposed in the document for the guidance contained in document 2023/2 that will be published on the UNECE website (see </w:t>
      </w:r>
      <w:r w:rsidR="00AD2457" w:rsidRPr="00D16247">
        <w:t>https://unece.org/transport/transport-perishable-foodstuffs/guidance-and-reference-material</w:t>
      </w:r>
      <w:r w:rsidR="00AD2457">
        <w:t>).</w:t>
      </w:r>
    </w:p>
    <w:p w14:paraId="1EE07F81" w14:textId="77777777" w:rsidR="00AD2457" w:rsidRDefault="00AD2457" w:rsidP="00AD2457">
      <w:pPr>
        <w:pStyle w:val="H23G"/>
        <w:jc w:val="both"/>
      </w:pPr>
      <w:r>
        <w:tab/>
        <w:t>4.</w:t>
      </w:r>
      <w:r>
        <w:tab/>
        <w:t>Periodic verification of temperature recorders</w:t>
      </w:r>
    </w:p>
    <w:p w14:paraId="25883C93" w14:textId="77777777" w:rsidR="00AD2457" w:rsidRPr="001C7781" w:rsidRDefault="00AD2457" w:rsidP="00AD2457">
      <w:pPr>
        <w:pStyle w:val="SingleTxtG"/>
        <w:jc w:val="left"/>
      </w:pPr>
      <w:r w:rsidRPr="001C7781">
        <w:rPr>
          <w:i/>
          <w:iCs/>
        </w:rPr>
        <w:t>Document</w:t>
      </w:r>
      <w:r>
        <w:rPr>
          <w:i/>
          <w:iCs/>
        </w:rPr>
        <w:t>s</w:t>
      </w:r>
      <w:r w:rsidRPr="001C7781">
        <w:rPr>
          <w:i/>
          <w:iCs/>
        </w:rPr>
        <w:t xml:space="preserve"> </w:t>
      </w:r>
      <w:r w:rsidRPr="001C7781">
        <w:rPr>
          <w:i/>
          <w:iCs/>
        </w:rPr>
        <w:tab/>
      </w:r>
      <w:r w:rsidRPr="001C7781">
        <w:rPr>
          <w:i/>
          <w:iCs/>
        </w:rPr>
        <w:tab/>
      </w:r>
      <w:r w:rsidRPr="001C7781">
        <w:t>ECE/TRANS/WP.11/2023/1</w:t>
      </w:r>
      <w:r>
        <w:t>7</w:t>
      </w:r>
      <w:r w:rsidRPr="001C7781">
        <w:t xml:space="preserve"> (Netherlands)</w:t>
      </w:r>
      <w:r>
        <w:br/>
      </w:r>
      <w:r>
        <w:tab/>
      </w:r>
      <w:r>
        <w:tab/>
      </w:r>
      <w:r>
        <w:tab/>
      </w:r>
      <w:r>
        <w:tab/>
        <w:t>Informal document INF.15 (Luxembourg)</w:t>
      </w:r>
    </w:p>
    <w:p w14:paraId="76889C88" w14:textId="64B3EEA6" w:rsidR="00AD2457" w:rsidRPr="001C7781" w:rsidRDefault="006154D7" w:rsidP="00AD2457">
      <w:pPr>
        <w:pStyle w:val="SingleTxtG"/>
      </w:pPr>
      <w:r>
        <w:t>59</w:t>
      </w:r>
      <w:r w:rsidR="00AD2457" w:rsidRPr="001C7781">
        <w:t>.</w:t>
      </w:r>
      <w:r w:rsidR="00AD2457" w:rsidRPr="001C7781">
        <w:tab/>
      </w:r>
      <w:r w:rsidR="00AD2457">
        <w:t>The Working Party decided to carefully review the proposals in documents 2023/17 and informal document INF.15 with their national experts. A revised proposal may be presented at the next session for consideration.</w:t>
      </w:r>
    </w:p>
    <w:p w14:paraId="71E9F208" w14:textId="77777777" w:rsidR="00AD2457" w:rsidRDefault="00AD2457" w:rsidP="00AD2457">
      <w:pPr>
        <w:pStyle w:val="H23G"/>
        <w:jc w:val="both"/>
      </w:pPr>
      <w:r>
        <w:tab/>
        <w:t>5.</w:t>
      </w:r>
      <w:r>
        <w:tab/>
        <w:t>Mechanically refrigerated appliances driven by vehicle motion</w:t>
      </w:r>
    </w:p>
    <w:p w14:paraId="36F71B03" w14:textId="77777777" w:rsidR="00AD2457" w:rsidRPr="006718D7" w:rsidRDefault="00AD2457" w:rsidP="00AD2457">
      <w:pPr>
        <w:pStyle w:val="SingleTxtG"/>
        <w:rPr>
          <w:lang w:val="fr-CH"/>
        </w:rPr>
      </w:pPr>
      <w:r w:rsidRPr="006718D7">
        <w:rPr>
          <w:i/>
          <w:iCs/>
          <w:lang w:val="fr-CH"/>
        </w:rPr>
        <w:t xml:space="preserve">Document </w:t>
      </w:r>
      <w:r w:rsidRPr="006718D7">
        <w:rPr>
          <w:i/>
          <w:iCs/>
          <w:lang w:val="fr-CH"/>
        </w:rPr>
        <w:tab/>
      </w:r>
      <w:r w:rsidRPr="006718D7">
        <w:rPr>
          <w:i/>
          <w:iCs/>
          <w:lang w:val="fr-CH"/>
        </w:rPr>
        <w:tab/>
      </w:r>
      <w:r w:rsidRPr="006718D7">
        <w:rPr>
          <w:lang w:val="fr-CH"/>
        </w:rPr>
        <w:t>ECE/TRANS/WP.11/2023/19 (</w:t>
      </w:r>
      <w:proofErr w:type="spellStart"/>
      <w:r w:rsidRPr="006718D7">
        <w:rPr>
          <w:lang w:val="fr-CH"/>
        </w:rPr>
        <w:t>Netherlands</w:t>
      </w:r>
      <w:proofErr w:type="spellEnd"/>
      <w:r w:rsidRPr="006718D7">
        <w:rPr>
          <w:lang w:val="fr-CH"/>
        </w:rPr>
        <w:t>)</w:t>
      </w:r>
    </w:p>
    <w:p w14:paraId="40D4108A" w14:textId="0DD170EC" w:rsidR="00AD2457" w:rsidRDefault="006154D7" w:rsidP="00AD2457">
      <w:pPr>
        <w:pStyle w:val="SingleTxtG"/>
      </w:pPr>
      <w:r>
        <w:t>60</w:t>
      </w:r>
      <w:r w:rsidR="00AD2457" w:rsidRPr="001C7781">
        <w:t>.</w:t>
      </w:r>
      <w:r w:rsidR="00AD2457" w:rsidRPr="001C7781">
        <w:tab/>
      </w:r>
      <w:r w:rsidR="00AD2457">
        <w:t>Some delegations considered that it was not possible to delete the provisions from the ATP and that the existing text allowed more flexibility to incorporate new technologies coming to the market.</w:t>
      </w:r>
    </w:p>
    <w:p w14:paraId="228B5ECB" w14:textId="36E5D717" w:rsidR="00AD2457" w:rsidRPr="001C7781" w:rsidRDefault="006154D7" w:rsidP="00AD2457">
      <w:pPr>
        <w:pStyle w:val="SingleTxtG"/>
      </w:pPr>
      <w:r>
        <w:lastRenderedPageBreak/>
        <w:t>61</w:t>
      </w:r>
      <w:r w:rsidR="00AD2457">
        <w:t>.</w:t>
      </w:r>
      <w:r w:rsidR="00AD2457">
        <w:tab/>
        <w:t>It was remarked that the efforts of cleaning and restructuring annex 1 were appreciated and that work should continue in that direction.</w:t>
      </w:r>
    </w:p>
    <w:p w14:paraId="57C0515C" w14:textId="77777777" w:rsidR="00AD2457" w:rsidRDefault="00AD2457" w:rsidP="00AD2457">
      <w:pPr>
        <w:pStyle w:val="H23G"/>
        <w:jc w:val="both"/>
      </w:pPr>
      <w:r>
        <w:rPr>
          <w:lang w:val="en-US"/>
        </w:rPr>
        <w:tab/>
        <w:t>6.</w:t>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w:t>
      </w:r>
      <w:r>
        <w:t>paragraph 1 and to annex 1, appendix 4</w:t>
      </w:r>
    </w:p>
    <w:p w14:paraId="07FE186F" w14:textId="77777777" w:rsidR="00AD2457" w:rsidRPr="001C7781" w:rsidRDefault="00AD2457" w:rsidP="00AD2457">
      <w:pPr>
        <w:pStyle w:val="SingleTxtG"/>
        <w:jc w:val="left"/>
      </w:pPr>
      <w:r w:rsidRPr="001C7781">
        <w:rPr>
          <w:i/>
          <w:iCs/>
        </w:rPr>
        <w:t>Document</w:t>
      </w:r>
      <w:r>
        <w:rPr>
          <w:i/>
          <w:iCs/>
        </w:rPr>
        <w:t>s</w:t>
      </w:r>
      <w:r w:rsidRPr="001C7781">
        <w:rPr>
          <w:i/>
          <w:iCs/>
        </w:rPr>
        <w:t xml:space="preserve"> </w:t>
      </w:r>
      <w:r w:rsidRPr="001C7781">
        <w:rPr>
          <w:i/>
          <w:iCs/>
        </w:rPr>
        <w:tab/>
      </w:r>
      <w:r w:rsidRPr="001C7781">
        <w:rPr>
          <w:i/>
          <w:iCs/>
        </w:rPr>
        <w:tab/>
      </w:r>
      <w:r w:rsidRPr="001C7781">
        <w:t>ECE/TRANS/WP.11/2023/</w:t>
      </w:r>
      <w:r>
        <w:t>21</w:t>
      </w:r>
      <w:r w:rsidRPr="001C7781">
        <w:t xml:space="preserve"> (</w:t>
      </w:r>
      <w:r>
        <w:t>United Kingdom</w:t>
      </w:r>
      <w:r w:rsidRPr="001C7781">
        <w:t>)</w:t>
      </w:r>
      <w:r>
        <w:br/>
      </w:r>
      <w:r>
        <w:tab/>
      </w:r>
      <w:r>
        <w:tab/>
      </w:r>
      <w:r>
        <w:tab/>
      </w:r>
      <w:r>
        <w:tab/>
        <w:t>Informal document INF.8 (Netherlands)</w:t>
      </w:r>
    </w:p>
    <w:p w14:paraId="39FBFDEA" w14:textId="2A796087" w:rsidR="00AD2457" w:rsidRPr="00A37AA5" w:rsidRDefault="006154D7" w:rsidP="00AD2457">
      <w:pPr>
        <w:pStyle w:val="SingleTxtG"/>
      </w:pPr>
      <w:r>
        <w:t>62</w:t>
      </w:r>
      <w:r w:rsidR="00AD2457" w:rsidRPr="001C7781">
        <w:t>.</w:t>
      </w:r>
      <w:r w:rsidR="00AD2457" w:rsidRPr="001C7781">
        <w:tab/>
      </w:r>
      <w:r w:rsidR="00AD2457">
        <w:t xml:space="preserve">Some delegations requested more time to </w:t>
      </w:r>
      <w:proofErr w:type="gramStart"/>
      <w:r w:rsidR="00AD2457">
        <w:t>study carefully</w:t>
      </w:r>
      <w:proofErr w:type="gramEnd"/>
      <w:r w:rsidR="00AD2457">
        <w:t xml:space="preserve"> the proposal in 2023/21 as amended by informal document INF.8. The French representative informed the Working Party, that at least in France, </w:t>
      </w:r>
      <w:proofErr w:type="gramStart"/>
      <w:r w:rsidR="00AD2457">
        <w:t>the majority of</w:t>
      </w:r>
      <w:proofErr w:type="gramEnd"/>
      <w:r w:rsidR="00AD2457">
        <w:t xml:space="preserve"> normally insulated equipment were operating with a K value below 0.5 </w:t>
      </w:r>
      <w:r w:rsidR="00AD2457" w:rsidRPr="009B42E5">
        <w:t>W·m</w:t>
      </w:r>
      <w:r w:rsidR="00AD2457" w:rsidRPr="009B42E5">
        <w:rPr>
          <w:vertAlign w:val="superscript"/>
        </w:rPr>
        <w:t>-2</w:t>
      </w:r>
      <w:r w:rsidR="00AD2457" w:rsidRPr="009B42E5">
        <w:t>·K</w:t>
      </w:r>
      <w:r w:rsidR="00AD2457" w:rsidRPr="009B42E5">
        <w:rPr>
          <w:vertAlign w:val="superscript"/>
        </w:rPr>
        <w:t>-1</w:t>
      </w:r>
      <w:r w:rsidR="00AD2457">
        <w:t xml:space="preserve">. </w:t>
      </w:r>
      <w:r w:rsidR="00AD2457" w:rsidRPr="00A37AA5">
        <w:t>The representative of Finland informed WP.11 that in Finland a remarkable number of FNA certified equipment have K values between 0.65 and 0.70 W·m</w:t>
      </w:r>
      <w:r w:rsidR="00AD2457" w:rsidRPr="00A37AA5">
        <w:rPr>
          <w:vertAlign w:val="superscript"/>
        </w:rPr>
        <w:t>-2</w:t>
      </w:r>
      <w:r w:rsidR="00AD2457" w:rsidRPr="00A37AA5">
        <w:t>·K</w:t>
      </w:r>
      <w:r w:rsidR="00AD2457" w:rsidRPr="00A37AA5">
        <w:rPr>
          <w:vertAlign w:val="superscript"/>
        </w:rPr>
        <w:t>-1</w:t>
      </w:r>
      <w:r w:rsidR="00AD2457" w:rsidRPr="00A37AA5">
        <w:t>.</w:t>
      </w:r>
    </w:p>
    <w:p w14:paraId="1348DE91" w14:textId="0D78E659" w:rsidR="00AD2457" w:rsidRPr="00E27459" w:rsidRDefault="006154D7" w:rsidP="00AD2457">
      <w:pPr>
        <w:pStyle w:val="SingleTxtG"/>
      </w:pPr>
      <w:r>
        <w:t>63</w:t>
      </w:r>
      <w:r w:rsidR="00AD2457">
        <w:t>.</w:t>
      </w:r>
      <w:r w:rsidR="00AD2457">
        <w:tab/>
        <w:t>The proposal was put to the vote and was not adopted with five votes in favour (Denmark, Italy, Slovenia, Russian Federation and United Kingdom) and two votes against (Finland and Spain).</w:t>
      </w:r>
    </w:p>
    <w:p w14:paraId="4E5E932F" w14:textId="479F6C16" w:rsidR="00E043AE" w:rsidRPr="001C7781" w:rsidRDefault="00E043AE" w:rsidP="00E043AE">
      <w:pPr>
        <w:pStyle w:val="H23G"/>
        <w:jc w:val="both"/>
      </w:pPr>
      <w:r w:rsidRPr="001C7781">
        <w:tab/>
      </w:r>
      <w:r w:rsidR="00CF5897">
        <w:t>7.</w:t>
      </w:r>
      <w:r w:rsidRPr="001C7781">
        <w:tab/>
        <w:t>Proposal of amendments</w:t>
      </w:r>
    </w:p>
    <w:p w14:paraId="1D41440C" w14:textId="77777777" w:rsidR="00E043AE" w:rsidRPr="00DD1A71" w:rsidRDefault="00E043AE" w:rsidP="00E043AE">
      <w:pPr>
        <w:pStyle w:val="SingleTxtG"/>
        <w:rPr>
          <w:lang w:val="fr-CH"/>
        </w:rPr>
      </w:pPr>
      <w:r w:rsidRPr="00DD1A71">
        <w:rPr>
          <w:i/>
          <w:iCs/>
          <w:lang w:val="fr-CH"/>
        </w:rPr>
        <w:t xml:space="preserve">Document </w:t>
      </w:r>
      <w:r w:rsidRPr="00DD1A71">
        <w:rPr>
          <w:i/>
          <w:iCs/>
          <w:lang w:val="fr-CH"/>
        </w:rPr>
        <w:tab/>
      </w:r>
      <w:r w:rsidRPr="00DD1A71">
        <w:rPr>
          <w:i/>
          <w:iCs/>
          <w:lang w:val="fr-CH"/>
        </w:rPr>
        <w:tab/>
      </w:r>
      <w:r w:rsidRPr="00DD1A71">
        <w:rPr>
          <w:lang w:val="fr-CH"/>
        </w:rPr>
        <w:t>ECE/TRANS/WP.11/2023/14 (</w:t>
      </w:r>
      <w:proofErr w:type="spellStart"/>
      <w:r w:rsidRPr="00DD1A71">
        <w:rPr>
          <w:lang w:val="fr-CH"/>
        </w:rPr>
        <w:t>Netherlands</w:t>
      </w:r>
      <w:proofErr w:type="spellEnd"/>
      <w:r w:rsidRPr="00DD1A71">
        <w:rPr>
          <w:lang w:val="fr-CH"/>
        </w:rPr>
        <w:t>)</w:t>
      </w:r>
    </w:p>
    <w:p w14:paraId="6BDC4F42" w14:textId="01FAD37F" w:rsidR="00E043AE" w:rsidRPr="001C7781" w:rsidRDefault="00CF5897" w:rsidP="00E043AE">
      <w:pPr>
        <w:pStyle w:val="SingleTxtG"/>
      </w:pPr>
      <w:r>
        <w:t>64</w:t>
      </w:r>
      <w:r w:rsidR="00E043AE" w:rsidRPr="001C7781">
        <w:t>.</w:t>
      </w:r>
      <w:r w:rsidR="00E043AE" w:rsidRPr="001C7781">
        <w:tab/>
      </w:r>
      <w:r w:rsidR="00E043AE">
        <w:t>Proposals were adopted (see annex</w:t>
      </w:r>
      <w:r w:rsidR="00AA2467">
        <w:t xml:space="preserve"> I</w:t>
      </w:r>
      <w:r w:rsidR="0000709D">
        <w:t>I</w:t>
      </w:r>
      <w:r w:rsidR="00AA2467">
        <w:t>).</w:t>
      </w:r>
    </w:p>
    <w:p w14:paraId="7DD97B14" w14:textId="6F566F9A" w:rsidR="00E043AE" w:rsidRDefault="00E043AE" w:rsidP="00E043AE">
      <w:pPr>
        <w:pStyle w:val="H23G"/>
        <w:jc w:val="both"/>
      </w:pPr>
      <w:r>
        <w:tab/>
      </w:r>
      <w:r w:rsidR="00CF5897">
        <w:t>8.</w:t>
      </w:r>
      <w:r>
        <w:tab/>
        <w:t>Correction to annex 1, appendix 1, article 3 for the English and Russian language versions of the ATP</w:t>
      </w:r>
    </w:p>
    <w:p w14:paraId="1B53A1E2" w14:textId="77777777" w:rsidR="00E043AE" w:rsidRPr="00DD1A71" w:rsidRDefault="00E043AE" w:rsidP="00E043AE">
      <w:pPr>
        <w:pStyle w:val="SingleTxtG"/>
        <w:rPr>
          <w:lang w:val="fr-CH"/>
        </w:rPr>
      </w:pPr>
      <w:r w:rsidRPr="00DD1A71">
        <w:rPr>
          <w:i/>
          <w:iCs/>
          <w:lang w:val="fr-CH"/>
        </w:rPr>
        <w:t xml:space="preserve">Document </w:t>
      </w:r>
      <w:r w:rsidRPr="00DD1A71">
        <w:rPr>
          <w:i/>
          <w:iCs/>
          <w:lang w:val="fr-CH"/>
        </w:rPr>
        <w:tab/>
      </w:r>
      <w:r w:rsidRPr="00DD1A71">
        <w:rPr>
          <w:i/>
          <w:iCs/>
          <w:lang w:val="fr-CH"/>
        </w:rPr>
        <w:tab/>
      </w:r>
      <w:r w:rsidRPr="00DD1A71">
        <w:rPr>
          <w:lang w:val="fr-CH"/>
        </w:rPr>
        <w:t>ECE/TRANS/WP.11/2023/16 (</w:t>
      </w:r>
      <w:proofErr w:type="spellStart"/>
      <w:r w:rsidRPr="00DD1A71">
        <w:rPr>
          <w:lang w:val="fr-CH"/>
        </w:rPr>
        <w:t>Netherlands</w:t>
      </w:r>
      <w:proofErr w:type="spellEnd"/>
      <w:r w:rsidRPr="00DD1A71">
        <w:rPr>
          <w:lang w:val="fr-CH"/>
        </w:rPr>
        <w:t>)</w:t>
      </w:r>
    </w:p>
    <w:p w14:paraId="72761911" w14:textId="5297448E" w:rsidR="00E043AE" w:rsidRPr="001C7781" w:rsidRDefault="00CF5897" w:rsidP="00E043AE">
      <w:pPr>
        <w:pStyle w:val="SingleTxtG"/>
      </w:pPr>
      <w:r>
        <w:t>65</w:t>
      </w:r>
      <w:r w:rsidR="00E043AE" w:rsidRPr="001C7781">
        <w:t>.</w:t>
      </w:r>
      <w:r w:rsidR="00E043AE" w:rsidRPr="001C7781">
        <w:tab/>
      </w:r>
      <w:r w:rsidR="00E043AE">
        <w:t>Proposal was adopted (see annex</w:t>
      </w:r>
      <w:r w:rsidR="00A03FE5">
        <w:t xml:space="preserve"> </w:t>
      </w:r>
      <w:r w:rsidR="00B03323">
        <w:t>I</w:t>
      </w:r>
      <w:r w:rsidR="0000709D">
        <w:t>I</w:t>
      </w:r>
      <w:r w:rsidR="00E043AE">
        <w:t>).</w:t>
      </w:r>
    </w:p>
    <w:p w14:paraId="37AC8355" w14:textId="2CD0763C" w:rsidR="00E043AE" w:rsidRDefault="00E043AE" w:rsidP="00E043AE">
      <w:pPr>
        <w:pStyle w:val="H23G"/>
        <w:jc w:val="both"/>
      </w:pPr>
      <w:r>
        <w:tab/>
      </w:r>
      <w:r w:rsidR="00CF5897">
        <w:t>9</w:t>
      </w:r>
      <w:r w:rsidR="00513822">
        <w:t>.</w:t>
      </w:r>
      <w:r>
        <w:tab/>
        <w:t>Proposal to amend i</w:t>
      </w:r>
      <w:r w:rsidRPr="00363F50">
        <w:t>n</w:t>
      </w:r>
      <w:r>
        <w:t>-</w:t>
      </w:r>
      <w:r w:rsidRPr="00363F50">
        <w:t>service testing of heated and mechanically refrigerated and h</w:t>
      </w:r>
      <w:r>
        <w:t>eated equipment,</w:t>
      </w:r>
      <w:r w:rsidRPr="00E16BE2">
        <w:t xml:space="preserve"> </w:t>
      </w:r>
      <w:r>
        <w:t>a</w:t>
      </w:r>
      <w:r w:rsidRPr="00E16BE2">
        <w:t xml:space="preserve">nnex 1, </w:t>
      </w:r>
      <w:r>
        <w:t>a</w:t>
      </w:r>
      <w:r w:rsidRPr="00E16BE2">
        <w:t xml:space="preserve">ppendix 2, </w:t>
      </w:r>
      <w:r>
        <w:t>paragraphs</w:t>
      </w:r>
      <w:r w:rsidRPr="00E16BE2">
        <w:t xml:space="preserve"> 6.3 and 6.4 (ii)</w:t>
      </w:r>
      <w:r>
        <w:t xml:space="preserve"> of the ATP</w:t>
      </w:r>
    </w:p>
    <w:p w14:paraId="70372BEB" w14:textId="77777777" w:rsidR="00E043AE" w:rsidRPr="00DD1A71" w:rsidRDefault="00E043AE" w:rsidP="00E043AE">
      <w:pPr>
        <w:pStyle w:val="SingleTxtG"/>
        <w:rPr>
          <w:lang w:val="fr-CH"/>
        </w:rPr>
      </w:pPr>
      <w:r w:rsidRPr="00DD1A71">
        <w:rPr>
          <w:i/>
          <w:iCs/>
          <w:lang w:val="fr-CH"/>
        </w:rPr>
        <w:t xml:space="preserve">Document </w:t>
      </w:r>
      <w:r w:rsidRPr="00DD1A71">
        <w:rPr>
          <w:i/>
          <w:iCs/>
          <w:lang w:val="fr-CH"/>
        </w:rPr>
        <w:tab/>
      </w:r>
      <w:r w:rsidRPr="00DD1A71">
        <w:rPr>
          <w:i/>
          <w:iCs/>
          <w:lang w:val="fr-CH"/>
        </w:rPr>
        <w:tab/>
      </w:r>
      <w:r w:rsidRPr="00DD1A71">
        <w:rPr>
          <w:lang w:val="fr-CH"/>
        </w:rPr>
        <w:t>ECE/TRANS/WP.11/2023/18 (</w:t>
      </w:r>
      <w:proofErr w:type="spellStart"/>
      <w:r w:rsidRPr="00DD1A71">
        <w:rPr>
          <w:lang w:val="fr-CH"/>
        </w:rPr>
        <w:t>Finland</w:t>
      </w:r>
      <w:proofErr w:type="spellEnd"/>
      <w:r w:rsidRPr="00DD1A71">
        <w:rPr>
          <w:lang w:val="fr-CH"/>
        </w:rPr>
        <w:t>)</w:t>
      </w:r>
    </w:p>
    <w:p w14:paraId="0F9CC09F" w14:textId="4BC00CFB" w:rsidR="00E043AE" w:rsidRDefault="00513822" w:rsidP="00E043AE">
      <w:pPr>
        <w:pStyle w:val="SingleTxtG"/>
      </w:pPr>
      <w:r>
        <w:t>66</w:t>
      </w:r>
      <w:r w:rsidR="00E043AE" w:rsidRPr="001C7781">
        <w:t>.</w:t>
      </w:r>
      <w:r w:rsidR="00E043AE" w:rsidRPr="001C7781">
        <w:tab/>
      </w:r>
      <w:r w:rsidR="00E043AE">
        <w:t>After clarifying that the proposal could be adopted as included in the document and come back to the topic in the future if there was a need for differentiating the requirements for independent and non-independent equipment, the proposal was adopted (see annex</w:t>
      </w:r>
      <w:r w:rsidR="00B03323">
        <w:t xml:space="preserve"> I</w:t>
      </w:r>
      <w:r w:rsidR="0000709D">
        <w:t>I</w:t>
      </w:r>
      <w:r w:rsidR="00B03323">
        <w:t>).</w:t>
      </w:r>
    </w:p>
    <w:p w14:paraId="0B965D1F" w14:textId="7BE5C99C" w:rsidR="00E043AE" w:rsidRDefault="00E043AE" w:rsidP="00E043AE">
      <w:pPr>
        <w:pStyle w:val="H23G"/>
        <w:jc w:val="both"/>
        <w:rPr>
          <w:szCs w:val="24"/>
        </w:rPr>
      </w:pPr>
      <w:r>
        <w:rPr>
          <w:lang w:val="en-US"/>
        </w:rPr>
        <w:tab/>
      </w:r>
      <w:r w:rsidR="00513822">
        <w:rPr>
          <w:lang w:val="en-US"/>
        </w:rPr>
        <w:t>10.</w:t>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appendix 1, </w:t>
      </w:r>
      <w:r>
        <w:rPr>
          <w:szCs w:val="24"/>
        </w:rPr>
        <w:t>p</w:t>
      </w:r>
      <w:r w:rsidRPr="000D2ADE">
        <w:rPr>
          <w:szCs w:val="24"/>
        </w:rPr>
        <w:t>aragraph 6 (c) (iii) (b)</w:t>
      </w:r>
    </w:p>
    <w:p w14:paraId="227F1B12" w14:textId="77777777" w:rsidR="00E043AE" w:rsidRPr="001C7781" w:rsidRDefault="00E043AE" w:rsidP="00E043AE">
      <w:pPr>
        <w:pStyle w:val="SingleTxtG"/>
      </w:pPr>
      <w:r w:rsidRPr="001C7781">
        <w:rPr>
          <w:i/>
          <w:iCs/>
        </w:rPr>
        <w:t xml:space="preserve">Document </w:t>
      </w:r>
      <w:r w:rsidRPr="001C7781">
        <w:rPr>
          <w:i/>
          <w:iCs/>
        </w:rPr>
        <w:tab/>
      </w:r>
      <w:r w:rsidRPr="001C7781">
        <w:rPr>
          <w:i/>
          <w:iCs/>
        </w:rPr>
        <w:tab/>
      </w:r>
      <w:r w:rsidRPr="001C7781">
        <w:t>ECE/TRANS/WP.11/2023/</w:t>
      </w:r>
      <w:r>
        <w:t>20</w:t>
      </w:r>
      <w:r w:rsidRPr="001C7781">
        <w:t xml:space="preserve"> (</w:t>
      </w:r>
      <w:r>
        <w:t>United Kingdom</w:t>
      </w:r>
      <w:r w:rsidRPr="001C7781">
        <w:t>)</w:t>
      </w:r>
    </w:p>
    <w:p w14:paraId="013E4CD9" w14:textId="2766C29A" w:rsidR="00E043AE" w:rsidRDefault="00513822" w:rsidP="00E043AE">
      <w:pPr>
        <w:pStyle w:val="SingleTxtG"/>
      </w:pPr>
      <w:r>
        <w:t>67</w:t>
      </w:r>
      <w:r w:rsidR="00E043AE" w:rsidRPr="001C7781">
        <w:t>.</w:t>
      </w:r>
      <w:r w:rsidR="00E043AE" w:rsidRPr="001C7781">
        <w:tab/>
      </w:r>
      <w:r w:rsidR="00E043AE">
        <w:t xml:space="preserve">It was clarified that the requirement for the K coefficient to be at least 5 </w:t>
      </w:r>
      <w:r w:rsidR="00ED5D28">
        <w:t>per cent</w:t>
      </w:r>
      <w:r w:rsidR="00E043AE">
        <w:t xml:space="preserve"> less than the specified value in annex 1 paragraph 1, was based on measures taken in the UK and aimed at avoiding unfair advantages for manufacturers of units without the cooling machine. There was agreement on addressing the issue as ATP requirements should not cause unfair advantage in the marketplace.</w:t>
      </w:r>
    </w:p>
    <w:p w14:paraId="4E16C300" w14:textId="328CA984" w:rsidR="00E043AE" w:rsidRPr="001C7781" w:rsidRDefault="00513822" w:rsidP="00E043AE">
      <w:pPr>
        <w:pStyle w:val="SingleTxtG"/>
      </w:pPr>
      <w:r>
        <w:t>68</w:t>
      </w:r>
      <w:r w:rsidR="00E043AE">
        <w:t>.</w:t>
      </w:r>
      <w:r w:rsidR="00E043AE">
        <w:tab/>
        <w:t xml:space="preserve">It was also added that arriving at a figure for the reduction of the K coefficient might prove a very difficult task as it depends on the size of the box and the size of the opening in the insulation unit, combination that might differ on a </w:t>
      </w:r>
      <w:proofErr w:type="gramStart"/>
      <w:r w:rsidR="00E043AE">
        <w:t>case by case</w:t>
      </w:r>
      <w:proofErr w:type="gramEnd"/>
      <w:r w:rsidR="00E043AE">
        <w:t xml:space="preserve"> basis.</w:t>
      </w:r>
    </w:p>
    <w:p w14:paraId="5A43AA3F" w14:textId="594FEA8B" w:rsidR="00E043AE" w:rsidRPr="001C7781" w:rsidRDefault="00513822" w:rsidP="00E043AE">
      <w:pPr>
        <w:pStyle w:val="SingleTxtG"/>
      </w:pPr>
      <w:r>
        <w:t>69</w:t>
      </w:r>
      <w:r w:rsidR="00E043AE">
        <w:t>.</w:t>
      </w:r>
      <w:r w:rsidR="00E043AE">
        <w:tab/>
        <w:t xml:space="preserve">WP.11 concluded that there was </w:t>
      </w:r>
      <w:proofErr w:type="gramStart"/>
      <w:r w:rsidR="00E043AE">
        <w:t>support</w:t>
      </w:r>
      <w:proofErr w:type="gramEnd"/>
      <w:r w:rsidR="00E043AE">
        <w:t xml:space="preserve"> to continue working on the subject on the basis of a revised proposal at the next session.</w:t>
      </w:r>
    </w:p>
    <w:p w14:paraId="70E7109F" w14:textId="7E6BEEAB" w:rsidR="00E043AE" w:rsidRDefault="00E043AE" w:rsidP="00E043AE">
      <w:pPr>
        <w:pStyle w:val="H23G"/>
        <w:jc w:val="both"/>
      </w:pPr>
      <w:r>
        <w:rPr>
          <w:lang w:val="en-US"/>
        </w:rPr>
        <w:tab/>
      </w:r>
      <w:r w:rsidR="00513822">
        <w:rPr>
          <w:lang w:val="en-US"/>
        </w:rPr>
        <w:t>11.</w:t>
      </w:r>
      <w:r>
        <w:rPr>
          <w:lang w:val="en-US"/>
        </w:rPr>
        <w:tab/>
      </w:r>
      <w:r w:rsidRPr="00692D11">
        <w:rPr>
          <w:lang w:val="en-US"/>
        </w:rPr>
        <w:t>Proposed editorial changes received by the secretariat from the governments of Germany and Spain</w:t>
      </w:r>
    </w:p>
    <w:p w14:paraId="6B758684" w14:textId="77777777" w:rsidR="00E043AE" w:rsidRPr="00DD1A71" w:rsidRDefault="00E043AE" w:rsidP="00E043AE">
      <w:pPr>
        <w:pStyle w:val="SingleTxtG"/>
        <w:rPr>
          <w:lang w:val="fr-CH"/>
        </w:rPr>
      </w:pPr>
      <w:r w:rsidRPr="00DD1A71">
        <w:rPr>
          <w:i/>
          <w:iCs/>
          <w:lang w:val="fr-CH"/>
        </w:rPr>
        <w:t xml:space="preserve">Document </w:t>
      </w:r>
      <w:r w:rsidRPr="00DD1A71">
        <w:rPr>
          <w:i/>
          <w:iCs/>
          <w:lang w:val="fr-CH"/>
        </w:rPr>
        <w:tab/>
      </w:r>
      <w:r w:rsidRPr="00DD1A71">
        <w:rPr>
          <w:i/>
          <w:iCs/>
          <w:lang w:val="fr-CH"/>
        </w:rPr>
        <w:tab/>
      </w:r>
      <w:r w:rsidRPr="00DD1A71">
        <w:rPr>
          <w:lang w:val="fr-CH"/>
        </w:rPr>
        <w:t>Informal document INF.11 (</w:t>
      </w:r>
      <w:proofErr w:type="spellStart"/>
      <w:r w:rsidRPr="00DD1A71">
        <w:rPr>
          <w:lang w:val="fr-CH"/>
        </w:rPr>
        <w:t>Secretariat</w:t>
      </w:r>
      <w:proofErr w:type="spellEnd"/>
      <w:r w:rsidRPr="00DD1A71">
        <w:rPr>
          <w:lang w:val="fr-CH"/>
        </w:rPr>
        <w:t>)</w:t>
      </w:r>
    </w:p>
    <w:p w14:paraId="16B65F61" w14:textId="2D70D07B" w:rsidR="00E043AE" w:rsidRDefault="00513822" w:rsidP="00E043AE">
      <w:pPr>
        <w:pStyle w:val="SingleTxtG"/>
      </w:pPr>
      <w:r>
        <w:t>70</w:t>
      </w:r>
      <w:r w:rsidR="00E043AE" w:rsidRPr="001C7781">
        <w:t>.</w:t>
      </w:r>
      <w:r w:rsidR="00E043AE" w:rsidRPr="001C7781">
        <w:tab/>
      </w:r>
      <w:r w:rsidR="00E043AE">
        <w:t>The Working Party decided to harmonize the multiplication symbol used for equations and for units throughout the text of the ATP (see annex</w:t>
      </w:r>
      <w:r w:rsidR="00A03FE5">
        <w:t xml:space="preserve"> I</w:t>
      </w:r>
      <w:r w:rsidR="0000709D">
        <w:t>I</w:t>
      </w:r>
      <w:r w:rsidR="00A03FE5">
        <w:t>).</w:t>
      </w:r>
    </w:p>
    <w:p w14:paraId="6D75D597" w14:textId="7ED63E08" w:rsidR="00E043AE" w:rsidRDefault="00E043AE" w:rsidP="00B322AA">
      <w:pPr>
        <w:pStyle w:val="H23G"/>
        <w:pageBreakBefore/>
        <w:jc w:val="both"/>
      </w:pPr>
      <w:r>
        <w:lastRenderedPageBreak/>
        <w:tab/>
      </w:r>
      <w:r w:rsidR="00513822">
        <w:t>12.</w:t>
      </w:r>
      <w:r>
        <w:tab/>
      </w:r>
      <w:r w:rsidRPr="00692D11">
        <w:t>Guidance document on electrically driven equipment</w:t>
      </w:r>
    </w:p>
    <w:p w14:paraId="5C8FFB63" w14:textId="77777777" w:rsidR="00E043AE" w:rsidRPr="001C7781" w:rsidRDefault="00E043AE" w:rsidP="00E043AE">
      <w:pPr>
        <w:pStyle w:val="SingleTxtG"/>
        <w:ind w:left="2835" w:hanging="1701"/>
        <w:jc w:val="left"/>
      </w:pPr>
      <w:r w:rsidRPr="001C7781">
        <w:rPr>
          <w:i/>
          <w:iCs/>
        </w:rPr>
        <w:t xml:space="preserve">Document </w:t>
      </w:r>
      <w:r w:rsidRPr="001C7781">
        <w:rPr>
          <w:i/>
          <w:iCs/>
        </w:rPr>
        <w:tab/>
      </w:r>
      <w:r w:rsidRPr="001C7781">
        <w:rPr>
          <w:i/>
          <w:iCs/>
        </w:rPr>
        <w:tab/>
      </w:r>
      <w:r>
        <w:t>Informal document INF.12</w:t>
      </w:r>
      <w:r w:rsidRPr="001C7781">
        <w:t xml:space="preserve"> (</w:t>
      </w:r>
      <w:r w:rsidRPr="00692D11">
        <w:t xml:space="preserve">Chair of the </w:t>
      </w:r>
      <w:r>
        <w:t>i</w:t>
      </w:r>
      <w:r w:rsidRPr="00692D11">
        <w:t xml:space="preserve">nformal </w:t>
      </w:r>
      <w:r>
        <w:br/>
        <w:t>w</w:t>
      </w:r>
      <w:r w:rsidRPr="00692D11">
        <w:t xml:space="preserve">orking </w:t>
      </w:r>
      <w:r>
        <w:t>g</w:t>
      </w:r>
      <w:r w:rsidRPr="00692D11">
        <w:t>roup</w:t>
      </w:r>
      <w:r>
        <w:t xml:space="preserve"> on</w:t>
      </w:r>
      <w:r w:rsidRPr="00692D11">
        <w:t xml:space="preserve"> Approval System</w:t>
      </w:r>
      <w:r w:rsidRPr="001C7781">
        <w:t>)</w:t>
      </w:r>
    </w:p>
    <w:p w14:paraId="1AABF6C9" w14:textId="5BFAD91F" w:rsidR="00E043AE" w:rsidRDefault="00513822" w:rsidP="00E043AE">
      <w:pPr>
        <w:pStyle w:val="SingleTxtG"/>
      </w:pPr>
      <w:r>
        <w:t>71</w:t>
      </w:r>
      <w:r w:rsidR="00E043AE" w:rsidRPr="001C7781">
        <w:t>.</w:t>
      </w:r>
      <w:r w:rsidR="00E043AE" w:rsidRPr="001C7781">
        <w:tab/>
      </w:r>
      <w:r w:rsidR="00E043AE">
        <w:t xml:space="preserve">Most delegations considered the information provided in the guidance was very useful and relevant, but as it was a late informal </w:t>
      </w:r>
      <w:proofErr w:type="gramStart"/>
      <w:r w:rsidR="00E043AE">
        <w:t>document</w:t>
      </w:r>
      <w:proofErr w:type="gramEnd"/>
      <w:r w:rsidR="00E043AE">
        <w:t xml:space="preserve"> they did not have time to discuss it with experts at national level. It was also mentioned that some parts of the text could be redrafted to facilitate understanding.</w:t>
      </w:r>
    </w:p>
    <w:p w14:paraId="52272D1F" w14:textId="41685D51" w:rsidR="00E043AE" w:rsidRDefault="000676B2" w:rsidP="00E043AE">
      <w:pPr>
        <w:pStyle w:val="SingleTxtG"/>
        <w:rPr>
          <w:bCs/>
          <w:szCs w:val="28"/>
          <w:lang w:val="en-US"/>
        </w:rPr>
      </w:pPr>
      <w:r>
        <w:rPr>
          <w:bCs/>
          <w:szCs w:val="28"/>
          <w:lang w:val="en-US"/>
        </w:rPr>
        <w:t>72</w:t>
      </w:r>
      <w:r w:rsidR="00E043AE">
        <w:rPr>
          <w:bCs/>
          <w:szCs w:val="28"/>
          <w:lang w:val="en-US"/>
        </w:rPr>
        <w:t>.</w:t>
      </w:r>
      <w:r w:rsidR="00E043AE">
        <w:rPr>
          <w:bCs/>
          <w:szCs w:val="28"/>
          <w:lang w:val="en-US"/>
        </w:rPr>
        <w:tab/>
        <w:t>It was also noted that the document could be used as the basis for drafting a comprehensive set of amendments to include the necessary requirements for electric power sources in the ATP.</w:t>
      </w:r>
    </w:p>
    <w:p w14:paraId="43FAEFA1" w14:textId="5BD0CB35" w:rsidR="00E043AE" w:rsidRDefault="000676B2" w:rsidP="00E043AE">
      <w:pPr>
        <w:pStyle w:val="SingleTxtG"/>
        <w:rPr>
          <w:bCs/>
          <w:szCs w:val="28"/>
          <w:lang w:val="en-US"/>
        </w:rPr>
      </w:pPr>
      <w:r>
        <w:rPr>
          <w:bCs/>
          <w:szCs w:val="28"/>
          <w:lang w:val="en-US"/>
        </w:rPr>
        <w:t>73</w:t>
      </w:r>
      <w:r w:rsidR="00E043AE">
        <w:rPr>
          <w:bCs/>
          <w:szCs w:val="28"/>
          <w:lang w:val="en-US"/>
        </w:rPr>
        <w:t>.</w:t>
      </w:r>
      <w:r w:rsidR="00E043AE">
        <w:rPr>
          <w:bCs/>
          <w:szCs w:val="28"/>
          <w:lang w:val="en-US"/>
        </w:rPr>
        <w:tab/>
        <w:t xml:space="preserve">It was decided to consider a revised version of the document at the next session. </w:t>
      </w:r>
    </w:p>
    <w:p w14:paraId="5E0C3C12" w14:textId="77777777" w:rsidR="00AF5D90" w:rsidRDefault="00AF5D90" w:rsidP="00AF5D90">
      <w:pPr>
        <w:pStyle w:val="HChG"/>
      </w:pPr>
      <w:r>
        <w:tab/>
      </w:r>
      <w:bookmarkStart w:id="14" w:name="_Toc103001704"/>
      <w:r>
        <w:t>VII.</w:t>
      </w:r>
      <w:r>
        <w:tab/>
        <w:t xml:space="preserve">ATP </w:t>
      </w:r>
      <w:r w:rsidRPr="00D86A74">
        <w:t>Handbook</w:t>
      </w:r>
      <w:r>
        <w:t xml:space="preserve"> (agenda item 6)</w:t>
      </w:r>
      <w:bookmarkEnd w:id="14"/>
    </w:p>
    <w:p w14:paraId="166960B3" w14:textId="77777777" w:rsidR="00AF5D90" w:rsidRDefault="00AF5D90" w:rsidP="00AF5D90">
      <w:pPr>
        <w:pStyle w:val="H23G"/>
        <w:jc w:val="both"/>
        <w:rPr>
          <w:szCs w:val="24"/>
        </w:rPr>
      </w:pPr>
      <w:r>
        <w:rPr>
          <w:lang w:val="en-US"/>
        </w:rPr>
        <w:tab/>
      </w:r>
      <w:r>
        <w:rPr>
          <w:lang w:val="en-US"/>
        </w:rPr>
        <w:tab/>
      </w:r>
      <w:hyperlink r:id="rId20" w:history="1">
        <w:r w:rsidRPr="009C1E97">
          <w:t>Amendments to the comments to paragraph 4 of annex 2, appendix 1 of the ATP Handbook: Location of temperature measurement probes during transport</w:t>
        </w:r>
      </w:hyperlink>
    </w:p>
    <w:p w14:paraId="63AF648E" w14:textId="7410A7D6" w:rsidR="00AF5D90" w:rsidRPr="001C7781" w:rsidRDefault="00AF5D90" w:rsidP="00AF5D90">
      <w:pPr>
        <w:pStyle w:val="SingleTxtG"/>
      </w:pPr>
      <w:r w:rsidRPr="001C7781">
        <w:rPr>
          <w:i/>
          <w:iCs/>
        </w:rPr>
        <w:t xml:space="preserve">Document </w:t>
      </w:r>
      <w:r w:rsidRPr="001C7781">
        <w:rPr>
          <w:i/>
          <w:iCs/>
        </w:rPr>
        <w:tab/>
      </w:r>
      <w:r w:rsidRPr="001C7781">
        <w:rPr>
          <w:i/>
          <w:iCs/>
        </w:rPr>
        <w:tab/>
      </w:r>
      <w:r w:rsidRPr="001C7781">
        <w:t>ECE/TRANS/WP.11/2023/</w:t>
      </w:r>
      <w:r>
        <w:t>10</w:t>
      </w:r>
      <w:r w:rsidRPr="001C7781">
        <w:t xml:space="preserve"> (</w:t>
      </w:r>
      <w:r>
        <w:t>France</w:t>
      </w:r>
      <w:r w:rsidRPr="001C7781">
        <w:t>)</w:t>
      </w:r>
    </w:p>
    <w:p w14:paraId="5AB177E5" w14:textId="2FDEE863" w:rsidR="00AF5D90" w:rsidRDefault="005A79F8" w:rsidP="00AF5D90">
      <w:pPr>
        <w:pStyle w:val="SingleTxtG"/>
      </w:pPr>
      <w:r>
        <w:t>74</w:t>
      </w:r>
      <w:r w:rsidR="00AF5D90" w:rsidRPr="001C7781">
        <w:t>.</w:t>
      </w:r>
      <w:r w:rsidR="00AF5D90" w:rsidRPr="001C7781">
        <w:tab/>
      </w:r>
      <w:r w:rsidR="00AF5D90">
        <w:t>There was general agreement that the existing text in the ATP Handbook was not correct and although the proposal in document 2023/10 was not including all possible configurations was an improved way of reflecting current practices.</w:t>
      </w:r>
    </w:p>
    <w:p w14:paraId="65518400" w14:textId="1585EE71" w:rsidR="00AF5D90" w:rsidRPr="00570850" w:rsidRDefault="005A79F8" w:rsidP="00AF5D90">
      <w:pPr>
        <w:pStyle w:val="SingleTxtG"/>
      </w:pPr>
      <w:r>
        <w:t>75</w:t>
      </w:r>
      <w:r w:rsidR="00AF5D90">
        <w:t>.</w:t>
      </w:r>
      <w:r w:rsidR="00AF5D90">
        <w:tab/>
        <w:t xml:space="preserve">WP.11 decided to adopt the proposal but noted the new systems in the market with flexible positioning of the </w:t>
      </w:r>
      <w:r w:rsidR="00AF5D90" w:rsidRPr="00AE4838">
        <w:t>of temperature measurement probes</w:t>
      </w:r>
      <w:r w:rsidR="00AF5D90">
        <w:t xml:space="preserve"> and agreed that the text might be revised in the future</w:t>
      </w:r>
      <w:r w:rsidR="004956F4">
        <w:t xml:space="preserve"> (see </w:t>
      </w:r>
      <w:r w:rsidR="0022216D">
        <w:t>annex II</w:t>
      </w:r>
      <w:r w:rsidR="00724004">
        <w:t>I</w:t>
      </w:r>
      <w:r w:rsidR="0022216D">
        <w:t>)</w:t>
      </w:r>
      <w:r w:rsidR="00AF5D90">
        <w:t>.</w:t>
      </w:r>
    </w:p>
    <w:p w14:paraId="0CC7C683" w14:textId="77777777" w:rsidR="00E043AE" w:rsidRPr="002A0A7D" w:rsidRDefault="00E043AE" w:rsidP="0052066A">
      <w:pPr>
        <w:pStyle w:val="HChG"/>
      </w:pPr>
      <w:r>
        <w:tab/>
      </w:r>
      <w:bookmarkStart w:id="15" w:name="_Toc103001709"/>
      <w:r>
        <w:t>VIII.</w:t>
      </w:r>
      <w:r>
        <w:tab/>
        <w:t>Reports of informal working groups (agenda item 7)</w:t>
      </w:r>
      <w:bookmarkEnd w:id="15"/>
    </w:p>
    <w:p w14:paraId="67174CF4" w14:textId="77777777" w:rsidR="00E043AE" w:rsidRPr="0071296E" w:rsidRDefault="00E043AE" w:rsidP="00E043AE">
      <w:pPr>
        <w:pStyle w:val="SingleTxtG"/>
        <w:ind w:left="2828" w:hanging="1694"/>
      </w:pPr>
      <w:r w:rsidRPr="002A7234">
        <w:rPr>
          <w:i/>
          <w:iCs/>
        </w:rPr>
        <w:t>Document</w:t>
      </w:r>
      <w:r w:rsidRPr="002A7234">
        <w:t>:</w:t>
      </w:r>
      <w:r w:rsidRPr="002A7234">
        <w:rPr>
          <w:i/>
          <w:iCs/>
        </w:rPr>
        <w:t xml:space="preserve"> </w:t>
      </w:r>
      <w:r w:rsidRPr="002A7234">
        <w:rPr>
          <w:i/>
          <w:iCs/>
        </w:rPr>
        <w:tab/>
      </w:r>
      <w:r w:rsidRPr="002A7234">
        <w:rPr>
          <w:i/>
          <w:iCs/>
        </w:rPr>
        <w:tab/>
      </w:r>
      <w:r>
        <w:t>Informal document INF.13</w:t>
      </w:r>
      <w:r w:rsidRPr="0071296E">
        <w:t xml:space="preserve"> (</w:t>
      </w:r>
      <w:r>
        <w:t>Netherlands on behalf of the Informal Working Group on t approval system</w:t>
      </w:r>
      <w:r w:rsidRPr="0071296E">
        <w:t>)</w:t>
      </w:r>
    </w:p>
    <w:p w14:paraId="03F023C8" w14:textId="4E191BAC" w:rsidR="00E043AE" w:rsidRDefault="005A79F8" w:rsidP="00E043AE">
      <w:pPr>
        <w:pStyle w:val="SingleTxtG"/>
      </w:pPr>
      <w:r>
        <w:t>76</w:t>
      </w:r>
      <w:r w:rsidR="00E043AE" w:rsidRPr="009B3AE6">
        <w:t>.</w:t>
      </w:r>
      <w:r w:rsidR="00E043AE" w:rsidRPr="009B3AE6">
        <w:tab/>
      </w:r>
      <w:r w:rsidR="00E043AE" w:rsidRPr="00B462D3">
        <w:t xml:space="preserve">The Chair of the informal working group informed WP.11 on the progress of work </w:t>
      </w:r>
      <w:r w:rsidR="00E043AE">
        <w:t>as reflected in informal document INF.13. The mandate for the informal working group was extended for one more year to continue the development of the following topics:</w:t>
      </w:r>
    </w:p>
    <w:p w14:paraId="2E995BCA" w14:textId="77777777" w:rsidR="00E043AE" w:rsidRDefault="00E043AE" w:rsidP="00E043AE">
      <w:pPr>
        <w:pStyle w:val="SingleTxtG"/>
      </w:pPr>
      <w:r>
        <w:tab/>
      </w:r>
      <w:r>
        <w:tab/>
        <w:t>(a)</w:t>
      </w:r>
      <w:r w:rsidRPr="00A0006C">
        <w:tab/>
      </w:r>
      <w:r w:rsidRPr="00600CA0">
        <w:rPr>
          <w:lang w:val="en-US"/>
        </w:rPr>
        <w:t xml:space="preserve">Electric drive and continuous </w:t>
      </w:r>
      <w:proofErr w:type="gramStart"/>
      <w:r w:rsidRPr="00600CA0">
        <w:rPr>
          <w:lang w:val="en-US"/>
        </w:rPr>
        <w:t>cooling</w:t>
      </w:r>
      <w:r>
        <w:t>;</w:t>
      </w:r>
      <w:proofErr w:type="gramEnd"/>
    </w:p>
    <w:p w14:paraId="4C632DB2" w14:textId="77777777" w:rsidR="00E043AE" w:rsidRDefault="00E043AE" w:rsidP="00E043AE">
      <w:pPr>
        <w:pStyle w:val="SingleTxtG"/>
      </w:pPr>
      <w:r>
        <w:tab/>
      </w:r>
      <w:r>
        <w:tab/>
        <w:t>(b)</w:t>
      </w:r>
      <w:r w:rsidRPr="00A0006C">
        <w:tab/>
      </w:r>
      <w:r w:rsidRPr="00A02923">
        <w:rPr>
          <w:lang w:val="en-US"/>
        </w:rPr>
        <w:t xml:space="preserve">X-marking of </w:t>
      </w:r>
      <w:proofErr w:type="gramStart"/>
      <w:r w:rsidRPr="00A02923">
        <w:rPr>
          <w:lang w:val="en-US"/>
        </w:rPr>
        <w:t>equipment</w:t>
      </w:r>
      <w:r>
        <w:t>;</w:t>
      </w:r>
      <w:proofErr w:type="gramEnd"/>
    </w:p>
    <w:p w14:paraId="13DCF34A" w14:textId="77777777" w:rsidR="00E043AE" w:rsidRDefault="00E043AE" w:rsidP="00E043AE">
      <w:pPr>
        <w:pStyle w:val="SingleTxtG"/>
      </w:pPr>
      <w:r>
        <w:tab/>
      </w:r>
      <w:r>
        <w:tab/>
        <w:t>(c)</w:t>
      </w:r>
      <w:r w:rsidRPr="00A0006C">
        <w:tab/>
      </w:r>
      <w:r w:rsidRPr="00993E89">
        <w:rPr>
          <w:lang w:val="en-US"/>
        </w:rPr>
        <w:t xml:space="preserve">Temperature </w:t>
      </w:r>
      <w:proofErr w:type="gramStart"/>
      <w:r w:rsidRPr="00993E89">
        <w:rPr>
          <w:lang w:val="en-US"/>
        </w:rPr>
        <w:t>recorders</w:t>
      </w:r>
      <w:r>
        <w:t>;</w:t>
      </w:r>
      <w:proofErr w:type="gramEnd"/>
    </w:p>
    <w:p w14:paraId="1E6E0765" w14:textId="77777777" w:rsidR="00E043AE" w:rsidRDefault="00E043AE" w:rsidP="00E043AE">
      <w:pPr>
        <w:pStyle w:val="SingleTxtG"/>
      </w:pPr>
      <w:r>
        <w:tab/>
      </w:r>
      <w:r>
        <w:tab/>
        <w:t>(d)</w:t>
      </w:r>
      <w:r w:rsidRPr="00A0006C">
        <w:tab/>
      </w:r>
      <w:r w:rsidRPr="00925758">
        <w:rPr>
          <w:lang w:val="en-US"/>
        </w:rPr>
        <w:t xml:space="preserve">Glossary </w:t>
      </w:r>
      <w:r>
        <w:rPr>
          <w:lang w:val="en-US"/>
        </w:rPr>
        <w:t>of technical</w:t>
      </w:r>
      <w:r w:rsidRPr="00925758">
        <w:rPr>
          <w:lang w:val="en-US"/>
        </w:rPr>
        <w:t xml:space="preserve"> terms</w:t>
      </w:r>
      <w:r>
        <w:rPr>
          <w:lang w:val="en-US"/>
        </w:rPr>
        <w:t xml:space="preserve"> to help </w:t>
      </w:r>
      <w:proofErr w:type="gramStart"/>
      <w:r>
        <w:rPr>
          <w:lang w:val="en-US"/>
        </w:rPr>
        <w:t>translation</w:t>
      </w:r>
      <w:r>
        <w:t>;</w:t>
      </w:r>
      <w:proofErr w:type="gramEnd"/>
    </w:p>
    <w:p w14:paraId="7E1E794A" w14:textId="77777777" w:rsidR="00E043AE" w:rsidRDefault="00E043AE" w:rsidP="00E043AE">
      <w:pPr>
        <w:pStyle w:val="SingleTxtG"/>
      </w:pPr>
      <w:r>
        <w:tab/>
      </w:r>
      <w:r>
        <w:tab/>
        <w:t>(e)</w:t>
      </w:r>
      <w:r w:rsidRPr="00A0006C">
        <w:tab/>
      </w:r>
      <w:r w:rsidRPr="00010FCB">
        <w:rPr>
          <w:lang w:val="en-US"/>
        </w:rPr>
        <w:t xml:space="preserve">Restructuring Annex 1 of the </w:t>
      </w:r>
      <w:proofErr w:type="gramStart"/>
      <w:r w:rsidRPr="00010FCB">
        <w:rPr>
          <w:lang w:val="en-US"/>
        </w:rPr>
        <w:t>ATP</w:t>
      </w:r>
      <w:r>
        <w:t>;</w:t>
      </w:r>
      <w:proofErr w:type="gramEnd"/>
    </w:p>
    <w:p w14:paraId="722016A6" w14:textId="77777777" w:rsidR="00E043AE" w:rsidRDefault="00E043AE" w:rsidP="00E043AE">
      <w:pPr>
        <w:pStyle w:val="SingleTxtG"/>
      </w:pPr>
      <w:r>
        <w:tab/>
      </w:r>
      <w:r>
        <w:tab/>
        <w:t>(f)</w:t>
      </w:r>
      <w:r w:rsidRPr="00A0006C">
        <w:tab/>
      </w:r>
      <w:r w:rsidRPr="00CD4ECD">
        <w:rPr>
          <w:lang w:val="en-US"/>
        </w:rPr>
        <w:t xml:space="preserve">Efficiency test of </w:t>
      </w:r>
      <w:r>
        <w:rPr>
          <w:lang w:val="en-US"/>
        </w:rPr>
        <w:t>n</w:t>
      </w:r>
      <w:r w:rsidRPr="00CD4ECD">
        <w:rPr>
          <w:lang w:val="en-US"/>
        </w:rPr>
        <w:t xml:space="preserve">on-independent </w:t>
      </w:r>
      <w:proofErr w:type="gramStart"/>
      <w:r w:rsidRPr="00CD4ECD">
        <w:rPr>
          <w:lang w:val="en-US"/>
        </w:rPr>
        <w:t>units</w:t>
      </w:r>
      <w:r>
        <w:t>;</w:t>
      </w:r>
      <w:proofErr w:type="gramEnd"/>
    </w:p>
    <w:p w14:paraId="5411C76E" w14:textId="77777777" w:rsidR="00E043AE" w:rsidRDefault="00E043AE" w:rsidP="00E043AE">
      <w:pPr>
        <w:pStyle w:val="SingleTxtG"/>
      </w:pPr>
      <w:r>
        <w:tab/>
      </w:r>
      <w:r>
        <w:tab/>
        <w:t>(g)</w:t>
      </w:r>
      <w:r w:rsidRPr="00A0006C">
        <w:tab/>
      </w:r>
      <w:r w:rsidRPr="003C1020">
        <w:rPr>
          <w:lang w:val="en-US"/>
        </w:rPr>
        <w:t>Environmental concerns</w:t>
      </w:r>
      <w:r>
        <w:t>.</w:t>
      </w:r>
    </w:p>
    <w:p w14:paraId="491C9ACE" w14:textId="34477F49" w:rsidR="00E043AE" w:rsidRDefault="005A79F8" w:rsidP="00E043AE">
      <w:pPr>
        <w:pStyle w:val="SingleTxtG"/>
      </w:pPr>
      <w:r>
        <w:t>77</w:t>
      </w:r>
      <w:r w:rsidR="00E043AE" w:rsidRPr="00B462D3">
        <w:t>.</w:t>
      </w:r>
      <w:r w:rsidR="00E043AE" w:rsidRPr="00B462D3">
        <w:tab/>
        <w:t>WP.11 thanked the informal working group for the excellent work done as it facilitates discussions in plenary and improves the quality of the proposals of amendments to the ATP.</w:t>
      </w:r>
      <w:r w:rsidR="00E043AE">
        <w:t xml:space="preserve"> </w:t>
      </w:r>
    </w:p>
    <w:p w14:paraId="696BB47D" w14:textId="77777777" w:rsidR="00E043AE" w:rsidRPr="006D451A" w:rsidRDefault="00E043AE" w:rsidP="002D2DD6">
      <w:pPr>
        <w:pStyle w:val="HChG"/>
      </w:pPr>
      <w:r>
        <w:lastRenderedPageBreak/>
        <w:tab/>
      </w:r>
      <w:bookmarkStart w:id="16" w:name="_Toc103001711"/>
      <w:r>
        <w:t>IX</w:t>
      </w:r>
      <w:r w:rsidRPr="006D451A">
        <w:t>.</w:t>
      </w:r>
      <w:r w:rsidRPr="006D451A">
        <w:tab/>
        <w:t>Scope of ATP</w:t>
      </w:r>
      <w:r>
        <w:t xml:space="preserve"> (agenda item 8)</w:t>
      </w:r>
      <w:bookmarkEnd w:id="16"/>
    </w:p>
    <w:p w14:paraId="63F80F93" w14:textId="77777777" w:rsidR="00E043AE" w:rsidRDefault="00E043AE" w:rsidP="0052066A">
      <w:pPr>
        <w:pStyle w:val="SingleTxtG"/>
        <w:keepNext/>
        <w:keepLines/>
        <w:rPr>
          <w:lang w:val="fr-CH"/>
        </w:rPr>
      </w:pPr>
      <w:r w:rsidRPr="00427D0F">
        <w:rPr>
          <w:i/>
          <w:iCs/>
          <w:lang w:val="fr-CH"/>
        </w:rPr>
        <w:t xml:space="preserve">Document </w:t>
      </w:r>
      <w:r w:rsidRPr="00427D0F">
        <w:rPr>
          <w:i/>
          <w:iCs/>
          <w:lang w:val="fr-CH"/>
        </w:rPr>
        <w:tab/>
      </w:r>
      <w:r w:rsidRPr="00427D0F">
        <w:rPr>
          <w:i/>
          <w:iCs/>
          <w:lang w:val="fr-CH"/>
        </w:rPr>
        <w:tab/>
      </w:r>
      <w:r w:rsidRPr="00DD1A71">
        <w:rPr>
          <w:lang w:val="fr-CH"/>
        </w:rPr>
        <w:t>ECE/TRANS/WP.11/2023/13</w:t>
      </w:r>
      <w:r w:rsidRPr="00427D0F">
        <w:rPr>
          <w:lang w:val="fr-CH"/>
        </w:rPr>
        <w:t xml:space="preserve"> (</w:t>
      </w:r>
      <w:proofErr w:type="spellStart"/>
      <w:r w:rsidRPr="00427D0F">
        <w:rPr>
          <w:lang w:val="fr-CH"/>
        </w:rPr>
        <w:t>Transfrigoroute</w:t>
      </w:r>
      <w:proofErr w:type="spellEnd"/>
      <w:r w:rsidRPr="00427D0F">
        <w:rPr>
          <w:lang w:val="fr-CH"/>
        </w:rPr>
        <w:t xml:space="preserve"> International)</w:t>
      </w:r>
    </w:p>
    <w:p w14:paraId="3E7A7762" w14:textId="77777777" w:rsidR="00E043AE" w:rsidRDefault="00E043AE" w:rsidP="002D2DD6">
      <w:pPr>
        <w:pStyle w:val="H23G"/>
        <w:jc w:val="both"/>
      </w:pPr>
      <w:r w:rsidRPr="00DD1A71">
        <w:rPr>
          <w:lang w:val="fr-CH"/>
        </w:rPr>
        <w:tab/>
      </w:r>
      <w:r>
        <w:t>1.</w:t>
      </w:r>
      <w:r>
        <w:tab/>
      </w:r>
      <w:r w:rsidRPr="00A35A38">
        <w:t>Scope of ATP</w:t>
      </w:r>
    </w:p>
    <w:p w14:paraId="7B42C38A" w14:textId="77777777" w:rsidR="00E043AE" w:rsidRDefault="00E043AE" w:rsidP="00E043AE">
      <w:pPr>
        <w:pStyle w:val="H23G"/>
        <w:jc w:val="both"/>
      </w:pPr>
      <w:r>
        <w:tab/>
      </w:r>
      <w:r>
        <w:tab/>
      </w:r>
      <w:r w:rsidRPr="002D2530">
        <w:tab/>
      </w:r>
      <w:r>
        <w:t>Minimum running time</w:t>
      </w:r>
    </w:p>
    <w:p w14:paraId="4B547646" w14:textId="35EAD947" w:rsidR="00E043AE" w:rsidRPr="003D56F8" w:rsidRDefault="002D2DD6" w:rsidP="00E043AE">
      <w:pPr>
        <w:pStyle w:val="SingleTxtG"/>
      </w:pPr>
      <w:r>
        <w:t>78</w:t>
      </w:r>
      <w:r w:rsidR="00E043AE" w:rsidRPr="003D56F8">
        <w:t>.</w:t>
      </w:r>
      <w:r w:rsidR="00E043AE" w:rsidRPr="003D56F8">
        <w:tab/>
        <w:t xml:space="preserve">It was explained that </w:t>
      </w:r>
      <w:proofErr w:type="gramStart"/>
      <w:r w:rsidR="00E043AE" w:rsidRPr="003D56F8">
        <w:t>in order to</w:t>
      </w:r>
      <w:proofErr w:type="gramEnd"/>
      <w:r w:rsidR="00E043AE" w:rsidRPr="003D56F8">
        <w:t xml:space="preserve"> include a requirement for a minimum running time, it was necessary to specify the conditions in which this minimum time </w:t>
      </w:r>
      <w:r w:rsidR="00E043AE">
        <w:t>could be</w:t>
      </w:r>
      <w:r w:rsidR="00E043AE" w:rsidRPr="003D56F8">
        <w:t xml:space="preserve"> achieved. </w:t>
      </w:r>
    </w:p>
    <w:p w14:paraId="024A4010" w14:textId="0D9E56C2" w:rsidR="00E043AE" w:rsidRDefault="002D2DD6" w:rsidP="00E043AE">
      <w:pPr>
        <w:pStyle w:val="SingleTxtG"/>
      </w:pPr>
      <w:r>
        <w:t>79</w:t>
      </w:r>
      <w:r w:rsidR="00E043AE" w:rsidRPr="003D56F8">
        <w:t>.</w:t>
      </w:r>
      <w:r w:rsidR="00E043AE" w:rsidRPr="003D56F8">
        <w:tab/>
        <w:t xml:space="preserve">The representative of </w:t>
      </w:r>
      <w:proofErr w:type="spellStart"/>
      <w:r w:rsidR="00E043AE" w:rsidRPr="003D56F8">
        <w:t>Transfrigoroute</w:t>
      </w:r>
      <w:proofErr w:type="spellEnd"/>
      <w:r w:rsidR="00E043AE" w:rsidRPr="003D56F8">
        <w:t xml:space="preserve"> International explained that </w:t>
      </w:r>
      <w:r w:rsidR="00E043AE">
        <w:t>it was necessary to distinguish the requirements for testing and for normal operations and that for the testing requirements we could use the existing provisions in the ATP.</w:t>
      </w:r>
    </w:p>
    <w:p w14:paraId="7588571D" w14:textId="0E72FB6A" w:rsidR="00E043AE" w:rsidRPr="003D56F8" w:rsidRDefault="002D2DD6" w:rsidP="00E043AE">
      <w:pPr>
        <w:pStyle w:val="SingleTxtG"/>
      </w:pPr>
      <w:r>
        <w:t>80</w:t>
      </w:r>
      <w:r w:rsidR="00E043AE">
        <w:t>.</w:t>
      </w:r>
      <w:r w:rsidR="00E043AE">
        <w:tab/>
        <w:t>In conclusion, determining the minimum running time for normal operations</w:t>
      </w:r>
      <w:r w:rsidR="00E043AE" w:rsidRPr="003D56F8">
        <w:t xml:space="preserve"> might be very difficult and it was therefore decided not to include it in the ATP.</w:t>
      </w:r>
    </w:p>
    <w:p w14:paraId="0A82E150" w14:textId="77777777" w:rsidR="00E043AE" w:rsidRDefault="00E043AE" w:rsidP="00E043AE">
      <w:pPr>
        <w:pStyle w:val="H23G"/>
        <w:jc w:val="both"/>
      </w:pPr>
      <w:r w:rsidRPr="002D2530">
        <w:tab/>
      </w:r>
      <w:r w:rsidRPr="002D2530">
        <w:tab/>
      </w:r>
      <w:r>
        <w:t>Definition of special equipment</w:t>
      </w:r>
    </w:p>
    <w:p w14:paraId="5A0A6226" w14:textId="7DF3B1B0" w:rsidR="00E043AE" w:rsidRDefault="002D2DD6" w:rsidP="00E043AE">
      <w:pPr>
        <w:pStyle w:val="SingleTxtG"/>
      </w:pPr>
      <w:r>
        <w:t>81</w:t>
      </w:r>
      <w:r w:rsidR="00E043AE" w:rsidRPr="002D2530">
        <w:t>.</w:t>
      </w:r>
      <w:r w:rsidR="00E043AE" w:rsidRPr="002D2530">
        <w:tab/>
      </w:r>
      <w:r w:rsidR="00E043AE">
        <w:t xml:space="preserve">Opinions were divided on whether the definition of </w:t>
      </w:r>
      <w:r w:rsidR="00006D49">
        <w:t>"</w:t>
      </w:r>
      <w:r w:rsidR="00E043AE">
        <w:t>special equipment</w:t>
      </w:r>
      <w:r w:rsidR="00006D49">
        <w:t>"</w:t>
      </w:r>
      <w:r w:rsidR="00E043AE">
        <w:t xml:space="preserve"> or at least what is intended by the term, was clearly included in the current ATP provisions. While most of the delegations that took the floor were in favour of the definition provided in interpretation 2 under paragraph 10 of the document, others were more in agreement with interpretation 1 or </w:t>
      </w:r>
      <w:proofErr w:type="gramStart"/>
      <w:r w:rsidR="00E043AE">
        <w:t>were of the opinion that</w:t>
      </w:r>
      <w:proofErr w:type="gramEnd"/>
      <w:r w:rsidR="00E043AE">
        <w:t xml:space="preserve"> there were problems with both definitions and that further clarification was necessary.</w:t>
      </w:r>
    </w:p>
    <w:p w14:paraId="5B642C76" w14:textId="46F610C0" w:rsidR="00E043AE" w:rsidRPr="00533BCE" w:rsidRDefault="002D2DD6" w:rsidP="00E043AE">
      <w:pPr>
        <w:pStyle w:val="SingleTxtG"/>
      </w:pPr>
      <w:r>
        <w:t>82</w:t>
      </w:r>
      <w:r w:rsidR="00E043AE">
        <w:t>.</w:t>
      </w:r>
      <w:r w:rsidR="00E043AE">
        <w:tab/>
        <w:t xml:space="preserve">The Working Party concluded that it needed more time to study the proposals and to agree on a definition for </w:t>
      </w:r>
      <w:r w:rsidR="00006D49">
        <w:t>"</w:t>
      </w:r>
      <w:r w:rsidR="00E043AE">
        <w:t>special equipment</w:t>
      </w:r>
      <w:r w:rsidR="00006D49">
        <w:t>"</w:t>
      </w:r>
      <w:r w:rsidR="00E043AE">
        <w:t xml:space="preserve"> </w:t>
      </w:r>
      <w:r w:rsidR="00E043AE" w:rsidRPr="00262179">
        <w:t>to avoid rediscussing this</w:t>
      </w:r>
      <w:r w:rsidR="00E043AE">
        <w:t xml:space="preserve"> subject in </w:t>
      </w:r>
      <w:r w:rsidR="00E043AE" w:rsidRPr="00533BCE">
        <w:t>the future. The importance of creating a dedicated section in the ATP for definitions was also highlighted.</w:t>
      </w:r>
    </w:p>
    <w:p w14:paraId="2D0A90D9" w14:textId="33A33854" w:rsidR="00E043AE" w:rsidRDefault="002D2DD6" w:rsidP="00E043AE">
      <w:pPr>
        <w:pStyle w:val="SingleTxtG"/>
      </w:pPr>
      <w:r>
        <w:t>83</w:t>
      </w:r>
      <w:r w:rsidR="00E043AE" w:rsidRPr="00533BCE">
        <w:t>.</w:t>
      </w:r>
      <w:r w:rsidR="00E043AE" w:rsidRPr="00533BCE">
        <w:tab/>
        <w:t xml:space="preserve">The representative of </w:t>
      </w:r>
      <w:proofErr w:type="spellStart"/>
      <w:r w:rsidR="00E043AE" w:rsidRPr="00533BCE">
        <w:t>Transfrigoroute</w:t>
      </w:r>
      <w:proofErr w:type="spellEnd"/>
      <w:r w:rsidR="00E043AE" w:rsidRPr="00533BCE">
        <w:t xml:space="preserve"> International proposed to </w:t>
      </w:r>
      <w:r w:rsidR="00E043AE">
        <w:t>present at the next session some practical examples of special equipment and to ask competent authorities to describe the procedures they would follow to certify each case. It was agreed that this could be a very useful exercise to share and harmonize practices and to identify the level of risk that each competent authority is willing to take during the certification process.</w:t>
      </w:r>
    </w:p>
    <w:p w14:paraId="0963907B" w14:textId="77777777" w:rsidR="00E043AE" w:rsidRDefault="00E043AE" w:rsidP="00E043AE">
      <w:pPr>
        <w:pStyle w:val="H23G"/>
        <w:jc w:val="both"/>
      </w:pPr>
      <w:r>
        <w:tab/>
      </w:r>
      <w:r>
        <w:tab/>
        <w:t>Preliminary conclusions</w:t>
      </w:r>
    </w:p>
    <w:p w14:paraId="4BAA6246" w14:textId="17B4ACB5" w:rsidR="00E043AE" w:rsidRDefault="002D2DD6" w:rsidP="00E043AE">
      <w:pPr>
        <w:pStyle w:val="SingleTxtG"/>
      </w:pPr>
      <w:r>
        <w:t>84</w:t>
      </w:r>
      <w:r w:rsidR="00E043AE">
        <w:t>.</w:t>
      </w:r>
      <w:r w:rsidR="00E043AE">
        <w:tab/>
        <w:t>It was clarified that not only the energy sources are changing but also the ways of managing the power in the vehicle. It was proposed to take a comprehensive approach to deal with the inclusion of electrically driven vehicles in the ATP by defining a separate category and stating the requirements for this type of vehicles instead of modifying existing requirements.</w:t>
      </w:r>
    </w:p>
    <w:p w14:paraId="6288FBFB" w14:textId="09526C75" w:rsidR="00E043AE" w:rsidRPr="00F86CB9" w:rsidRDefault="00691380" w:rsidP="00E043AE">
      <w:pPr>
        <w:pStyle w:val="SingleTxtG"/>
      </w:pPr>
      <w:r>
        <w:t>85</w:t>
      </w:r>
      <w:r w:rsidR="00E043AE">
        <w:t>.</w:t>
      </w:r>
      <w:r w:rsidR="00E043AE">
        <w:tab/>
        <w:t>It was also suggested that to facilitate testing of all possible combinations of energy sources, the information provided by the manufacturer in combination with a dimensioning tool could be used.</w:t>
      </w:r>
    </w:p>
    <w:p w14:paraId="3C37C33F" w14:textId="77777777" w:rsidR="00E043AE" w:rsidRDefault="00E043AE" w:rsidP="00E043AE">
      <w:pPr>
        <w:pStyle w:val="H23G"/>
        <w:jc w:val="both"/>
      </w:pPr>
      <w:r w:rsidRPr="002D2530">
        <w:tab/>
      </w:r>
      <w:r>
        <w:t>2.</w:t>
      </w:r>
      <w:r w:rsidRPr="002D2530">
        <w:tab/>
      </w:r>
      <w:bookmarkStart w:id="17" w:name="_Toc103001712"/>
      <w:r w:rsidRPr="0050705E">
        <w:t>The ATP and the future</w:t>
      </w:r>
      <w:bookmarkEnd w:id="17"/>
    </w:p>
    <w:p w14:paraId="424A136A" w14:textId="3A1769AB" w:rsidR="00E043AE" w:rsidRDefault="00691380" w:rsidP="00E043AE">
      <w:pPr>
        <w:pStyle w:val="SingleTxtG"/>
      </w:pPr>
      <w:r>
        <w:t>86</w:t>
      </w:r>
      <w:r w:rsidR="00E043AE">
        <w:t>.</w:t>
      </w:r>
      <w:r w:rsidR="00E043AE">
        <w:tab/>
        <w:t xml:space="preserve">The </w:t>
      </w:r>
      <w:r w:rsidR="00E043AE" w:rsidRPr="006D451A">
        <w:t xml:space="preserve">road map for accession to and implementation of the ATP prepared by the </w:t>
      </w:r>
      <w:proofErr w:type="spellStart"/>
      <w:r w:rsidR="00E043AE" w:rsidRPr="006D451A">
        <w:t>EuroMed</w:t>
      </w:r>
      <w:proofErr w:type="spellEnd"/>
      <w:r w:rsidR="00E043AE" w:rsidRPr="006D451A">
        <w:t xml:space="preserve"> road, </w:t>
      </w:r>
      <w:proofErr w:type="gramStart"/>
      <w:r w:rsidR="00E043AE" w:rsidRPr="006D451A">
        <w:t>rail</w:t>
      </w:r>
      <w:proofErr w:type="gramEnd"/>
      <w:r w:rsidR="00E043AE" w:rsidRPr="006D451A">
        <w:t xml:space="preserve"> and urban transport project with inputs from the secretariat </w:t>
      </w:r>
      <w:r w:rsidR="00E043AE">
        <w:t xml:space="preserve">and the Chairs of WP.11 has been published and can be found at the UNECE website: </w:t>
      </w:r>
      <w:r w:rsidR="00E043AE" w:rsidRPr="00765F28">
        <w:t>https://unece.org/road-map-accession-and-implementation-atp</w:t>
      </w:r>
      <w:r w:rsidR="00E043AE">
        <w:t>.</w:t>
      </w:r>
    </w:p>
    <w:p w14:paraId="2ED7A6F2" w14:textId="77777777" w:rsidR="00E043AE" w:rsidRPr="006D451A" w:rsidRDefault="00E043AE" w:rsidP="00E043AE">
      <w:pPr>
        <w:pStyle w:val="HChG"/>
      </w:pPr>
      <w:r>
        <w:tab/>
      </w:r>
      <w:bookmarkStart w:id="18" w:name="_Toc103001713"/>
      <w:r>
        <w:t>X</w:t>
      </w:r>
      <w:r w:rsidRPr="006D451A">
        <w:t>.</w:t>
      </w:r>
      <w:r w:rsidRPr="006D451A">
        <w:tab/>
        <w:t>Energy labelling, refrigerants and blowing agents</w:t>
      </w:r>
      <w:r>
        <w:t xml:space="preserve"> (agenda item 9)</w:t>
      </w:r>
      <w:bookmarkEnd w:id="18"/>
    </w:p>
    <w:p w14:paraId="222C58CC" w14:textId="2F3DA28F" w:rsidR="00E043AE" w:rsidRDefault="00691380" w:rsidP="00E043AE">
      <w:pPr>
        <w:pStyle w:val="SingleTxtG"/>
        <w:rPr>
          <w:lang w:val="en-IE"/>
        </w:rPr>
      </w:pPr>
      <w:r>
        <w:t>87</w:t>
      </w:r>
      <w:r w:rsidR="00E043AE">
        <w:t>.</w:t>
      </w:r>
      <w:r w:rsidR="00E043AE">
        <w:tab/>
        <w:t>As no document had been submitted under this agenda item, no discussion took place on this subject.</w:t>
      </w:r>
    </w:p>
    <w:p w14:paraId="1A575D82" w14:textId="77777777" w:rsidR="00E043AE" w:rsidRPr="004574DE" w:rsidRDefault="00E043AE" w:rsidP="00E043AE">
      <w:pPr>
        <w:pStyle w:val="HChG"/>
      </w:pPr>
      <w:r w:rsidRPr="00567BD5">
        <w:lastRenderedPageBreak/>
        <w:tab/>
      </w:r>
      <w:bookmarkStart w:id="19" w:name="_Toc103001714"/>
      <w:r>
        <w:t>XI</w:t>
      </w:r>
      <w:r w:rsidRPr="004574DE">
        <w:t>.</w:t>
      </w:r>
      <w:r w:rsidRPr="004574DE">
        <w:tab/>
        <w:t xml:space="preserve">Programme of work </w:t>
      </w:r>
      <w:r>
        <w:t>(agenda item 10)</w:t>
      </w:r>
      <w:bookmarkEnd w:id="19"/>
    </w:p>
    <w:p w14:paraId="24AAFE13" w14:textId="77777777" w:rsidR="00E043AE" w:rsidRPr="00AB356C" w:rsidRDefault="00E043AE" w:rsidP="00E043AE">
      <w:pPr>
        <w:pStyle w:val="H23G"/>
        <w:jc w:val="both"/>
      </w:pPr>
      <w:r w:rsidRPr="00AB356C">
        <w:tab/>
      </w:r>
      <w:r w:rsidRPr="00AB356C">
        <w:tab/>
        <w:t xml:space="preserve">Dates of the </w:t>
      </w:r>
      <w:r>
        <w:t>eighty-first</w:t>
      </w:r>
      <w:r w:rsidRPr="00AB356C">
        <w:t xml:space="preserve"> session</w:t>
      </w:r>
    </w:p>
    <w:p w14:paraId="4EE1DB12" w14:textId="6A920ED4" w:rsidR="00E043AE" w:rsidRDefault="00691380" w:rsidP="00E043AE">
      <w:pPr>
        <w:pStyle w:val="SingleTxtG"/>
      </w:pPr>
      <w:r>
        <w:t>88</w:t>
      </w:r>
      <w:r w:rsidR="00E043AE">
        <w:t>.</w:t>
      </w:r>
      <w:r w:rsidR="00E043AE">
        <w:tab/>
        <w:t>T</w:t>
      </w:r>
      <w:r w:rsidR="00E043AE" w:rsidRPr="00603665">
        <w:t xml:space="preserve">he dates of </w:t>
      </w:r>
      <w:r w:rsidR="00E043AE">
        <w:t xml:space="preserve">29 October to 1 November </w:t>
      </w:r>
      <w:r w:rsidR="00E043AE" w:rsidRPr="00603665">
        <w:t>202</w:t>
      </w:r>
      <w:r w:rsidR="00E043AE">
        <w:t>4</w:t>
      </w:r>
      <w:r w:rsidR="00E043AE" w:rsidRPr="00603665">
        <w:t xml:space="preserve"> (</w:t>
      </w:r>
      <w:r w:rsidR="00E043AE">
        <w:t>Tuesday</w:t>
      </w:r>
      <w:r w:rsidR="00E043AE" w:rsidRPr="00603665">
        <w:t xml:space="preserve"> to Friday) have been reserved for the</w:t>
      </w:r>
      <w:r w:rsidR="00E043AE" w:rsidRPr="00564101">
        <w:t xml:space="preserve"> </w:t>
      </w:r>
      <w:r w:rsidR="00E043AE">
        <w:t>eighty-first</w:t>
      </w:r>
      <w:r w:rsidR="00E043AE" w:rsidRPr="00603665">
        <w:t xml:space="preserve"> session of WP.11</w:t>
      </w:r>
      <w:r w:rsidR="00E043AE" w:rsidRPr="00AB356C">
        <w:t>.</w:t>
      </w:r>
      <w:r w:rsidR="00E043AE">
        <w:t xml:space="preserve"> </w:t>
      </w:r>
      <w:r w:rsidR="00E043AE" w:rsidRPr="000135AA">
        <w:t xml:space="preserve">Deadline for submission of documents </w:t>
      </w:r>
      <w:r w:rsidR="00E043AE" w:rsidRPr="00925183">
        <w:t>is 2 August 2024.</w:t>
      </w:r>
    </w:p>
    <w:p w14:paraId="2094F546" w14:textId="77777777" w:rsidR="00530199" w:rsidRDefault="00530199" w:rsidP="00530199">
      <w:pPr>
        <w:pStyle w:val="HChG"/>
      </w:pPr>
      <w:r w:rsidRPr="006D513A">
        <w:tab/>
        <w:t>XII.</w:t>
      </w:r>
      <w:r w:rsidRPr="006D513A">
        <w:tab/>
      </w:r>
      <w:r w:rsidRPr="006D513A">
        <w:tab/>
        <w:t>Election of officers (agenda item 11)</w:t>
      </w:r>
    </w:p>
    <w:p w14:paraId="0D92447E" w14:textId="004FD4C7" w:rsidR="00530199" w:rsidRDefault="00A63246" w:rsidP="00530199">
      <w:pPr>
        <w:pStyle w:val="SingleTxtG"/>
      </w:pPr>
      <w:r>
        <w:t>89</w:t>
      </w:r>
      <w:r w:rsidR="00530199">
        <w:t>.</w:t>
      </w:r>
      <w:r w:rsidR="00530199">
        <w:tab/>
      </w:r>
      <w:r w:rsidR="00530199" w:rsidRPr="00BC7020">
        <w:t>The Working Party</w:t>
      </w:r>
      <w:r w:rsidR="00530199" w:rsidRPr="00BC7020" w:rsidDel="0048640F">
        <w:t xml:space="preserve"> </w:t>
      </w:r>
      <w:r w:rsidR="00530199" w:rsidRPr="00BC7020">
        <w:t xml:space="preserve">elected Mr. K. de Putter (Netherlands) as Chair, and Mr. </w:t>
      </w:r>
      <w:r w:rsidR="00530199">
        <w:t>O</w:t>
      </w:r>
      <w:r w:rsidR="00530199" w:rsidRPr="00BC7020">
        <w:t xml:space="preserve">. </w:t>
      </w:r>
      <w:r w:rsidR="00530199">
        <w:t>Valet</w:t>
      </w:r>
      <w:r w:rsidR="00530199" w:rsidRPr="00BC7020">
        <w:t xml:space="preserve"> (France) as Vice-Chair for its session in 20</w:t>
      </w:r>
      <w:r w:rsidR="00530199">
        <w:t>24 by acclamation</w:t>
      </w:r>
      <w:r w:rsidR="00530199" w:rsidRPr="00BC7020">
        <w:t>. The Working Party thanked the officers and the secretariat for their work.</w:t>
      </w:r>
      <w:r w:rsidR="00530199">
        <w:t xml:space="preserve"> </w:t>
      </w:r>
    </w:p>
    <w:p w14:paraId="3F5A42E1" w14:textId="571549EA" w:rsidR="00530199" w:rsidRDefault="00530199" w:rsidP="002E30F0">
      <w:pPr>
        <w:pStyle w:val="HChG"/>
      </w:pPr>
      <w:r w:rsidRPr="00567BD5">
        <w:tab/>
      </w:r>
      <w:bookmarkStart w:id="20" w:name="_Toc103001717"/>
      <w:r>
        <w:t>XIII</w:t>
      </w:r>
      <w:r w:rsidRPr="00567BD5">
        <w:t>.</w:t>
      </w:r>
      <w:r w:rsidRPr="00567BD5">
        <w:tab/>
        <w:t>Other business</w:t>
      </w:r>
      <w:r>
        <w:t xml:space="preserve"> (agenda item 12)</w:t>
      </w:r>
      <w:bookmarkEnd w:id="20"/>
    </w:p>
    <w:p w14:paraId="04C498EB" w14:textId="77777777" w:rsidR="00530199" w:rsidRPr="001C7781" w:rsidRDefault="00530199" w:rsidP="00530199">
      <w:pPr>
        <w:pStyle w:val="SingleTxtG"/>
        <w:ind w:left="2835" w:hanging="1701"/>
      </w:pPr>
      <w:r w:rsidRPr="00817C65">
        <w:rPr>
          <w:i/>
          <w:iCs/>
        </w:rPr>
        <w:t xml:space="preserve">Document </w:t>
      </w:r>
      <w:r w:rsidRPr="00817C65">
        <w:rPr>
          <w:i/>
          <w:iCs/>
        </w:rPr>
        <w:tab/>
      </w:r>
      <w:r w:rsidRPr="00817C65">
        <w:rPr>
          <w:i/>
          <w:iCs/>
        </w:rPr>
        <w:tab/>
      </w:r>
      <w:r w:rsidRPr="00817C65">
        <w:t>Informal document INF.19 (</w:t>
      </w:r>
      <w:r w:rsidRPr="00817C65">
        <w:rPr>
          <w:lang w:val="en-US"/>
        </w:rPr>
        <w:t>Chair of the informal working group on multi temperature appliances</w:t>
      </w:r>
      <w:r w:rsidRPr="00817C65">
        <w:t>)</w:t>
      </w:r>
    </w:p>
    <w:p w14:paraId="052B276C" w14:textId="11A29024" w:rsidR="00530199" w:rsidRDefault="00A63246" w:rsidP="00530199">
      <w:pPr>
        <w:pStyle w:val="SingleTxtG"/>
        <w:rPr>
          <w:lang w:val="en-US"/>
        </w:rPr>
      </w:pPr>
      <w:r>
        <w:t>90</w:t>
      </w:r>
      <w:r w:rsidR="00530199" w:rsidRPr="001C7781">
        <w:t>.</w:t>
      </w:r>
      <w:r w:rsidR="00530199" w:rsidRPr="001C7781">
        <w:tab/>
      </w:r>
      <w:r w:rsidR="00530199">
        <w:t>T</w:t>
      </w:r>
      <w:r w:rsidR="00530199">
        <w:rPr>
          <w:lang w:val="en-US"/>
        </w:rPr>
        <w:t>he adopted terms of reference for an informal working group on the procedure for checking the effectiveness of multi temperature thermal appliances of multi compartment equipment are reproduced below:</w:t>
      </w:r>
    </w:p>
    <w:p w14:paraId="6394089D" w14:textId="784920BD" w:rsidR="00530199" w:rsidRPr="004A1B04" w:rsidRDefault="00006D49" w:rsidP="00530199">
      <w:pPr>
        <w:pStyle w:val="SingleTxtG"/>
        <w:rPr>
          <w:i/>
          <w:iCs/>
          <w:lang w:val="en-US"/>
        </w:rPr>
      </w:pPr>
      <w:r>
        <w:rPr>
          <w:i/>
          <w:iCs/>
          <w:lang w:val="en-US"/>
        </w:rPr>
        <w:t>"</w:t>
      </w:r>
      <w:r w:rsidR="00530199" w:rsidRPr="004A1B04">
        <w:rPr>
          <w:i/>
          <w:iCs/>
          <w:lang w:val="en-US"/>
        </w:rPr>
        <w:t>The informal working group shall evaluate and develop appropriate provisions for the existing provisions in paragraph 6.2.1 (iii) of Annex 1, Appendix 2 in particular concerning:</w:t>
      </w:r>
    </w:p>
    <w:p w14:paraId="411B5995" w14:textId="77777777" w:rsidR="00530199" w:rsidRPr="004A1B04" w:rsidRDefault="00530199" w:rsidP="00530199">
      <w:pPr>
        <w:pStyle w:val="SingleTxtG"/>
        <w:numPr>
          <w:ilvl w:val="0"/>
          <w:numId w:val="22"/>
        </w:numPr>
        <w:tabs>
          <w:tab w:val="clear" w:pos="1701"/>
          <w:tab w:val="clear" w:pos="2268"/>
          <w:tab w:val="clear" w:pos="2835"/>
        </w:tabs>
        <w:suppressAutoHyphens/>
        <w:rPr>
          <w:i/>
          <w:iCs/>
          <w:lang w:val="en-US"/>
        </w:rPr>
      </w:pPr>
      <w:r w:rsidRPr="004A1B04">
        <w:rPr>
          <w:i/>
          <w:iCs/>
          <w:lang w:val="en-US"/>
        </w:rPr>
        <w:t xml:space="preserve">Feasibility to perform the </w:t>
      </w:r>
      <w:proofErr w:type="gramStart"/>
      <w:r w:rsidRPr="004A1B04">
        <w:rPr>
          <w:i/>
          <w:iCs/>
          <w:lang w:val="en-US"/>
        </w:rPr>
        <w:t>test</w:t>
      </w:r>
      <w:proofErr w:type="gramEnd"/>
    </w:p>
    <w:p w14:paraId="51488E35" w14:textId="77777777" w:rsidR="00530199" w:rsidRPr="004A1B04" w:rsidRDefault="00530199" w:rsidP="00530199">
      <w:pPr>
        <w:pStyle w:val="SingleTxtG"/>
        <w:numPr>
          <w:ilvl w:val="0"/>
          <w:numId w:val="22"/>
        </w:numPr>
        <w:tabs>
          <w:tab w:val="clear" w:pos="1701"/>
          <w:tab w:val="clear" w:pos="2268"/>
          <w:tab w:val="clear" w:pos="2835"/>
        </w:tabs>
        <w:suppressAutoHyphens/>
        <w:rPr>
          <w:i/>
          <w:iCs/>
          <w:lang w:val="en-US"/>
        </w:rPr>
      </w:pPr>
      <w:r w:rsidRPr="004A1B04">
        <w:rPr>
          <w:i/>
          <w:iCs/>
          <w:lang w:val="en-US"/>
        </w:rPr>
        <w:t xml:space="preserve">Differences for independent ad non-independent equipment </w:t>
      </w:r>
    </w:p>
    <w:p w14:paraId="6784625D" w14:textId="77777777" w:rsidR="00530199" w:rsidRPr="004A1B04" w:rsidRDefault="00530199" w:rsidP="00530199">
      <w:pPr>
        <w:pStyle w:val="SingleTxtG"/>
        <w:numPr>
          <w:ilvl w:val="0"/>
          <w:numId w:val="22"/>
        </w:numPr>
        <w:tabs>
          <w:tab w:val="clear" w:pos="1701"/>
          <w:tab w:val="clear" w:pos="2268"/>
          <w:tab w:val="clear" w:pos="2835"/>
        </w:tabs>
        <w:suppressAutoHyphens/>
        <w:rPr>
          <w:i/>
          <w:iCs/>
          <w:lang w:val="en-US"/>
        </w:rPr>
      </w:pPr>
      <w:r w:rsidRPr="004A1B04">
        <w:rPr>
          <w:i/>
          <w:iCs/>
          <w:lang w:val="en-US"/>
        </w:rPr>
        <w:t xml:space="preserve">Take into account the appropriate rigor of the </w:t>
      </w:r>
      <w:proofErr w:type="gramStart"/>
      <w:r w:rsidRPr="004A1B04">
        <w:rPr>
          <w:i/>
          <w:iCs/>
          <w:lang w:val="en-US"/>
        </w:rPr>
        <w:t>test</w:t>
      </w:r>
      <w:proofErr w:type="gramEnd"/>
    </w:p>
    <w:p w14:paraId="5CBE8531" w14:textId="77777777" w:rsidR="00530199" w:rsidRPr="004A1B04" w:rsidRDefault="00530199" w:rsidP="00530199">
      <w:pPr>
        <w:pStyle w:val="SingleTxtG"/>
        <w:numPr>
          <w:ilvl w:val="0"/>
          <w:numId w:val="22"/>
        </w:numPr>
        <w:tabs>
          <w:tab w:val="clear" w:pos="1701"/>
          <w:tab w:val="clear" w:pos="2268"/>
          <w:tab w:val="clear" w:pos="2835"/>
        </w:tabs>
        <w:suppressAutoHyphens/>
        <w:rPr>
          <w:i/>
          <w:iCs/>
          <w:lang w:val="en-US"/>
        </w:rPr>
      </w:pPr>
      <w:r w:rsidRPr="004A1B04">
        <w:rPr>
          <w:i/>
          <w:iCs/>
          <w:lang w:val="en-US"/>
        </w:rPr>
        <w:t>Efficiency in the performance of the test in time and costs</w:t>
      </w:r>
    </w:p>
    <w:p w14:paraId="140888DD" w14:textId="77777777" w:rsidR="00530199" w:rsidRPr="004A1B04" w:rsidRDefault="00530199" w:rsidP="00530199">
      <w:pPr>
        <w:pStyle w:val="SingleTxtG"/>
        <w:numPr>
          <w:ilvl w:val="0"/>
          <w:numId w:val="22"/>
        </w:numPr>
        <w:tabs>
          <w:tab w:val="clear" w:pos="1701"/>
          <w:tab w:val="clear" w:pos="2268"/>
          <w:tab w:val="clear" w:pos="2835"/>
        </w:tabs>
        <w:suppressAutoHyphens/>
        <w:rPr>
          <w:i/>
          <w:iCs/>
          <w:lang w:val="en-US"/>
        </w:rPr>
      </w:pPr>
      <w:r w:rsidRPr="004A1B04">
        <w:rPr>
          <w:i/>
          <w:iCs/>
          <w:lang w:val="en-US"/>
        </w:rPr>
        <w:t>Limit the impact on the environment as far as possible.</w:t>
      </w:r>
    </w:p>
    <w:p w14:paraId="26773485" w14:textId="6215A71E" w:rsidR="00530199" w:rsidRPr="004A1B04" w:rsidRDefault="00530199" w:rsidP="00530199">
      <w:pPr>
        <w:pStyle w:val="SingleTxtG"/>
        <w:rPr>
          <w:i/>
          <w:iCs/>
          <w:lang w:val="en-US"/>
        </w:rPr>
      </w:pPr>
      <w:r w:rsidRPr="004A1B04">
        <w:rPr>
          <w:i/>
          <w:iCs/>
          <w:lang w:val="en-US"/>
        </w:rPr>
        <w:t xml:space="preserve">The informal working group shall </w:t>
      </w:r>
      <w:proofErr w:type="gramStart"/>
      <w:r w:rsidRPr="004A1B04">
        <w:rPr>
          <w:i/>
          <w:iCs/>
          <w:lang w:val="en-US"/>
        </w:rPr>
        <w:t>take into account</w:t>
      </w:r>
      <w:proofErr w:type="gramEnd"/>
      <w:r w:rsidRPr="004A1B04">
        <w:rPr>
          <w:i/>
          <w:iCs/>
          <w:lang w:val="en-US"/>
        </w:rPr>
        <w:t xml:space="preserve"> developments and work of the IIF/IIR D2 sub-Commission D2 </w:t>
      </w:r>
      <w:r w:rsidR="00006D49">
        <w:rPr>
          <w:i/>
          <w:iCs/>
          <w:lang w:val="en-US"/>
        </w:rPr>
        <w:t>"</w:t>
      </w:r>
      <w:r w:rsidRPr="004A1B04">
        <w:rPr>
          <w:i/>
          <w:iCs/>
          <w:lang w:val="en-US"/>
        </w:rPr>
        <w:t>CERTE</w:t>
      </w:r>
      <w:r w:rsidR="00006D49">
        <w:rPr>
          <w:i/>
          <w:iCs/>
          <w:lang w:val="en-US"/>
        </w:rPr>
        <w:t>"</w:t>
      </w:r>
      <w:r w:rsidRPr="004A1B04">
        <w:rPr>
          <w:i/>
          <w:iCs/>
          <w:lang w:val="en-US"/>
        </w:rPr>
        <w:t xml:space="preserve">. </w:t>
      </w:r>
    </w:p>
    <w:p w14:paraId="46268890" w14:textId="1BDF9AB0" w:rsidR="00530199" w:rsidRPr="004A1B04" w:rsidRDefault="00530199" w:rsidP="00530199">
      <w:pPr>
        <w:pStyle w:val="SingleTxtG"/>
        <w:rPr>
          <w:i/>
          <w:iCs/>
        </w:rPr>
      </w:pPr>
      <w:r w:rsidRPr="004A1B04">
        <w:rPr>
          <w:i/>
          <w:iCs/>
          <w:lang w:val="en-US"/>
        </w:rPr>
        <w:t xml:space="preserve">The informal working group shall deliver, by the </w:t>
      </w:r>
      <w:r>
        <w:rPr>
          <w:i/>
          <w:iCs/>
          <w:lang w:val="en-US"/>
        </w:rPr>
        <w:t>eighty-first</w:t>
      </w:r>
      <w:r w:rsidRPr="004A1B04">
        <w:rPr>
          <w:i/>
          <w:iCs/>
          <w:lang w:val="en-US"/>
        </w:rPr>
        <w:t xml:space="preserve"> session of WP.11 in October 2024, revisions and proposals for relevant </w:t>
      </w:r>
      <w:proofErr w:type="gramStart"/>
      <w:r w:rsidRPr="004A1B04">
        <w:rPr>
          <w:i/>
          <w:iCs/>
          <w:lang w:val="en-US"/>
        </w:rPr>
        <w:t>amendments  to</w:t>
      </w:r>
      <w:proofErr w:type="gramEnd"/>
      <w:r w:rsidRPr="004A1B04">
        <w:rPr>
          <w:i/>
          <w:iCs/>
          <w:lang w:val="en-US"/>
        </w:rPr>
        <w:t xml:space="preserve"> paragraph  6.2.1. (iii).</w:t>
      </w:r>
      <w:r w:rsidR="00006D49">
        <w:rPr>
          <w:lang w:val="en-US"/>
        </w:rPr>
        <w:t>"</w:t>
      </w:r>
    </w:p>
    <w:p w14:paraId="4F51E9A2" w14:textId="77777777" w:rsidR="00530199" w:rsidRPr="00567BD5" w:rsidRDefault="00530199" w:rsidP="00530199">
      <w:pPr>
        <w:pStyle w:val="HChG"/>
      </w:pPr>
      <w:r w:rsidRPr="00AF43AC">
        <w:tab/>
      </w:r>
      <w:bookmarkStart w:id="21" w:name="_Toc103001720"/>
      <w:r>
        <w:t>XIV</w:t>
      </w:r>
      <w:r w:rsidRPr="00567BD5">
        <w:t>.</w:t>
      </w:r>
      <w:r w:rsidRPr="00567BD5">
        <w:tab/>
        <w:t>Adoption of the report</w:t>
      </w:r>
      <w:r>
        <w:t xml:space="preserve"> (agenda item 13)</w:t>
      </w:r>
      <w:bookmarkEnd w:id="21"/>
    </w:p>
    <w:p w14:paraId="147CC638" w14:textId="6E85609F" w:rsidR="00530199" w:rsidRPr="000D1098" w:rsidRDefault="00A63246" w:rsidP="00530199">
      <w:pPr>
        <w:pStyle w:val="SingleTxtG"/>
      </w:pPr>
      <w:r>
        <w:t>91</w:t>
      </w:r>
      <w:r w:rsidR="00530199" w:rsidRPr="000D1098">
        <w:t>.</w:t>
      </w:r>
      <w:r w:rsidR="00530199" w:rsidRPr="000D1098">
        <w:tab/>
        <w:t xml:space="preserve">The WP.11 adopted the report on its </w:t>
      </w:r>
      <w:r w:rsidR="00530199">
        <w:t>e</w:t>
      </w:r>
      <w:r w:rsidR="00530199" w:rsidRPr="002C68C6">
        <w:t>ightieth</w:t>
      </w:r>
      <w:r w:rsidR="00530199" w:rsidRPr="000D1098">
        <w:t xml:space="preserve"> session based on a draft prepared by the secretariat.</w:t>
      </w:r>
    </w:p>
    <w:p w14:paraId="5F3F0B2A" w14:textId="591F16A4" w:rsidR="00E53269" w:rsidRDefault="00E53269" w:rsidP="00C411EB">
      <w:pPr>
        <w:spacing w:before="120"/>
        <w:rPr>
          <w:b/>
        </w:rPr>
      </w:pPr>
      <w:r>
        <w:rPr>
          <w:b/>
        </w:rPr>
        <w:br w:type="page"/>
      </w:r>
    </w:p>
    <w:p w14:paraId="18B4881E" w14:textId="5CDFCB29" w:rsidR="00F33FD6" w:rsidRDefault="00E53269" w:rsidP="00E53269">
      <w:pPr>
        <w:pStyle w:val="HChG"/>
      </w:pPr>
      <w:r>
        <w:lastRenderedPageBreak/>
        <w:t>Annex I</w:t>
      </w:r>
    </w:p>
    <w:p w14:paraId="6E80D545" w14:textId="057C24AE" w:rsidR="00F078FC" w:rsidRDefault="00F21C4F" w:rsidP="00F078FC">
      <w:pPr>
        <w:pStyle w:val="HChG"/>
      </w:pPr>
      <w:r>
        <w:tab/>
      </w:r>
      <w:r>
        <w:tab/>
      </w:r>
      <w:r w:rsidR="00F078FC">
        <w:t xml:space="preserve">Full Government statement delivered during the </w:t>
      </w:r>
      <w:r w:rsidR="00F078FC" w:rsidRPr="007646B7">
        <w:t>seventy-</w:t>
      </w:r>
      <w:r w:rsidR="00F078FC">
        <w:t>nin</w:t>
      </w:r>
      <w:r w:rsidR="00F078FC" w:rsidRPr="007646B7">
        <w:t>th session</w:t>
      </w:r>
      <w:r w:rsidR="00F078FC">
        <w:t xml:space="preserve"> of the </w:t>
      </w:r>
      <w:r w:rsidR="00F078FC" w:rsidRPr="007646B7">
        <w:t>Working Party on the Transport of Perishable Foodstuffs</w:t>
      </w:r>
    </w:p>
    <w:p w14:paraId="5F82AA08" w14:textId="77777777" w:rsidR="00F078FC" w:rsidRDefault="00F078FC" w:rsidP="00F21C4F">
      <w:pPr>
        <w:pStyle w:val="H1G"/>
        <w:rPr>
          <w:w w:val="103"/>
          <w:lang w:eastAsia="zh-CN"/>
        </w:rPr>
      </w:pPr>
      <w:r>
        <w:rPr>
          <w:w w:val="103"/>
          <w:lang w:eastAsia="zh-CN"/>
        </w:rPr>
        <w:tab/>
      </w:r>
      <w:r>
        <w:rPr>
          <w:w w:val="103"/>
          <w:lang w:eastAsia="zh-CN"/>
        </w:rPr>
        <w:tab/>
      </w:r>
      <w:bookmarkStart w:id="22" w:name="_Toc103001723"/>
      <w:r w:rsidRPr="00F21C4F">
        <w:t>Statement</w:t>
      </w:r>
      <w:r w:rsidRPr="00DF105D">
        <w:rPr>
          <w:w w:val="103"/>
          <w:lang w:eastAsia="zh-CN"/>
        </w:rPr>
        <w:t xml:space="preserve"> from </w:t>
      </w:r>
      <w:r>
        <w:rPr>
          <w:w w:val="103"/>
          <w:lang w:eastAsia="zh-CN"/>
        </w:rPr>
        <w:t>Denmark</w:t>
      </w:r>
      <w:bookmarkEnd w:id="22"/>
    </w:p>
    <w:p w14:paraId="32C1D963" w14:textId="77777777" w:rsidR="00F078FC" w:rsidRDefault="00F078FC" w:rsidP="00F078FC">
      <w:pPr>
        <w:pStyle w:val="SingleTxtG"/>
      </w:pPr>
      <w:r w:rsidRPr="008A39D2">
        <w:tab/>
        <w:t xml:space="preserve">The representative of Denmark requested the floor </w:t>
      </w:r>
      <w:r>
        <w:t>at the start of the session</w:t>
      </w:r>
      <w:r w:rsidRPr="008A39D2">
        <w:t xml:space="preserve"> and made the following statement: </w:t>
      </w:r>
    </w:p>
    <w:p w14:paraId="51BD74B2" w14:textId="77777777" w:rsidR="00F078FC" w:rsidRDefault="00F078FC" w:rsidP="00F078FC">
      <w:pPr>
        <w:pStyle w:val="SingleTxtG"/>
      </w:pPr>
      <w:r>
        <w:t>"</w:t>
      </w:r>
      <w:r w:rsidRPr="008A39D2">
        <w:t xml:space="preserve">At the outset, allow me to express Denmark’s full solidarity with Ukraine and the Ukrainian people. We condemn in the strongest possible terms Russia’s acts of aggression against Ukraine, a grave violation of international law and the UN Charter. President Putin’s unjustified and unprovoked attack undermines international peace and security. </w:t>
      </w:r>
      <w:r w:rsidRPr="008A39D2">
        <w:rPr>
          <w:lang w:val="en-US"/>
        </w:rPr>
        <w:t xml:space="preserve">We deplore the loss of human life and suffering caused and </w:t>
      </w:r>
      <w:r w:rsidRPr="008A39D2">
        <w:t>demand that Russia immediately ceases these acts of aggression in the entire territory of Ukraine and fully complies with international law.</w:t>
      </w:r>
      <w:r>
        <w:t>"</w:t>
      </w:r>
    </w:p>
    <w:p w14:paraId="6C32A04F" w14:textId="77777777" w:rsidR="00F078FC" w:rsidRDefault="00F078FC" w:rsidP="00F078FC">
      <w:pPr>
        <w:pStyle w:val="H1G"/>
        <w:rPr>
          <w:w w:val="103"/>
          <w:lang w:eastAsia="zh-CN"/>
        </w:rPr>
      </w:pPr>
      <w:r>
        <w:rPr>
          <w:w w:val="103"/>
          <w:lang w:eastAsia="zh-CN"/>
        </w:rPr>
        <w:tab/>
      </w:r>
      <w:r>
        <w:rPr>
          <w:w w:val="103"/>
          <w:lang w:eastAsia="zh-CN"/>
        </w:rPr>
        <w:tab/>
      </w:r>
      <w:r w:rsidRPr="00DF105D">
        <w:rPr>
          <w:w w:val="103"/>
          <w:lang w:eastAsia="zh-CN"/>
        </w:rPr>
        <w:t xml:space="preserve">Statement from </w:t>
      </w:r>
      <w:r>
        <w:rPr>
          <w:w w:val="103"/>
          <w:lang w:eastAsia="zh-CN"/>
        </w:rPr>
        <w:t>the Russian Federation</w:t>
      </w:r>
    </w:p>
    <w:p w14:paraId="6D3CFA1F" w14:textId="532A9574" w:rsidR="00F078FC" w:rsidRPr="00B82318" w:rsidRDefault="00006D49" w:rsidP="00F078FC">
      <w:pPr>
        <w:pStyle w:val="SingleTxtG"/>
      </w:pPr>
      <w:r>
        <w:t>"</w:t>
      </w:r>
      <w:r w:rsidR="00F078FC">
        <w:t>In this working group we gathered to discuss the issues on the agenda. I propose to discuss political issues at the relevant UN platforms.</w:t>
      </w:r>
      <w:r>
        <w:t>"</w:t>
      </w:r>
    </w:p>
    <w:p w14:paraId="4755B0E1" w14:textId="45D20146" w:rsidR="00F21C4F" w:rsidRDefault="00F21C4F" w:rsidP="00E53269">
      <w:r>
        <w:br w:type="page"/>
      </w:r>
    </w:p>
    <w:p w14:paraId="2D5C3BB6" w14:textId="77777777" w:rsidR="003734D1" w:rsidRDefault="003734D1" w:rsidP="003734D1">
      <w:pPr>
        <w:pStyle w:val="HChG"/>
      </w:pPr>
      <w:r>
        <w:lastRenderedPageBreak/>
        <w:t>Annex II</w:t>
      </w:r>
    </w:p>
    <w:p w14:paraId="466B8D88" w14:textId="77777777" w:rsidR="003734D1" w:rsidRPr="0052066A" w:rsidRDefault="003734D1" w:rsidP="00B2718C">
      <w:pPr>
        <w:suppressAutoHyphens/>
        <w:jc w:val="right"/>
        <w:rPr>
          <w:bCs/>
        </w:rPr>
      </w:pPr>
      <w:r>
        <w:tab/>
      </w:r>
      <w:r w:rsidRPr="0052066A">
        <w:rPr>
          <w:bCs/>
        </w:rPr>
        <w:t>[Original: English and French]</w:t>
      </w:r>
    </w:p>
    <w:p w14:paraId="27218123" w14:textId="34DCD087" w:rsidR="003734D1" w:rsidRPr="007646B7" w:rsidRDefault="003734D1" w:rsidP="003734D1">
      <w:pPr>
        <w:pStyle w:val="HChG"/>
      </w:pPr>
      <w:r>
        <w:tab/>
      </w:r>
      <w:r w:rsidRPr="007646B7">
        <w:tab/>
        <w:t xml:space="preserve">Proposed amendments to </w:t>
      </w:r>
      <w:r>
        <w:t xml:space="preserve">the </w:t>
      </w:r>
      <w:proofErr w:type="gramStart"/>
      <w:r w:rsidRPr="007646B7">
        <w:t>ATP</w:t>
      </w:r>
      <w:proofErr w:type="gramEnd"/>
    </w:p>
    <w:p w14:paraId="4B63D050" w14:textId="16389274"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t>1.</w:t>
      </w:r>
      <w:r>
        <w:rPr>
          <w:b/>
          <w:spacing w:val="4"/>
          <w:w w:val="103"/>
          <w:kern w:val="14"/>
          <w:lang w:eastAsia="zh-CN"/>
        </w:rPr>
        <w:tab/>
        <w:t>Throughout the text of the ATP</w:t>
      </w:r>
    </w:p>
    <w:p w14:paraId="4F3B7A88" w14:textId="58D747EA" w:rsidR="003734D1" w:rsidRDefault="003734D1" w:rsidP="003734D1">
      <w:pPr>
        <w:pStyle w:val="SingleTxtG"/>
      </w:pPr>
      <w:r>
        <w:rPr>
          <w:w w:val="103"/>
          <w:lang w:eastAsia="zh-CN"/>
        </w:rPr>
        <w:t xml:space="preserve">Replace multiplication symbols </w:t>
      </w:r>
      <w:r w:rsidR="00006D49">
        <w:t>"</w:t>
      </w:r>
      <w:r>
        <w:t>*</w:t>
      </w:r>
      <w:r w:rsidR="00006D49">
        <w:t>"</w:t>
      </w:r>
      <w:r>
        <w:t xml:space="preserve">, </w:t>
      </w:r>
      <w:r w:rsidR="00006D49">
        <w:t>"</w:t>
      </w:r>
      <w:r>
        <w:t>.</w:t>
      </w:r>
      <w:r w:rsidR="00006D49">
        <w:t>"</w:t>
      </w:r>
      <w:r>
        <w:t xml:space="preserve"> and </w:t>
      </w:r>
      <w:r w:rsidR="00006D49">
        <w:t>"</w:t>
      </w:r>
      <w:r w:rsidRPr="003B359C">
        <w:rPr>
          <w:position w:val="10"/>
        </w:rPr>
        <w:t>.</w:t>
      </w:r>
      <w:r w:rsidR="00006D49">
        <w:t>"</w:t>
      </w:r>
      <w:r>
        <w:t xml:space="preserve"> by </w:t>
      </w:r>
      <w:r w:rsidR="00006D49">
        <w:t>"</w:t>
      </w:r>
      <w:r>
        <w:t>×</w:t>
      </w:r>
      <w:r w:rsidR="00006D49">
        <w:t>"</w:t>
      </w:r>
      <w:r>
        <w:t xml:space="preserve"> in the existing equations.</w:t>
      </w:r>
    </w:p>
    <w:p w14:paraId="37D89BB5" w14:textId="77777777" w:rsidR="003734D1" w:rsidRPr="00D42C0B" w:rsidRDefault="003734D1" w:rsidP="003734D1">
      <w:pPr>
        <w:pStyle w:val="SingleTxtG"/>
        <w:rPr>
          <w:i/>
          <w:iCs/>
          <w:w w:val="103"/>
          <w:lang w:val="fr-CH" w:eastAsia="zh-CN"/>
        </w:rPr>
      </w:pPr>
      <w:r w:rsidRPr="00D42C0B">
        <w:rPr>
          <w:i/>
          <w:iCs/>
          <w:w w:val="103"/>
          <w:lang w:val="fr-CH" w:eastAsia="zh-CN"/>
        </w:rPr>
        <w:t xml:space="preserve">(Reference </w:t>
      </w:r>
      <w:proofErr w:type="gramStart"/>
      <w:r w:rsidRPr="00D42C0B">
        <w:rPr>
          <w:i/>
          <w:iCs/>
          <w:w w:val="103"/>
          <w:lang w:val="fr-CH" w:eastAsia="zh-CN"/>
        </w:rPr>
        <w:t>document:</w:t>
      </w:r>
      <w:proofErr w:type="gramEnd"/>
      <w:r w:rsidRPr="00D42C0B">
        <w:rPr>
          <w:i/>
          <w:iCs/>
          <w:w w:val="103"/>
          <w:lang w:val="fr-CH" w:eastAsia="zh-CN"/>
        </w:rPr>
        <w:t xml:space="preserve"> </w:t>
      </w:r>
      <w:proofErr w:type="spellStart"/>
      <w:r w:rsidRPr="00D42C0B">
        <w:rPr>
          <w:i/>
          <w:iCs/>
          <w:w w:val="103"/>
          <w:lang w:val="fr-CH" w:eastAsia="zh-CN"/>
        </w:rPr>
        <w:t>informal</w:t>
      </w:r>
      <w:proofErr w:type="spellEnd"/>
      <w:r w:rsidRPr="00D42C0B">
        <w:rPr>
          <w:i/>
          <w:iCs/>
          <w:w w:val="103"/>
          <w:lang w:val="fr-CH" w:eastAsia="zh-CN"/>
        </w:rPr>
        <w:t xml:space="preserve"> document INF.11)</w:t>
      </w:r>
    </w:p>
    <w:p w14:paraId="0BDA429A" w14:textId="13572397"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sidRPr="00D42C0B">
        <w:rPr>
          <w:b/>
          <w:spacing w:val="4"/>
          <w:w w:val="103"/>
          <w:kern w:val="14"/>
          <w:lang w:val="fr-CH" w:eastAsia="zh-CN"/>
        </w:rPr>
        <w:tab/>
      </w:r>
      <w:r>
        <w:rPr>
          <w:b/>
          <w:spacing w:val="4"/>
          <w:w w:val="103"/>
          <w:kern w:val="14"/>
          <w:lang w:eastAsia="zh-CN"/>
        </w:rPr>
        <w:t>2.</w:t>
      </w:r>
      <w:r>
        <w:rPr>
          <w:b/>
          <w:spacing w:val="4"/>
          <w:w w:val="103"/>
          <w:kern w:val="14"/>
          <w:lang w:eastAsia="zh-CN"/>
        </w:rPr>
        <w:tab/>
        <w:t>Throughout the text of the ATP</w:t>
      </w:r>
    </w:p>
    <w:p w14:paraId="4F39CB3C" w14:textId="1C9E2053" w:rsidR="003734D1" w:rsidRDefault="003734D1" w:rsidP="003734D1">
      <w:pPr>
        <w:pStyle w:val="SingleTxtG"/>
      </w:pPr>
      <w:r>
        <w:rPr>
          <w:w w:val="103"/>
          <w:lang w:eastAsia="zh-CN"/>
        </w:rPr>
        <w:t>Insert multiplication symbol</w:t>
      </w:r>
      <w:r>
        <w:t xml:space="preserve"> </w:t>
      </w:r>
      <w:r w:rsidR="00006D49">
        <w:t>"</w:t>
      </w:r>
      <w:r w:rsidRPr="003B359C">
        <w:rPr>
          <w:position w:val="10"/>
        </w:rPr>
        <w:t>.</w:t>
      </w:r>
      <w:r w:rsidR="00006D49">
        <w:t>"</w:t>
      </w:r>
      <w:r>
        <w:t xml:space="preserve"> between the units.</w:t>
      </w:r>
    </w:p>
    <w:p w14:paraId="7736ACF6" w14:textId="77777777" w:rsidR="003734D1" w:rsidRPr="00D42C0B" w:rsidRDefault="003734D1" w:rsidP="003734D1">
      <w:pPr>
        <w:pStyle w:val="SingleTxtG"/>
        <w:rPr>
          <w:i/>
          <w:iCs/>
          <w:w w:val="103"/>
          <w:lang w:val="fr-CH" w:eastAsia="zh-CN"/>
        </w:rPr>
      </w:pPr>
      <w:r w:rsidRPr="00D42C0B">
        <w:rPr>
          <w:i/>
          <w:iCs/>
          <w:w w:val="103"/>
          <w:lang w:val="fr-CH" w:eastAsia="zh-CN"/>
        </w:rPr>
        <w:t xml:space="preserve">(Reference </w:t>
      </w:r>
      <w:proofErr w:type="gramStart"/>
      <w:r w:rsidRPr="00D42C0B">
        <w:rPr>
          <w:i/>
          <w:iCs/>
          <w:w w:val="103"/>
          <w:lang w:val="fr-CH" w:eastAsia="zh-CN"/>
        </w:rPr>
        <w:t>document:</w:t>
      </w:r>
      <w:proofErr w:type="gramEnd"/>
      <w:r w:rsidRPr="00D42C0B">
        <w:rPr>
          <w:i/>
          <w:iCs/>
          <w:w w:val="103"/>
          <w:lang w:val="fr-CH" w:eastAsia="zh-CN"/>
        </w:rPr>
        <w:t xml:space="preserve"> </w:t>
      </w:r>
      <w:proofErr w:type="spellStart"/>
      <w:r w:rsidRPr="00D42C0B">
        <w:rPr>
          <w:i/>
          <w:iCs/>
          <w:w w:val="103"/>
          <w:lang w:val="fr-CH" w:eastAsia="zh-CN"/>
        </w:rPr>
        <w:t>informal</w:t>
      </w:r>
      <w:proofErr w:type="spellEnd"/>
      <w:r w:rsidRPr="00D42C0B">
        <w:rPr>
          <w:i/>
          <w:iCs/>
          <w:w w:val="103"/>
          <w:lang w:val="fr-CH" w:eastAsia="zh-CN"/>
        </w:rPr>
        <w:t xml:space="preserve"> document INF.11)</w:t>
      </w:r>
    </w:p>
    <w:p w14:paraId="0796565A" w14:textId="5909F222"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t>3.</w:t>
      </w:r>
      <w:r>
        <w:rPr>
          <w:b/>
          <w:spacing w:val="4"/>
          <w:w w:val="103"/>
          <w:kern w:val="14"/>
          <w:lang w:eastAsia="zh-CN"/>
        </w:rPr>
        <w:tab/>
      </w:r>
      <w:r w:rsidRPr="004D74C1">
        <w:rPr>
          <w:b/>
          <w:spacing w:val="4"/>
          <w:w w:val="103"/>
          <w:kern w:val="14"/>
          <w:lang w:eastAsia="zh-CN"/>
        </w:rPr>
        <w:t xml:space="preserve">Annex 1, Appendix </w:t>
      </w:r>
      <w:r>
        <w:rPr>
          <w:b/>
          <w:spacing w:val="4"/>
          <w:w w:val="103"/>
          <w:kern w:val="14"/>
          <w:lang w:eastAsia="zh-CN"/>
        </w:rPr>
        <w:t>1,</w:t>
      </w:r>
      <w:r w:rsidRPr="004D74C1">
        <w:rPr>
          <w:b/>
          <w:spacing w:val="4"/>
          <w:w w:val="103"/>
          <w:kern w:val="14"/>
          <w:lang w:eastAsia="zh-CN"/>
        </w:rPr>
        <w:t xml:space="preserve"> paragraph 3</w:t>
      </w:r>
      <w:r>
        <w:rPr>
          <w:b/>
          <w:spacing w:val="4"/>
          <w:w w:val="103"/>
          <w:kern w:val="14"/>
          <w:lang w:eastAsia="zh-CN"/>
        </w:rPr>
        <w:t xml:space="preserve"> </w:t>
      </w:r>
    </w:p>
    <w:p w14:paraId="2D7B6D46" w14:textId="6211B0E5" w:rsidR="003734D1" w:rsidRDefault="003734D1" w:rsidP="003734D1">
      <w:pPr>
        <w:pStyle w:val="SingleTxtG"/>
        <w:rPr>
          <w:w w:val="103"/>
          <w:lang w:eastAsia="zh-CN"/>
        </w:rPr>
      </w:pPr>
      <w:r w:rsidRPr="006345B3">
        <w:rPr>
          <w:w w:val="103"/>
          <w:lang w:eastAsia="zh-CN"/>
        </w:rPr>
        <w:t xml:space="preserve">Replace </w:t>
      </w:r>
      <w:r w:rsidR="00006D49">
        <w:rPr>
          <w:w w:val="103"/>
          <w:lang w:eastAsia="zh-CN"/>
        </w:rPr>
        <w:t>"</w:t>
      </w:r>
      <w:r w:rsidRPr="006345B3">
        <w:rPr>
          <w:w w:val="103"/>
          <w:lang w:eastAsia="zh-CN"/>
        </w:rPr>
        <w:t>confirm its identity</w:t>
      </w:r>
      <w:r w:rsidR="00006D49">
        <w:rPr>
          <w:w w:val="103"/>
          <w:lang w:eastAsia="zh-CN"/>
        </w:rPr>
        <w:t>"</w:t>
      </w:r>
      <w:r w:rsidRPr="006345B3">
        <w:rPr>
          <w:w w:val="103"/>
          <w:lang w:eastAsia="zh-CN"/>
        </w:rPr>
        <w:t xml:space="preserve"> by </w:t>
      </w:r>
      <w:r w:rsidR="00006D49">
        <w:rPr>
          <w:w w:val="103"/>
          <w:lang w:eastAsia="zh-CN"/>
        </w:rPr>
        <w:t>"</w:t>
      </w:r>
      <w:r w:rsidRPr="006345B3">
        <w:rPr>
          <w:w w:val="103"/>
          <w:lang w:eastAsia="zh-CN"/>
        </w:rPr>
        <w:t xml:space="preserve">verify its </w:t>
      </w:r>
      <w:proofErr w:type="gramStart"/>
      <w:r w:rsidRPr="006345B3">
        <w:rPr>
          <w:w w:val="103"/>
          <w:lang w:eastAsia="zh-CN"/>
        </w:rPr>
        <w:t>conformity</w:t>
      </w:r>
      <w:r w:rsidR="00006D49">
        <w:rPr>
          <w:w w:val="103"/>
          <w:lang w:eastAsia="zh-CN"/>
        </w:rPr>
        <w:t>"</w:t>
      </w:r>
      <w:proofErr w:type="gramEnd"/>
    </w:p>
    <w:p w14:paraId="731BE135" w14:textId="77777777" w:rsidR="003734D1" w:rsidRDefault="003734D1" w:rsidP="003734D1">
      <w:pPr>
        <w:pStyle w:val="SingleTxtG"/>
        <w:rPr>
          <w:i/>
          <w:iCs/>
          <w:w w:val="103"/>
          <w:lang w:eastAsia="zh-CN"/>
        </w:rPr>
      </w:pPr>
      <w:r w:rsidRPr="0041235A">
        <w:rPr>
          <w:i/>
          <w:iCs/>
          <w:w w:val="103"/>
          <w:lang w:eastAsia="zh-CN"/>
        </w:rPr>
        <w:t>(Reference document: ECE/TRANS/WP.11/2023/</w:t>
      </w:r>
      <w:r>
        <w:rPr>
          <w:i/>
          <w:iCs/>
          <w:w w:val="103"/>
          <w:lang w:eastAsia="zh-CN"/>
        </w:rPr>
        <w:t>16</w:t>
      </w:r>
      <w:r w:rsidRPr="0041235A">
        <w:rPr>
          <w:i/>
          <w:iCs/>
          <w:w w:val="103"/>
          <w:lang w:eastAsia="zh-CN"/>
        </w:rPr>
        <w:t>)</w:t>
      </w:r>
    </w:p>
    <w:p w14:paraId="0F9B92BC" w14:textId="6D9AE46E" w:rsidR="003734D1" w:rsidRDefault="003734D1" w:rsidP="003734D1">
      <w:pPr>
        <w:pStyle w:val="H23G"/>
        <w:rPr>
          <w:lang w:val="en-US"/>
        </w:rPr>
      </w:pPr>
      <w:r>
        <w:rPr>
          <w:bCs/>
        </w:rPr>
        <w:tab/>
        <w:t>4</w:t>
      </w:r>
      <w:r w:rsidRPr="00303B57">
        <w:rPr>
          <w:bCs/>
        </w:rPr>
        <w:t>.</w:t>
      </w:r>
      <w:r>
        <w:tab/>
        <w:t>A</w:t>
      </w:r>
      <w:proofErr w:type="spellStart"/>
      <w:r w:rsidRPr="002B5945">
        <w:rPr>
          <w:lang w:val="en-US"/>
        </w:rPr>
        <w:t>nnex</w:t>
      </w:r>
      <w:proofErr w:type="spellEnd"/>
      <w:r w:rsidRPr="002B5945">
        <w:rPr>
          <w:lang w:val="en-US"/>
        </w:rPr>
        <w:t xml:space="preserve"> 1</w:t>
      </w:r>
      <w:r>
        <w:rPr>
          <w:lang w:val="en-US"/>
        </w:rPr>
        <w:t>, A</w:t>
      </w:r>
      <w:r w:rsidRPr="002B5945">
        <w:rPr>
          <w:lang w:val="en-US"/>
        </w:rPr>
        <w:t>ppendix 2</w:t>
      </w:r>
      <w:r>
        <w:rPr>
          <w:lang w:val="en-US"/>
        </w:rPr>
        <w:t>, p</w:t>
      </w:r>
      <w:r w:rsidRPr="002B5945">
        <w:rPr>
          <w:lang w:val="en-US"/>
        </w:rPr>
        <w:t>aragraph 6.2.2</w:t>
      </w:r>
      <w:r>
        <w:rPr>
          <w:lang w:val="en-US"/>
        </w:rPr>
        <w:t xml:space="preserve"> (</w:t>
      </w:r>
      <w:proofErr w:type="spellStart"/>
      <w:r>
        <w:rPr>
          <w:lang w:val="en-US"/>
        </w:rPr>
        <w:t>i</w:t>
      </w:r>
      <w:proofErr w:type="spellEnd"/>
      <w:r>
        <w:rPr>
          <w:lang w:val="en-US"/>
        </w:rPr>
        <w:t>)</w:t>
      </w:r>
    </w:p>
    <w:p w14:paraId="5E59001A" w14:textId="4A960AE7" w:rsidR="003734D1" w:rsidRDefault="003734D1" w:rsidP="003734D1">
      <w:pPr>
        <w:pStyle w:val="SingleTxtG"/>
        <w:rPr>
          <w:lang w:val="en-US"/>
        </w:rPr>
      </w:pPr>
      <w:r>
        <w:rPr>
          <w:lang w:val="en-US"/>
        </w:rPr>
        <w:t xml:space="preserve">In the first sentence, after the word </w:t>
      </w:r>
      <w:r w:rsidR="00006D49">
        <w:rPr>
          <w:lang w:val="en-US"/>
        </w:rPr>
        <w:t>"</w:t>
      </w:r>
      <w:r>
        <w:rPr>
          <w:lang w:val="en-US"/>
        </w:rPr>
        <w:t>stabilization</w:t>
      </w:r>
      <w:r w:rsidR="00006D49">
        <w:rPr>
          <w:lang w:val="en-US"/>
        </w:rPr>
        <w:t>"</w:t>
      </w:r>
      <w:r>
        <w:rPr>
          <w:lang w:val="en-US"/>
        </w:rPr>
        <w:t xml:space="preserve"> add a footnote (1) to read as follows:</w:t>
      </w:r>
    </w:p>
    <w:p w14:paraId="1765BC11" w14:textId="46D59BD6" w:rsidR="003734D1" w:rsidRPr="0005771A" w:rsidRDefault="00006D49" w:rsidP="003734D1">
      <w:pPr>
        <w:pStyle w:val="FootnoteText"/>
        <w:tabs>
          <w:tab w:val="clear" w:pos="1021"/>
          <w:tab w:val="right" w:pos="1418"/>
        </w:tabs>
        <w:spacing w:after="120"/>
        <w:ind w:left="1418" w:firstLine="0"/>
        <w:rPr>
          <w:sz w:val="20"/>
          <w:lang w:val="en-US"/>
        </w:rPr>
      </w:pPr>
      <w:r>
        <w:rPr>
          <w:vertAlign w:val="superscript"/>
          <w:lang w:val="en-US"/>
        </w:rPr>
        <w:t>"</w:t>
      </w:r>
      <w:r w:rsidR="003734D1" w:rsidRPr="0091060A">
        <w:rPr>
          <w:vertAlign w:val="superscript"/>
          <w:lang w:val="en-US"/>
        </w:rPr>
        <w:t>(1)</w:t>
      </w:r>
      <w:r w:rsidR="003734D1">
        <w:rPr>
          <w:lang w:val="en-US"/>
        </w:rPr>
        <w:tab/>
      </w:r>
      <w:r w:rsidR="003734D1" w:rsidRPr="0005771A">
        <w:rPr>
          <w:sz w:val="20"/>
          <w:lang w:val="en-US"/>
        </w:rPr>
        <w:t xml:space="preserve">Equipment can be pre-cooled before the </w:t>
      </w:r>
      <w:proofErr w:type="gramStart"/>
      <w:r w:rsidR="003734D1" w:rsidRPr="0005771A">
        <w:rPr>
          <w:sz w:val="20"/>
          <w:lang w:val="en-US"/>
        </w:rPr>
        <w:t>test</w:t>
      </w:r>
      <w:proofErr w:type="gramEnd"/>
      <w:r>
        <w:rPr>
          <w:sz w:val="20"/>
          <w:lang w:val="en-US"/>
        </w:rPr>
        <w:t>"</w:t>
      </w:r>
    </w:p>
    <w:p w14:paraId="34EC8AC1" w14:textId="77777777" w:rsidR="003734D1" w:rsidRDefault="003734D1" w:rsidP="003734D1">
      <w:pPr>
        <w:pStyle w:val="SingleTxtG"/>
        <w:rPr>
          <w:lang w:val="en-US"/>
        </w:rPr>
      </w:pPr>
      <w:r>
        <w:rPr>
          <w:lang w:val="en-US"/>
        </w:rPr>
        <w:t>After the first sentence add the following new text:</w:t>
      </w:r>
    </w:p>
    <w:p w14:paraId="7193D8E4" w14:textId="1C5C6DB7" w:rsidR="003734D1" w:rsidRPr="0087674B" w:rsidRDefault="00006D49" w:rsidP="003734D1">
      <w:pPr>
        <w:pStyle w:val="SingleTxtG"/>
        <w:ind w:left="1418"/>
        <w:rPr>
          <w:lang w:val="en-US"/>
        </w:rPr>
      </w:pPr>
      <w:r>
        <w:rPr>
          <w:lang w:val="en-US"/>
        </w:rPr>
        <w:t>"</w:t>
      </w:r>
      <w:r w:rsidR="003734D1" w:rsidRPr="0087674B">
        <w:rPr>
          <w:lang w:val="en-US"/>
        </w:rPr>
        <w:t>The internal temperature taken into consideration is the average temperature of the two sensors measured during the period selected for the test. The equipment is considered compliant if it meets the following conditions:</w:t>
      </w:r>
    </w:p>
    <w:p w14:paraId="4FF4874E" w14:textId="77777777" w:rsidR="003734D1" w:rsidRPr="0087674B" w:rsidRDefault="003734D1" w:rsidP="003734D1">
      <w:pPr>
        <w:pStyle w:val="SingleTxtG"/>
        <w:ind w:left="1418"/>
        <w:rPr>
          <w:lang w:val="en-US"/>
        </w:rPr>
      </w:pPr>
      <w:r w:rsidRPr="0087674B">
        <w:rPr>
          <w:lang w:val="en-US"/>
        </w:rPr>
        <w:t>The average internal temperature is included in the ranges defined below:</w:t>
      </w:r>
    </w:p>
    <w:p w14:paraId="72F7AB80" w14:textId="44EA3853" w:rsidR="003734D1" w:rsidRDefault="003734D1" w:rsidP="003734D1">
      <w:pPr>
        <w:pStyle w:val="SingleTxtG"/>
        <w:ind w:left="1418"/>
        <w:rPr>
          <w:lang w:val="en-US"/>
        </w:rPr>
      </w:pPr>
      <w:r w:rsidRPr="0087674B">
        <w:rPr>
          <w:lang w:val="en-US"/>
        </w:rPr>
        <w:t>the amplitude of the temperature variations around the class temperature is +/- 3 °C.</w:t>
      </w:r>
      <w:r w:rsidR="00006D49">
        <w:rPr>
          <w:lang w:val="en-US"/>
        </w:rPr>
        <w:t>"</w:t>
      </w:r>
    </w:p>
    <w:p w14:paraId="227B4A7C" w14:textId="77777777" w:rsidR="003734D1" w:rsidRDefault="003734D1" w:rsidP="003734D1">
      <w:pPr>
        <w:pStyle w:val="SingleTxtG"/>
        <w:rPr>
          <w:i/>
          <w:iCs/>
          <w:w w:val="103"/>
          <w:lang w:eastAsia="zh-CN"/>
        </w:rPr>
      </w:pPr>
      <w:r w:rsidRPr="0041235A">
        <w:rPr>
          <w:i/>
          <w:iCs/>
          <w:w w:val="103"/>
          <w:lang w:eastAsia="zh-CN"/>
        </w:rPr>
        <w:t>(Reference document</w:t>
      </w:r>
      <w:r>
        <w:rPr>
          <w:i/>
          <w:iCs/>
          <w:w w:val="103"/>
          <w:lang w:eastAsia="zh-CN"/>
        </w:rPr>
        <w:t>s</w:t>
      </w:r>
      <w:r w:rsidRPr="0041235A">
        <w:rPr>
          <w:i/>
          <w:iCs/>
          <w:w w:val="103"/>
          <w:lang w:eastAsia="zh-CN"/>
        </w:rPr>
        <w:t>: ECE/TRANS/WP.11/2023/</w:t>
      </w:r>
      <w:r>
        <w:rPr>
          <w:i/>
          <w:iCs/>
          <w:w w:val="103"/>
          <w:lang w:eastAsia="zh-CN"/>
        </w:rPr>
        <w:t>11 and informal document INF.16 as amended</w:t>
      </w:r>
      <w:r w:rsidRPr="0041235A">
        <w:rPr>
          <w:i/>
          <w:iCs/>
          <w:w w:val="103"/>
          <w:lang w:eastAsia="zh-CN"/>
        </w:rPr>
        <w:t>)</w:t>
      </w:r>
    </w:p>
    <w:p w14:paraId="6EE5299F" w14:textId="6A3A473F"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t>5.</w:t>
      </w:r>
      <w:r>
        <w:rPr>
          <w:b/>
          <w:spacing w:val="4"/>
          <w:w w:val="103"/>
          <w:kern w:val="14"/>
          <w:lang w:eastAsia="zh-CN"/>
        </w:rPr>
        <w:tab/>
      </w:r>
      <w:r w:rsidRPr="004D74C1">
        <w:rPr>
          <w:b/>
          <w:spacing w:val="4"/>
          <w:w w:val="103"/>
          <w:kern w:val="14"/>
          <w:lang w:eastAsia="zh-CN"/>
        </w:rPr>
        <w:t>Annex 1, Appendix 2</w:t>
      </w:r>
      <w:r>
        <w:rPr>
          <w:b/>
          <w:spacing w:val="4"/>
          <w:w w:val="103"/>
          <w:kern w:val="14"/>
          <w:lang w:eastAsia="zh-CN"/>
        </w:rPr>
        <w:t>,</w:t>
      </w:r>
      <w:r w:rsidRPr="004D74C1">
        <w:rPr>
          <w:b/>
          <w:spacing w:val="4"/>
          <w:w w:val="103"/>
          <w:kern w:val="14"/>
          <w:lang w:eastAsia="zh-CN"/>
        </w:rPr>
        <w:t xml:space="preserve"> paragraph 6.2.3</w:t>
      </w:r>
    </w:p>
    <w:p w14:paraId="687AA9E7" w14:textId="77777777" w:rsidR="003734D1" w:rsidRDefault="003734D1" w:rsidP="003734D1">
      <w:pPr>
        <w:pStyle w:val="SingleTxtG"/>
        <w:rPr>
          <w:w w:val="103"/>
          <w:lang w:eastAsia="zh-CN"/>
        </w:rPr>
      </w:pPr>
      <w:r>
        <w:rPr>
          <w:w w:val="103"/>
          <w:lang w:eastAsia="zh-CN"/>
        </w:rPr>
        <w:t>Add a new heading before the existing paragraph to read as follows:</w:t>
      </w:r>
    </w:p>
    <w:p w14:paraId="44D4E78C" w14:textId="21B7A6A2" w:rsidR="003734D1" w:rsidRDefault="00006D49" w:rsidP="003734D1">
      <w:pPr>
        <w:pStyle w:val="SingleTxtG"/>
        <w:rPr>
          <w:w w:val="103"/>
          <w:lang w:eastAsia="zh-CN"/>
        </w:rPr>
      </w:pPr>
      <w:r>
        <w:rPr>
          <w:w w:val="103"/>
          <w:lang w:eastAsia="zh-CN"/>
        </w:rPr>
        <w:t>"</w:t>
      </w:r>
      <w:r w:rsidR="003734D1" w:rsidRPr="005B15B9">
        <w:rPr>
          <w:b/>
          <w:bCs/>
          <w:w w:val="103"/>
          <w:lang w:eastAsia="zh-CN"/>
        </w:rPr>
        <w:t>6.2.3</w:t>
      </w:r>
      <w:r w:rsidR="003734D1" w:rsidRPr="005B15B9">
        <w:rPr>
          <w:b/>
          <w:bCs/>
          <w:w w:val="103"/>
          <w:lang w:eastAsia="zh-CN"/>
        </w:rPr>
        <w:tab/>
        <w:t>Replacement of refrigerant fluid</w:t>
      </w:r>
      <w:r>
        <w:rPr>
          <w:w w:val="103"/>
          <w:lang w:eastAsia="zh-CN"/>
        </w:rPr>
        <w:t>"</w:t>
      </w:r>
    </w:p>
    <w:p w14:paraId="36C3BD87" w14:textId="77777777" w:rsidR="003734D1" w:rsidRPr="0041235A" w:rsidRDefault="003734D1" w:rsidP="003734D1">
      <w:pPr>
        <w:pStyle w:val="SingleTxtG"/>
        <w:rPr>
          <w:i/>
          <w:iCs/>
          <w:w w:val="103"/>
          <w:lang w:eastAsia="zh-CN"/>
        </w:rPr>
      </w:pPr>
      <w:r w:rsidRPr="0041235A">
        <w:rPr>
          <w:i/>
          <w:iCs/>
          <w:w w:val="103"/>
          <w:lang w:eastAsia="zh-CN"/>
        </w:rPr>
        <w:t>(Reference document: ECE/TRANS/WP.11/2023/</w:t>
      </w:r>
      <w:r>
        <w:rPr>
          <w:i/>
          <w:iCs/>
          <w:w w:val="103"/>
          <w:lang w:eastAsia="zh-CN"/>
        </w:rPr>
        <w:t>14</w:t>
      </w:r>
      <w:r w:rsidRPr="0041235A">
        <w:rPr>
          <w:i/>
          <w:iCs/>
          <w:w w:val="103"/>
          <w:lang w:eastAsia="zh-CN"/>
        </w:rPr>
        <w:t>)</w:t>
      </w:r>
    </w:p>
    <w:p w14:paraId="0E4AAB74" w14:textId="58CC1C51"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t>6.</w:t>
      </w:r>
      <w:r>
        <w:rPr>
          <w:b/>
          <w:spacing w:val="4"/>
          <w:w w:val="103"/>
          <w:kern w:val="14"/>
          <w:lang w:eastAsia="zh-CN"/>
        </w:rPr>
        <w:tab/>
      </w:r>
      <w:r w:rsidRPr="004D74C1">
        <w:rPr>
          <w:b/>
          <w:spacing w:val="4"/>
          <w:w w:val="103"/>
          <w:kern w:val="14"/>
          <w:lang w:eastAsia="zh-CN"/>
        </w:rPr>
        <w:t>Annex 1, Appendix 2</w:t>
      </w:r>
      <w:r>
        <w:rPr>
          <w:b/>
          <w:spacing w:val="4"/>
          <w:w w:val="103"/>
          <w:kern w:val="14"/>
          <w:lang w:eastAsia="zh-CN"/>
        </w:rPr>
        <w:t>,</w:t>
      </w:r>
      <w:r w:rsidRPr="004D74C1">
        <w:rPr>
          <w:b/>
          <w:spacing w:val="4"/>
          <w:w w:val="103"/>
          <w:kern w:val="14"/>
          <w:lang w:eastAsia="zh-CN"/>
        </w:rPr>
        <w:t xml:space="preserve"> paragraph 6.3</w:t>
      </w:r>
    </w:p>
    <w:p w14:paraId="61A03896" w14:textId="77777777" w:rsidR="003734D1" w:rsidRDefault="003734D1" w:rsidP="003734D1">
      <w:pPr>
        <w:pStyle w:val="SingleTxtG"/>
        <w:rPr>
          <w:w w:val="103"/>
          <w:lang w:eastAsia="zh-CN"/>
        </w:rPr>
      </w:pPr>
      <w:r>
        <w:rPr>
          <w:w w:val="103"/>
          <w:lang w:eastAsia="zh-CN"/>
        </w:rPr>
        <w:t>Amend the first sentence to read as follows:</w:t>
      </w:r>
    </w:p>
    <w:p w14:paraId="5AA7BC37" w14:textId="713750A1" w:rsidR="003734D1" w:rsidRPr="003802C4" w:rsidRDefault="00006D49" w:rsidP="003734D1">
      <w:pPr>
        <w:pStyle w:val="SingleTxtG"/>
        <w:rPr>
          <w:w w:val="103"/>
          <w:lang w:eastAsia="zh-CN"/>
        </w:rPr>
      </w:pPr>
      <w:r>
        <w:t>"</w:t>
      </w:r>
      <w:r w:rsidR="003734D1" w:rsidRPr="003802C4">
        <w:t>It shall be verified that the difference between the inside temperature of the empty</w:t>
      </w:r>
      <w:r w:rsidR="003734D1" w:rsidRPr="003802C4">
        <w:rPr>
          <w:color w:val="FF0000"/>
        </w:rPr>
        <w:t xml:space="preserve"> </w:t>
      </w:r>
      <w:r w:rsidR="003734D1" w:rsidRPr="003802C4">
        <w:t>equipment and the outside temperature which governs the class to which the equipment belongs as prescribed in this annex (a difference of 22 °C in the case of class A, 32 °C in the case of class B, 42 °C in the case of class C and 52 °C in the case of class D) can be achieved within a maximum period of 360 minutes.</w:t>
      </w:r>
      <w:r>
        <w:t>"</w:t>
      </w:r>
    </w:p>
    <w:p w14:paraId="6FEC6F22" w14:textId="77777777" w:rsidR="003734D1" w:rsidRDefault="003734D1" w:rsidP="003734D1">
      <w:pPr>
        <w:pStyle w:val="SingleTxtG"/>
        <w:rPr>
          <w:i/>
          <w:iCs/>
          <w:w w:val="103"/>
          <w:lang w:eastAsia="zh-CN"/>
        </w:rPr>
      </w:pPr>
      <w:r w:rsidRPr="0041235A">
        <w:rPr>
          <w:i/>
          <w:iCs/>
          <w:w w:val="103"/>
          <w:lang w:eastAsia="zh-CN"/>
        </w:rPr>
        <w:t>(Reference document: ECE/TRANS/WP.11/2023/</w:t>
      </w:r>
      <w:r>
        <w:rPr>
          <w:i/>
          <w:iCs/>
          <w:w w:val="103"/>
          <w:lang w:eastAsia="zh-CN"/>
        </w:rPr>
        <w:t>18 as amended</w:t>
      </w:r>
      <w:r w:rsidRPr="0041235A">
        <w:rPr>
          <w:i/>
          <w:iCs/>
          <w:w w:val="103"/>
          <w:lang w:eastAsia="zh-CN"/>
        </w:rPr>
        <w:t>)</w:t>
      </w:r>
    </w:p>
    <w:p w14:paraId="5C704D6E" w14:textId="296746DD" w:rsidR="003734D1" w:rsidRDefault="003734D1" w:rsidP="00F42397">
      <w:pPr>
        <w:keepNext/>
        <w:keepLines/>
        <w:pageBreakBefore/>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lastRenderedPageBreak/>
        <w:tab/>
        <w:t>7.</w:t>
      </w:r>
      <w:r>
        <w:rPr>
          <w:b/>
          <w:spacing w:val="4"/>
          <w:w w:val="103"/>
          <w:kern w:val="14"/>
          <w:lang w:eastAsia="zh-CN"/>
        </w:rPr>
        <w:tab/>
      </w:r>
      <w:r w:rsidRPr="004D74C1">
        <w:rPr>
          <w:b/>
          <w:spacing w:val="4"/>
          <w:w w:val="103"/>
          <w:kern w:val="14"/>
          <w:lang w:eastAsia="zh-CN"/>
        </w:rPr>
        <w:t>Annex 1, Appendix 2</w:t>
      </w:r>
      <w:r>
        <w:rPr>
          <w:b/>
          <w:spacing w:val="4"/>
          <w:w w:val="103"/>
          <w:kern w:val="14"/>
          <w:lang w:eastAsia="zh-CN"/>
        </w:rPr>
        <w:t>,</w:t>
      </w:r>
      <w:r w:rsidRPr="004D74C1">
        <w:rPr>
          <w:b/>
          <w:spacing w:val="4"/>
          <w:w w:val="103"/>
          <w:kern w:val="14"/>
          <w:lang w:eastAsia="zh-CN"/>
        </w:rPr>
        <w:t xml:space="preserve"> paragraph 6.</w:t>
      </w:r>
      <w:r>
        <w:rPr>
          <w:b/>
          <w:spacing w:val="4"/>
          <w:w w:val="103"/>
          <w:kern w:val="14"/>
          <w:lang w:eastAsia="zh-CN"/>
        </w:rPr>
        <w:t>4 (ii)</w:t>
      </w:r>
    </w:p>
    <w:p w14:paraId="5B576C52" w14:textId="77777777" w:rsidR="003734D1" w:rsidRDefault="003734D1" w:rsidP="003734D1">
      <w:pPr>
        <w:pStyle w:val="SingleTxtG"/>
        <w:rPr>
          <w:w w:val="103"/>
          <w:lang w:eastAsia="zh-CN"/>
        </w:rPr>
      </w:pPr>
      <w:r>
        <w:rPr>
          <w:w w:val="103"/>
          <w:lang w:eastAsia="zh-CN"/>
        </w:rPr>
        <w:t>Amend to read as follows:</w:t>
      </w:r>
    </w:p>
    <w:p w14:paraId="43E36D31" w14:textId="2DC48002" w:rsidR="003734D1" w:rsidRPr="00D86238" w:rsidRDefault="00006D49" w:rsidP="003734D1">
      <w:pPr>
        <w:pStyle w:val="SingleTxtG"/>
        <w:rPr>
          <w:w w:val="103"/>
          <w:lang w:eastAsia="zh-CN"/>
        </w:rPr>
      </w:pPr>
      <w:r>
        <w:t>"</w:t>
      </w:r>
      <w:r w:rsidR="003734D1">
        <w:t>(ii)</w:t>
      </w:r>
      <w:r w:rsidR="003734D1">
        <w:tab/>
      </w:r>
      <w:r w:rsidR="003734D1" w:rsidRPr="00D86238">
        <w:t>In the second stage, it shall be verified that the difference between the inside temperature of the empty</w:t>
      </w:r>
      <w:r w:rsidR="003734D1" w:rsidRPr="00D86238">
        <w:rPr>
          <w:color w:val="FF0000"/>
        </w:rPr>
        <w:t xml:space="preserve"> </w:t>
      </w:r>
      <w:r w:rsidR="003734D1" w:rsidRPr="00D86238">
        <w:t>equipment and the outside temperature which governs the class to which the equipment belongs as prescribed in this annex (a difference of 22 °C in the case of classes A, E and I, of 32 °C in the case of classes B, F and J, of 42 °C in the case of classes C, G and K, and of 52 °C in the case of classes D, H, and L), can be achieved within a maximum period of 360 minutes</w:t>
      </w:r>
      <w:r>
        <w:t>"</w:t>
      </w:r>
    </w:p>
    <w:p w14:paraId="06E0BDC2" w14:textId="77777777" w:rsidR="003734D1" w:rsidRDefault="003734D1" w:rsidP="003734D1">
      <w:pPr>
        <w:pStyle w:val="SingleTxtG"/>
        <w:rPr>
          <w:i/>
          <w:iCs/>
          <w:w w:val="103"/>
          <w:lang w:eastAsia="zh-CN"/>
        </w:rPr>
      </w:pPr>
      <w:r w:rsidRPr="0041235A">
        <w:rPr>
          <w:i/>
          <w:iCs/>
          <w:w w:val="103"/>
          <w:lang w:eastAsia="zh-CN"/>
        </w:rPr>
        <w:t>(Reference document: ECE/TRANS/WP.11/2023/</w:t>
      </w:r>
      <w:r>
        <w:rPr>
          <w:i/>
          <w:iCs/>
          <w:w w:val="103"/>
          <w:lang w:eastAsia="zh-CN"/>
        </w:rPr>
        <w:t>18 as amended</w:t>
      </w:r>
      <w:r w:rsidRPr="0041235A">
        <w:rPr>
          <w:i/>
          <w:iCs/>
          <w:w w:val="103"/>
          <w:lang w:eastAsia="zh-CN"/>
        </w:rPr>
        <w:t>)</w:t>
      </w:r>
    </w:p>
    <w:p w14:paraId="76DC5D7E" w14:textId="7A16544A" w:rsidR="003734D1" w:rsidRDefault="003734D1" w:rsidP="003734D1">
      <w:pPr>
        <w:pStyle w:val="H23G"/>
        <w:rPr>
          <w:lang w:val="en-US"/>
        </w:rPr>
      </w:pPr>
      <w:r>
        <w:rPr>
          <w:bCs/>
        </w:rPr>
        <w:tab/>
        <w:t>8</w:t>
      </w:r>
      <w:r w:rsidRPr="00303B57">
        <w:rPr>
          <w:bCs/>
        </w:rPr>
        <w:t>.</w:t>
      </w:r>
      <w:r>
        <w:tab/>
        <w:t>A</w:t>
      </w:r>
      <w:proofErr w:type="spellStart"/>
      <w:r w:rsidRPr="002B5945">
        <w:rPr>
          <w:lang w:val="en-US"/>
        </w:rPr>
        <w:t>nnex</w:t>
      </w:r>
      <w:proofErr w:type="spellEnd"/>
      <w:r w:rsidRPr="002B5945">
        <w:rPr>
          <w:lang w:val="en-US"/>
        </w:rPr>
        <w:t xml:space="preserve"> 1</w:t>
      </w:r>
      <w:r>
        <w:rPr>
          <w:lang w:val="en-US"/>
        </w:rPr>
        <w:t>, A</w:t>
      </w:r>
      <w:r w:rsidRPr="002B5945">
        <w:rPr>
          <w:lang w:val="en-US"/>
        </w:rPr>
        <w:t>ppendix 2</w:t>
      </w:r>
      <w:r>
        <w:rPr>
          <w:lang w:val="en-US"/>
        </w:rPr>
        <w:t xml:space="preserve">, paragraph 8, </w:t>
      </w:r>
      <w:r w:rsidRPr="0069734C">
        <w:rPr>
          <w:bCs/>
        </w:rPr>
        <w:t>MODEL No. 1 A</w:t>
      </w:r>
    </w:p>
    <w:p w14:paraId="7EFB9671" w14:textId="77777777" w:rsidR="003734D1" w:rsidRDefault="003734D1" w:rsidP="003734D1">
      <w:pPr>
        <w:pStyle w:val="SingleTxtG"/>
        <w:rPr>
          <w:lang w:val="en-US"/>
        </w:rPr>
      </w:pPr>
      <w:r>
        <w:rPr>
          <w:lang w:val="en-US"/>
        </w:rPr>
        <w:t>Add the following list at the end:</w:t>
      </w:r>
    </w:p>
    <w:p w14:paraId="14C76E01" w14:textId="63C620D0" w:rsidR="003734D1" w:rsidRDefault="00006D49" w:rsidP="003734D1">
      <w:pPr>
        <w:pStyle w:val="Bullet1G"/>
        <w:numPr>
          <w:ilvl w:val="0"/>
          <w:numId w:val="0"/>
        </w:numPr>
        <w:suppressAutoHyphens/>
        <w:ind w:left="1276"/>
      </w:pPr>
      <w:r>
        <w:t>"</w:t>
      </w:r>
      <w:r w:rsidR="003734D1" w:rsidRPr="00CC206B">
        <w:rPr>
          <w:b/>
          <w:bCs/>
        </w:rPr>
        <w:t xml:space="preserve">List of major components related to </w:t>
      </w:r>
      <w:proofErr w:type="gramStart"/>
      <w:r w:rsidR="003734D1" w:rsidRPr="00CC206B">
        <w:rPr>
          <w:b/>
          <w:bCs/>
        </w:rPr>
        <w:t>Insulation</w:t>
      </w:r>
      <w:proofErr w:type="gramEnd"/>
      <w:r w:rsidR="003734D1">
        <w:t xml:space="preserve"> </w:t>
      </w:r>
    </w:p>
    <w:p w14:paraId="41D3E711" w14:textId="77777777" w:rsidR="003734D1" w:rsidRPr="009F7F79" w:rsidRDefault="003734D1" w:rsidP="003734D1">
      <w:pPr>
        <w:pStyle w:val="SingleTxtG"/>
        <w:ind w:left="1854"/>
        <w:rPr>
          <w:lang w:val="en-US"/>
        </w:rPr>
      </w:pPr>
      <w:r w:rsidRPr="009F7F79">
        <w:rPr>
          <w:lang w:val="en-US"/>
        </w:rPr>
        <w:t>Principal dimensions</w:t>
      </w:r>
      <w:r w:rsidRPr="009F7F79">
        <w:rPr>
          <w:lang w:val="en-US"/>
        </w:rPr>
        <w:tab/>
      </w:r>
      <w:r>
        <w:rPr>
          <w:lang w:val="en-US"/>
        </w:rPr>
        <w:tab/>
      </w:r>
      <w:r w:rsidRPr="009F7F79">
        <w:rPr>
          <w:lang w:val="en-US"/>
        </w:rPr>
        <w:t>Total inside surface area Si of body</w:t>
      </w:r>
      <w:r w:rsidRPr="009F7F79">
        <w:rPr>
          <w:lang w:val="en-US"/>
        </w:rPr>
        <w:tab/>
        <w:t>m²</w:t>
      </w:r>
    </w:p>
    <w:p w14:paraId="795454AF" w14:textId="77777777" w:rsidR="003734D1" w:rsidRPr="009F7F79" w:rsidRDefault="003734D1" w:rsidP="003734D1">
      <w:pPr>
        <w:pStyle w:val="SingleTxtG"/>
        <w:ind w:left="1854"/>
        <w:rPr>
          <w:lang w:val="en-US"/>
        </w:rPr>
      </w:pPr>
      <w:r w:rsidRPr="009F7F79">
        <w:rPr>
          <w:lang w:val="en-US"/>
        </w:rPr>
        <w:t xml:space="preserve"> </w:t>
      </w:r>
      <w:r w:rsidRPr="009F7F79">
        <w:rPr>
          <w:lang w:val="en-US"/>
        </w:rPr>
        <w:tab/>
      </w:r>
      <w:r>
        <w:rPr>
          <w:lang w:val="en-US"/>
        </w:rPr>
        <w:tab/>
      </w:r>
      <w:r>
        <w:rPr>
          <w:lang w:val="en-US"/>
        </w:rPr>
        <w:tab/>
      </w:r>
      <w:r>
        <w:rPr>
          <w:lang w:val="en-US"/>
        </w:rPr>
        <w:tab/>
      </w:r>
      <w:r>
        <w:rPr>
          <w:lang w:val="en-US"/>
        </w:rPr>
        <w:tab/>
      </w:r>
      <w:r>
        <w:rPr>
          <w:lang w:val="en-US"/>
        </w:rPr>
        <w:tab/>
      </w:r>
      <w:r w:rsidRPr="009F7F79">
        <w:rPr>
          <w:lang w:val="en-US"/>
        </w:rPr>
        <w:t>Total outside surface area Se of body</w:t>
      </w:r>
      <w:r w:rsidRPr="009F7F79">
        <w:rPr>
          <w:lang w:val="en-US"/>
        </w:rPr>
        <w:tab/>
        <w:t>m²</w:t>
      </w:r>
    </w:p>
    <w:p w14:paraId="3341B1CA" w14:textId="77777777" w:rsidR="003734D1" w:rsidRDefault="003734D1" w:rsidP="003734D1">
      <w:pPr>
        <w:pStyle w:val="SingleTxtG"/>
        <w:ind w:left="1854"/>
        <w:rPr>
          <w:lang w:val="en-US"/>
        </w:rPr>
      </w:pPr>
      <w:r w:rsidRPr="009F7F79">
        <w:rPr>
          <w:lang w:val="en-US"/>
        </w:rPr>
        <w:t>Specifications of the body</w:t>
      </w:r>
      <w:r>
        <w:rPr>
          <w:lang w:val="en-US"/>
        </w:rPr>
        <w:tab/>
      </w:r>
      <w:r>
        <w:rPr>
          <w:lang w:val="en-US"/>
        </w:rPr>
        <w:tab/>
      </w:r>
      <w:r w:rsidRPr="009F7F79">
        <w:rPr>
          <w:lang w:val="en-US"/>
        </w:rPr>
        <w:t>Top</w:t>
      </w:r>
    </w:p>
    <w:p w14:paraId="7A4E61BB" w14:textId="77777777" w:rsidR="003734D1" w:rsidRDefault="003734D1" w:rsidP="003734D1">
      <w:pPr>
        <w:pStyle w:val="SingleTxtG"/>
        <w:ind w:left="1854"/>
        <w:rPr>
          <w:lang w:val="en-US"/>
        </w:rPr>
      </w:pPr>
      <w:r w:rsidRPr="009F7F79">
        <w:rPr>
          <w:lang w:val="en-US"/>
        </w:rPr>
        <w:t xml:space="preserve">walls </w:t>
      </w:r>
      <w:r w:rsidRPr="009F7F79">
        <w:rPr>
          <w:vertAlign w:val="superscript"/>
          <w:lang w:val="en-US"/>
        </w:rPr>
        <w:t>a</w:t>
      </w:r>
      <w:r w:rsidRPr="009F7F79">
        <w:rPr>
          <w:lang w:val="en-US"/>
        </w:rPr>
        <w:tab/>
      </w:r>
      <w:r>
        <w:rPr>
          <w:lang w:val="en-US"/>
        </w:rPr>
        <w:tab/>
      </w:r>
      <w:r>
        <w:rPr>
          <w:lang w:val="en-US"/>
        </w:rPr>
        <w:tab/>
      </w:r>
      <w:r w:rsidRPr="009F7F79">
        <w:rPr>
          <w:lang w:val="en-US"/>
        </w:rPr>
        <w:t xml:space="preserve"> </w:t>
      </w:r>
      <w:r w:rsidRPr="009F7F79">
        <w:rPr>
          <w:lang w:val="en-US"/>
        </w:rPr>
        <w:tab/>
      </w:r>
      <w:r>
        <w:rPr>
          <w:lang w:val="en-US"/>
        </w:rPr>
        <w:tab/>
      </w:r>
      <w:r w:rsidRPr="009F7F79">
        <w:rPr>
          <w:lang w:val="en-US"/>
        </w:rPr>
        <w:t>Bottom</w:t>
      </w:r>
    </w:p>
    <w:p w14:paraId="2C082A7C" w14:textId="77777777" w:rsidR="003734D1" w:rsidRPr="009F7F79" w:rsidRDefault="003734D1" w:rsidP="003734D1">
      <w:pPr>
        <w:pStyle w:val="SingleTxtG"/>
        <w:ind w:left="3555" w:firstLine="414"/>
        <w:rPr>
          <w:lang w:val="en-US"/>
        </w:rPr>
      </w:pPr>
      <w:r w:rsidRPr="009F7F79">
        <w:rPr>
          <w:lang w:val="en-US"/>
        </w:rPr>
        <w:t xml:space="preserve"> </w:t>
      </w:r>
      <w:r w:rsidRPr="009F7F79">
        <w:rPr>
          <w:lang w:val="en-US"/>
        </w:rPr>
        <w:tab/>
        <w:t>Sides</w:t>
      </w:r>
      <w:r w:rsidRPr="009F7F79">
        <w:rPr>
          <w:lang w:val="en-US"/>
        </w:rPr>
        <w:tab/>
        <w:t xml:space="preserve"> </w:t>
      </w:r>
    </w:p>
    <w:p w14:paraId="5052B216" w14:textId="77777777" w:rsidR="003734D1" w:rsidRDefault="003734D1" w:rsidP="003734D1">
      <w:pPr>
        <w:pStyle w:val="SingleTxtG"/>
        <w:ind w:left="1854"/>
        <w:rPr>
          <w:lang w:val="en-US"/>
        </w:rPr>
      </w:pPr>
      <w:r w:rsidRPr="009F7F79">
        <w:rPr>
          <w:lang w:val="en-US"/>
        </w:rPr>
        <w:t>Structural peculiarities of</w:t>
      </w:r>
      <w:r>
        <w:rPr>
          <w:lang w:val="en-US"/>
        </w:rPr>
        <w:tab/>
      </w:r>
      <w:r>
        <w:rPr>
          <w:lang w:val="en-US"/>
        </w:rPr>
        <w:tab/>
      </w:r>
      <w:r w:rsidRPr="009F7F79">
        <w:rPr>
          <w:lang w:val="en-US"/>
        </w:rPr>
        <w:t>Number</w:t>
      </w:r>
      <w:r>
        <w:rPr>
          <w:lang w:val="en-US"/>
        </w:rPr>
        <w:t xml:space="preserve"> </w:t>
      </w:r>
      <w:r w:rsidRPr="009F7F79">
        <w:rPr>
          <w:lang w:val="en-US"/>
        </w:rPr>
        <w:t>of doors</w:t>
      </w:r>
    </w:p>
    <w:p w14:paraId="0F86C412" w14:textId="77777777" w:rsidR="003734D1" w:rsidRPr="009F7F79" w:rsidRDefault="003734D1" w:rsidP="003734D1">
      <w:pPr>
        <w:pStyle w:val="SingleTxtG"/>
        <w:ind w:left="1854"/>
        <w:rPr>
          <w:lang w:val="en-US"/>
        </w:rPr>
      </w:pPr>
      <w:r w:rsidRPr="009F7F79">
        <w:rPr>
          <w:lang w:val="en-US"/>
        </w:rPr>
        <w:t>body</w:t>
      </w:r>
      <w:r w:rsidRPr="009F7F79">
        <w:rPr>
          <w:lang w:val="en-US"/>
        </w:rPr>
        <w:tab/>
      </w:r>
      <w:r w:rsidRPr="009F7F79">
        <w:rPr>
          <w:lang w:val="en-US"/>
        </w:rPr>
        <w:tab/>
        <w:t xml:space="preserve"> </w:t>
      </w:r>
      <w:r>
        <w:rPr>
          <w:lang w:val="en-US"/>
        </w:rPr>
        <w:tab/>
      </w:r>
      <w:r>
        <w:rPr>
          <w:lang w:val="en-US"/>
        </w:rPr>
        <w:tab/>
      </w:r>
      <w:r>
        <w:rPr>
          <w:lang w:val="en-US"/>
        </w:rPr>
        <w:tab/>
      </w:r>
      <w:r w:rsidRPr="009F7F79">
        <w:rPr>
          <w:lang w:val="en-US"/>
        </w:rPr>
        <w:t>Number</w:t>
      </w:r>
      <w:r>
        <w:rPr>
          <w:lang w:val="en-US"/>
        </w:rPr>
        <w:t xml:space="preserve"> </w:t>
      </w:r>
      <w:r w:rsidRPr="009F7F79">
        <w:rPr>
          <w:lang w:val="en-US"/>
        </w:rPr>
        <w:t xml:space="preserve">of vents  </w:t>
      </w:r>
    </w:p>
    <w:p w14:paraId="401CA45B" w14:textId="77777777" w:rsidR="003734D1" w:rsidRPr="009F7F79" w:rsidRDefault="003734D1" w:rsidP="003734D1">
      <w:pPr>
        <w:pStyle w:val="SingleTxtG"/>
        <w:ind w:left="4524"/>
        <w:rPr>
          <w:lang w:val="en-US"/>
        </w:rPr>
      </w:pPr>
      <w:r w:rsidRPr="009F7F79">
        <w:rPr>
          <w:lang w:val="en-US"/>
        </w:rPr>
        <w:t>Number</w:t>
      </w:r>
      <w:r>
        <w:rPr>
          <w:lang w:val="en-US"/>
        </w:rPr>
        <w:t xml:space="preserve"> </w:t>
      </w:r>
      <w:r w:rsidRPr="009F7F79">
        <w:rPr>
          <w:lang w:val="en-US"/>
        </w:rPr>
        <w:t>of ice-loading apertures</w:t>
      </w:r>
    </w:p>
    <w:p w14:paraId="25DA0B48" w14:textId="77777777" w:rsidR="003734D1" w:rsidRDefault="003734D1" w:rsidP="003734D1">
      <w:pPr>
        <w:pStyle w:val="SingleTxtG"/>
        <w:ind w:left="1854"/>
        <w:rPr>
          <w:lang w:val="en-US"/>
        </w:rPr>
      </w:pPr>
      <w:r w:rsidRPr="009F7F79">
        <w:rPr>
          <w:lang w:val="en-US"/>
        </w:rPr>
        <w:t>Accessories</w:t>
      </w:r>
      <w:r>
        <w:rPr>
          <w:lang w:val="en-US"/>
        </w:rPr>
        <w:t xml:space="preserve"> </w:t>
      </w:r>
      <w:r w:rsidRPr="009F7F79">
        <w:rPr>
          <w:vertAlign w:val="superscript"/>
          <w:lang w:val="en-US"/>
        </w:rPr>
        <w:t>b</w:t>
      </w:r>
      <w:r w:rsidRPr="009F7F79">
        <w:rPr>
          <w:lang w:val="en-US"/>
        </w:rPr>
        <w:tab/>
      </w:r>
      <w:r>
        <w:rPr>
          <w:lang w:val="en-US"/>
        </w:rPr>
        <w:tab/>
      </w:r>
      <w:r>
        <w:rPr>
          <w:lang w:val="en-US"/>
        </w:rPr>
        <w:tab/>
      </w:r>
      <w:r w:rsidRPr="009F7F79">
        <w:rPr>
          <w:lang w:val="en-US"/>
        </w:rPr>
        <w:t>Number and type</w:t>
      </w:r>
    </w:p>
    <w:p w14:paraId="38EF82ED" w14:textId="77777777" w:rsidR="003734D1" w:rsidRPr="00105493" w:rsidRDefault="003734D1" w:rsidP="003734D1">
      <w:pPr>
        <w:pStyle w:val="SingleTxtG"/>
        <w:ind w:left="1985"/>
        <w:rPr>
          <w:i/>
          <w:iCs/>
          <w:lang w:val="en-US"/>
        </w:rPr>
      </w:pPr>
      <w:r w:rsidRPr="00105493">
        <w:rPr>
          <w:i/>
          <w:iCs/>
          <w:vertAlign w:val="superscript"/>
          <w:lang w:val="en-US"/>
        </w:rPr>
        <w:t>a</w:t>
      </w:r>
      <w:r w:rsidRPr="00105493">
        <w:rPr>
          <w:i/>
          <w:iCs/>
          <w:lang w:val="en-US"/>
        </w:rPr>
        <w:t xml:space="preserve"> Nature and thickness of the main materials and thickness of panels constituting the body </w:t>
      </w:r>
      <w:proofErr w:type="gramStart"/>
      <w:r w:rsidRPr="00105493">
        <w:rPr>
          <w:i/>
          <w:iCs/>
          <w:lang w:val="en-US"/>
        </w:rPr>
        <w:t>walls</w:t>
      </w:r>
      <w:proofErr w:type="gramEnd"/>
    </w:p>
    <w:p w14:paraId="577E99A9" w14:textId="77777777" w:rsidR="003734D1" w:rsidRPr="00105493" w:rsidRDefault="003734D1" w:rsidP="003734D1">
      <w:pPr>
        <w:pStyle w:val="SingleTxtG"/>
        <w:ind w:left="1985"/>
        <w:rPr>
          <w:i/>
          <w:iCs/>
          <w:lang w:val="en-US"/>
        </w:rPr>
      </w:pPr>
      <w:r w:rsidRPr="00105493">
        <w:rPr>
          <w:i/>
          <w:iCs/>
          <w:vertAlign w:val="superscript"/>
          <w:lang w:val="en-US"/>
        </w:rPr>
        <w:t>b</w:t>
      </w:r>
      <w:r w:rsidRPr="00105493">
        <w:rPr>
          <w:i/>
          <w:iCs/>
          <w:lang w:val="en-US"/>
        </w:rPr>
        <w:t xml:space="preserve"> Accessories that can have an impact on K coefficient</w:t>
      </w:r>
    </w:p>
    <w:p w14:paraId="2ED9C0E3" w14:textId="202516DF" w:rsidR="003734D1" w:rsidRDefault="003734D1" w:rsidP="003734D1">
      <w:pPr>
        <w:pStyle w:val="SingleTxtG"/>
        <w:ind w:left="1843"/>
        <w:rPr>
          <w:lang w:val="en-US"/>
        </w:rPr>
      </w:pPr>
      <w:r w:rsidRPr="00105493">
        <w:rPr>
          <w:b/>
          <w:bCs/>
          <w:i/>
          <w:iCs/>
        </w:rPr>
        <w:t>Note:</w:t>
      </w:r>
      <w:r w:rsidRPr="00105493">
        <w:rPr>
          <w:i/>
          <w:iCs/>
        </w:rPr>
        <w:t xml:space="preserve"> Each component or characteristic should be understood </w:t>
      </w:r>
      <w:r w:rsidR="00C92B0C">
        <w:rPr>
          <w:i/>
          <w:iCs/>
        </w:rPr>
        <w:t>‘</w:t>
      </w:r>
      <w:r w:rsidRPr="00105493">
        <w:rPr>
          <w:i/>
          <w:iCs/>
        </w:rPr>
        <w:t>if applicable</w:t>
      </w:r>
      <w:r w:rsidR="00C92B0C">
        <w:rPr>
          <w:i/>
          <w:iCs/>
        </w:rPr>
        <w:t>’</w:t>
      </w:r>
      <w:r w:rsidRPr="00105493">
        <w:rPr>
          <w:i/>
          <w:iCs/>
        </w:rPr>
        <w:t>.</w:t>
      </w:r>
      <w:r w:rsidR="00006D49">
        <w:rPr>
          <w:i/>
          <w:iCs/>
        </w:rPr>
        <w:t>"</w:t>
      </w:r>
    </w:p>
    <w:p w14:paraId="72C98BCB" w14:textId="77777777" w:rsidR="003734D1" w:rsidRDefault="003734D1" w:rsidP="003734D1">
      <w:pPr>
        <w:pStyle w:val="SingleTxtG"/>
        <w:rPr>
          <w:i/>
          <w:iCs/>
          <w:w w:val="103"/>
          <w:lang w:eastAsia="zh-CN"/>
        </w:rPr>
      </w:pPr>
      <w:r w:rsidRPr="0041235A">
        <w:rPr>
          <w:i/>
          <w:iCs/>
          <w:w w:val="103"/>
          <w:lang w:eastAsia="zh-CN"/>
        </w:rPr>
        <w:t>(Reference document</w:t>
      </w:r>
      <w:r>
        <w:rPr>
          <w:i/>
          <w:iCs/>
          <w:w w:val="103"/>
          <w:lang w:eastAsia="zh-CN"/>
        </w:rPr>
        <w:t>s</w:t>
      </w:r>
      <w:r w:rsidRPr="0041235A">
        <w:rPr>
          <w:i/>
          <w:iCs/>
          <w:w w:val="103"/>
          <w:lang w:eastAsia="zh-CN"/>
        </w:rPr>
        <w:t>: ECE/TRANS/WP.11/2023/</w:t>
      </w:r>
      <w:r>
        <w:rPr>
          <w:i/>
          <w:iCs/>
          <w:w w:val="103"/>
          <w:lang w:eastAsia="zh-CN"/>
        </w:rPr>
        <w:t>12</w:t>
      </w:r>
      <w:r w:rsidRPr="0041235A">
        <w:rPr>
          <w:i/>
          <w:iCs/>
          <w:w w:val="103"/>
          <w:lang w:eastAsia="zh-CN"/>
        </w:rPr>
        <w:t>)</w:t>
      </w:r>
    </w:p>
    <w:p w14:paraId="3904E7F4" w14:textId="45AC8A14" w:rsidR="003734D1" w:rsidRDefault="003734D1" w:rsidP="003734D1">
      <w:pPr>
        <w:pStyle w:val="H23G"/>
        <w:rPr>
          <w:bCs/>
        </w:rPr>
      </w:pPr>
      <w:r>
        <w:rPr>
          <w:b w:val="0"/>
        </w:rPr>
        <w:tab/>
      </w:r>
      <w:r>
        <w:rPr>
          <w:bCs/>
        </w:rPr>
        <w:t>9</w:t>
      </w:r>
      <w:r w:rsidRPr="00BB6EED">
        <w:rPr>
          <w:bCs/>
        </w:rPr>
        <w:t>.</w:t>
      </w:r>
      <w:r w:rsidRPr="00BB6EED">
        <w:rPr>
          <w:bCs/>
        </w:rPr>
        <w:tab/>
        <w:t>Annex 1, Appendix 2, paragraph 8, MODEL No. 12</w:t>
      </w:r>
    </w:p>
    <w:p w14:paraId="0C434333" w14:textId="77777777" w:rsidR="003734D1" w:rsidRDefault="003734D1" w:rsidP="003734D1">
      <w:pPr>
        <w:pStyle w:val="SingleTxtG"/>
        <w:rPr>
          <w:lang w:val="en-US"/>
        </w:rPr>
      </w:pPr>
      <w:r>
        <w:rPr>
          <w:lang w:val="en-US"/>
        </w:rPr>
        <w:t>Add the following lists at the end:</w:t>
      </w:r>
    </w:p>
    <w:p w14:paraId="0B75C0EA" w14:textId="44C7E353" w:rsidR="003734D1" w:rsidRDefault="002159AA" w:rsidP="003734D1">
      <w:pPr>
        <w:pStyle w:val="Bullet1G"/>
        <w:numPr>
          <w:ilvl w:val="0"/>
          <w:numId w:val="0"/>
        </w:numPr>
        <w:suppressAutoHyphens/>
        <w:ind w:left="1276"/>
      </w:pPr>
      <w:r>
        <w:rPr>
          <w:lang w:val="en-US"/>
        </w:rPr>
        <w:t>"</w:t>
      </w:r>
      <w:r w:rsidR="003734D1" w:rsidRPr="00CC206B">
        <w:rPr>
          <w:b/>
          <w:bCs/>
        </w:rPr>
        <w:t xml:space="preserve">List of major components related to Power </w:t>
      </w:r>
      <w:proofErr w:type="gramStart"/>
      <w:r w:rsidR="003734D1" w:rsidRPr="00CC206B">
        <w:rPr>
          <w:b/>
          <w:bCs/>
        </w:rPr>
        <w:t>source</w:t>
      </w:r>
      <w:proofErr w:type="gramEnd"/>
      <w:r w:rsidR="003734D1">
        <w:t xml:space="preserve"> </w:t>
      </w:r>
    </w:p>
    <w:p w14:paraId="3F768C20" w14:textId="77777777" w:rsidR="003734D1" w:rsidRDefault="003734D1" w:rsidP="003734D1">
      <w:pPr>
        <w:pStyle w:val="SingleTxtG"/>
        <w:ind w:left="1701"/>
      </w:pPr>
      <w:r>
        <w:t xml:space="preserve">Compressor drive </w:t>
      </w:r>
    </w:p>
    <w:p w14:paraId="41EA8D87" w14:textId="77777777" w:rsidR="003734D1" w:rsidRDefault="003734D1" w:rsidP="003734D1">
      <w:pPr>
        <w:pStyle w:val="SingleTxtG"/>
        <w:ind w:left="1854"/>
      </w:pPr>
      <w:r>
        <w:t>Electrical Power source</w:t>
      </w:r>
      <w:r>
        <w:tab/>
      </w:r>
      <w:r>
        <w:tab/>
        <w:t>Type</w:t>
      </w:r>
      <w:r>
        <w:tab/>
        <w:t xml:space="preserve"> </w:t>
      </w:r>
    </w:p>
    <w:p w14:paraId="5E444F14" w14:textId="77777777" w:rsidR="003734D1" w:rsidRDefault="003734D1" w:rsidP="003734D1">
      <w:pPr>
        <w:pStyle w:val="SingleTxtG"/>
        <w:ind w:left="1854"/>
      </w:pPr>
      <w:r>
        <w:tab/>
      </w:r>
      <w:r>
        <w:tab/>
      </w:r>
      <w:r>
        <w:tab/>
      </w:r>
      <w:r>
        <w:tab/>
      </w:r>
      <w:r>
        <w:tab/>
        <w:t>Current type (AC/DC)</w:t>
      </w:r>
      <w:r>
        <w:tab/>
        <w:t xml:space="preserve"> </w:t>
      </w:r>
    </w:p>
    <w:p w14:paraId="7D9AA6B3" w14:textId="77777777" w:rsidR="003734D1" w:rsidRDefault="003734D1" w:rsidP="003734D1">
      <w:pPr>
        <w:pStyle w:val="SingleTxtG"/>
        <w:ind w:left="1854"/>
      </w:pPr>
      <w:r>
        <w:tab/>
      </w:r>
      <w:r>
        <w:tab/>
      </w:r>
      <w:r>
        <w:tab/>
      </w:r>
      <w:r>
        <w:tab/>
      </w:r>
      <w:r>
        <w:tab/>
        <w:t>Nominal output power</w:t>
      </w:r>
      <w:r>
        <w:tab/>
      </w:r>
      <w:r>
        <w:tab/>
        <w:t>kW</w:t>
      </w:r>
    </w:p>
    <w:p w14:paraId="30FA2B92" w14:textId="77777777" w:rsidR="003734D1" w:rsidRDefault="003734D1" w:rsidP="003734D1">
      <w:pPr>
        <w:pStyle w:val="SingleTxtG"/>
        <w:ind w:left="1854"/>
      </w:pPr>
      <w:r>
        <w:tab/>
      </w:r>
      <w:r>
        <w:tab/>
      </w:r>
      <w:r>
        <w:tab/>
      </w:r>
      <w:r>
        <w:tab/>
      </w:r>
      <w:r>
        <w:tab/>
        <w:t>Nominal speed (if applicable)</w:t>
      </w:r>
      <w:r>
        <w:tab/>
        <w:t>rpm</w:t>
      </w:r>
    </w:p>
    <w:p w14:paraId="08665456" w14:textId="77777777" w:rsidR="003734D1" w:rsidRDefault="003734D1" w:rsidP="003734D1">
      <w:pPr>
        <w:pStyle w:val="SingleTxtG"/>
        <w:ind w:left="1854"/>
      </w:pPr>
      <w:r>
        <w:tab/>
      </w:r>
      <w:r>
        <w:tab/>
      </w:r>
      <w:r>
        <w:tab/>
      </w:r>
      <w:r>
        <w:tab/>
      </w:r>
      <w:r>
        <w:tab/>
        <w:t>Supply voltage</w:t>
      </w:r>
      <w:r>
        <w:tab/>
      </w:r>
      <w:r>
        <w:tab/>
      </w:r>
      <w:r>
        <w:tab/>
        <w:t>V</w:t>
      </w:r>
    </w:p>
    <w:p w14:paraId="58BE27FB" w14:textId="77777777" w:rsidR="003734D1" w:rsidRDefault="003734D1" w:rsidP="003734D1">
      <w:pPr>
        <w:pStyle w:val="SingleTxtG"/>
        <w:ind w:left="1854"/>
      </w:pPr>
      <w:r>
        <w:tab/>
      </w:r>
      <w:r>
        <w:tab/>
      </w:r>
      <w:r>
        <w:tab/>
      </w:r>
      <w:r>
        <w:tab/>
      </w:r>
      <w:r>
        <w:tab/>
        <w:t>Supply frequency</w:t>
      </w:r>
      <w:r>
        <w:tab/>
      </w:r>
      <w:r>
        <w:tab/>
      </w:r>
      <w:r>
        <w:tab/>
        <w:t>Hz</w:t>
      </w:r>
    </w:p>
    <w:p w14:paraId="12109FA1" w14:textId="77777777" w:rsidR="003734D1" w:rsidRDefault="003734D1" w:rsidP="003734D1">
      <w:pPr>
        <w:pStyle w:val="SingleTxtG"/>
        <w:ind w:left="1854"/>
      </w:pPr>
      <w:r>
        <w:t>Internal Combustion Engine</w:t>
      </w:r>
      <w:r>
        <w:tab/>
        <w:t>Type</w:t>
      </w:r>
      <w:r>
        <w:tab/>
        <w:t xml:space="preserve"> </w:t>
      </w:r>
    </w:p>
    <w:p w14:paraId="22C895FE" w14:textId="77777777" w:rsidR="003734D1" w:rsidRDefault="003734D1" w:rsidP="003734D1">
      <w:pPr>
        <w:pStyle w:val="SingleTxtG"/>
        <w:ind w:left="1854"/>
      </w:pPr>
      <w:r>
        <w:tab/>
      </w:r>
      <w:r>
        <w:tab/>
      </w:r>
      <w:r>
        <w:tab/>
      </w:r>
      <w:r>
        <w:tab/>
      </w:r>
      <w:r>
        <w:tab/>
        <w:t>Number of cylinders</w:t>
      </w:r>
      <w:r>
        <w:tab/>
        <w:t xml:space="preserve"> </w:t>
      </w:r>
    </w:p>
    <w:p w14:paraId="042EF516" w14:textId="77777777" w:rsidR="003734D1" w:rsidRDefault="003734D1" w:rsidP="003734D1">
      <w:pPr>
        <w:pStyle w:val="SingleTxtG"/>
        <w:ind w:left="1854"/>
      </w:pPr>
      <w:r>
        <w:tab/>
      </w:r>
      <w:r>
        <w:tab/>
      </w:r>
      <w:r>
        <w:tab/>
      </w:r>
      <w:r>
        <w:tab/>
      </w:r>
      <w:r>
        <w:tab/>
        <w:t>Cubic capacity</w:t>
      </w:r>
      <w:r>
        <w:tab/>
      </w:r>
      <w:r>
        <w:tab/>
      </w:r>
      <w:r>
        <w:tab/>
        <w:t>cc</w:t>
      </w:r>
    </w:p>
    <w:p w14:paraId="187D0F3B" w14:textId="77777777" w:rsidR="003734D1" w:rsidRDefault="003734D1" w:rsidP="003734D1">
      <w:pPr>
        <w:pStyle w:val="SingleTxtG"/>
        <w:ind w:left="1854"/>
      </w:pPr>
      <w:r>
        <w:tab/>
      </w:r>
      <w:r>
        <w:tab/>
      </w:r>
      <w:r>
        <w:tab/>
      </w:r>
      <w:r>
        <w:tab/>
      </w:r>
      <w:r>
        <w:tab/>
        <w:t>Nominal output power</w:t>
      </w:r>
      <w:r>
        <w:tab/>
      </w:r>
      <w:r>
        <w:tab/>
        <w:t>kW</w:t>
      </w:r>
    </w:p>
    <w:p w14:paraId="10BE13CB" w14:textId="77777777" w:rsidR="003734D1" w:rsidRDefault="003734D1" w:rsidP="003734D1">
      <w:pPr>
        <w:pStyle w:val="SingleTxtG"/>
        <w:ind w:left="1854"/>
      </w:pPr>
      <w:r>
        <w:tab/>
      </w:r>
      <w:r>
        <w:tab/>
      </w:r>
      <w:r>
        <w:tab/>
      </w:r>
      <w:r>
        <w:tab/>
      </w:r>
      <w:r>
        <w:tab/>
        <w:t>Nominal speed</w:t>
      </w:r>
      <w:r>
        <w:tab/>
      </w:r>
      <w:r>
        <w:tab/>
      </w:r>
      <w:r>
        <w:tab/>
        <w:t>rpm</w:t>
      </w:r>
    </w:p>
    <w:p w14:paraId="6709FF8D" w14:textId="77777777" w:rsidR="003734D1" w:rsidRDefault="003734D1" w:rsidP="003734D1">
      <w:pPr>
        <w:pStyle w:val="SingleTxtG"/>
        <w:ind w:left="1854"/>
      </w:pPr>
      <w:r>
        <w:lastRenderedPageBreak/>
        <w:tab/>
      </w:r>
      <w:r>
        <w:tab/>
      </w:r>
      <w:r>
        <w:tab/>
      </w:r>
      <w:r>
        <w:tab/>
      </w:r>
      <w:r>
        <w:tab/>
        <w:t>Fuel</w:t>
      </w:r>
      <w:r>
        <w:tab/>
        <w:t xml:space="preserve"> </w:t>
      </w:r>
    </w:p>
    <w:p w14:paraId="059DB5E5" w14:textId="77777777" w:rsidR="003734D1" w:rsidRDefault="003734D1" w:rsidP="003734D1">
      <w:pPr>
        <w:pStyle w:val="SingleTxtG"/>
        <w:ind w:left="1854"/>
      </w:pPr>
      <w:r>
        <w:t>Hydraulic motor</w:t>
      </w:r>
      <w:r>
        <w:tab/>
      </w:r>
      <w:r>
        <w:tab/>
      </w:r>
      <w:r>
        <w:tab/>
        <w:t>Type</w:t>
      </w:r>
      <w:r>
        <w:tab/>
        <w:t xml:space="preserve"> </w:t>
      </w:r>
    </w:p>
    <w:p w14:paraId="0E57B45D" w14:textId="77777777" w:rsidR="003734D1" w:rsidRDefault="003734D1" w:rsidP="003734D1">
      <w:pPr>
        <w:pStyle w:val="SingleTxtG"/>
        <w:ind w:left="3555" w:firstLine="414"/>
      </w:pPr>
      <w:r>
        <w:t>Method of drive</w:t>
      </w:r>
      <w:r>
        <w:tab/>
        <w:t xml:space="preserve"> </w:t>
      </w:r>
    </w:p>
    <w:p w14:paraId="55AF00AB" w14:textId="77777777" w:rsidR="003734D1" w:rsidRDefault="003734D1" w:rsidP="003734D1">
      <w:pPr>
        <w:pStyle w:val="SingleTxtG"/>
        <w:ind w:left="1854"/>
      </w:pPr>
      <w:r>
        <w:t>Other mechanical</w:t>
      </w:r>
      <w:r>
        <w:tab/>
      </w:r>
      <w:r>
        <w:tab/>
        <w:t>Nominal speed</w:t>
      </w:r>
      <w:r>
        <w:tab/>
      </w:r>
      <w:r>
        <w:tab/>
      </w:r>
      <w:r>
        <w:tab/>
        <w:t>rpm</w:t>
      </w:r>
    </w:p>
    <w:p w14:paraId="35B97265" w14:textId="77777777" w:rsidR="003734D1" w:rsidRDefault="003734D1" w:rsidP="003734D1">
      <w:pPr>
        <w:pStyle w:val="SingleTxtG"/>
        <w:ind w:left="1854"/>
      </w:pPr>
      <w:r>
        <w:tab/>
      </w:r>
      <w:r>
        <w:tab/>
      </w:r>
      <w:r>
        <w:tab/>
      </w:r>
      <w:r>
        <w:tab/>
      </w:r>
      <w:r>
        <w:tab/>
        <w:t>Minimum speed</w:t>
      </w:r>
      <w:r>
        <w:tab/>
      </w:r>
      <w:r>
        <w:tab/>
      </w:r>
      <w:r>
        <w:tab/>
        <w:t>rpm</w:t>
      </w:r>
    </w:p>
    <w:p w14:paraId="2666511A" w14:textId="730F3711" w:rsidR="003734D1" w:rsidRPr="00105493" w:rsidRDefault="003734D1" w:rsidP="003734D1">
      <w:pPr>
        <w:pStyle w:val="SingleTxtG"/>
        <w:spacing w:after="240"/>
        <w:ind w:left="1843"/>
        <w:rPr>
          <w:i/>
          <w:iCs/>
        </w:rPr>
      </w:pPr>
      <w:r w:rsidRPr="00105493">
        <w:rPr>
          <w:b/>
          <w:bCs/>
          <w:i/>
          <w:iCs/>
        </w:rPr>
        <w:t>Note:</w:t>
      </w:r>
      <w:r w:rsidRPr="00105493">
        <w:rPr>
          <w:i/>
          <w:iCs/>
        </w:rPr>
        <w:t xml:space="preserve"> Each component or characteristic should be understood </w:t>
      </w:r>
      <w:r w:rsidR="00D162C5">
        <w:rPr>
          <w:i/>
          <w:iCs/>
        </w:rPr>
        <w:t>‘</w:t>
      </w:r>
      <w:r w:rsidRPr="00105493">
        <w:rPr>
          <w:i/>
          <w:iCs/>
        </w:rPr>
        <w:t>if applicable</w:t>
      </w:r>
      <w:r w:rsidR="00D162C5">
        <w:rPr>
          <w:i/>
          <w:iCs/>
        </w:rPr>
        <w:t>’</w:t>
      </w:r>
      <w:r w:rsidRPr="00105493">
        <w:rPr>
          <w:i/>
          <w:iCs/>
        </w:rPr>
        <w:t>.</w:t>
      </w:r>
    </w:p>
    <w:p w14:paraId="3E422611" w14:textId="77777777" w:rsidR="003734D1" w:rsidRPr="00CC206B" w:rsidRDefault="003734D1" w:rsidP="003734D1">
      <w:pPr>
        <w:pStyle w:val="Bullet1G"/>
        <w:numPr>
          <w:ilvl w:val="0"/>
          <w:numId w:val="0"/>
        </w:numPr>
        <w:suppressAutoHyphens/>
        <w:ind w:left="1276"/>
        <w:rPr>
          <w:b/>
          <w:bCs/>
        </w:rPr>
      </w:pPr>
      <w:r w:rsidRPr="00CC206B">
        <w:rPr>
          <w:b/>
          <w:bCs/>
        </w:rPr>
        <w:t xml:space="preserve">List of major components related to cold/heat production </w:t>
      </w:r>
      <w:r>
        <w:rPr>
          <w:b/>
          <w:bCs/>
        </w:rPr>
        <w:t>and</w:t>
      </w:r>
      <w:r w:rsidRPr="00CC206B">
        <w:rPr>
          <w:b/>
          <w:bCs/>
        </w:rPr>
        <w:t xml:space="preserve"> </w:t>
      </w:r>
      <w:proofErr w:type="gramStart"/>
      <w:r w:rsidRPr="00CC206B">
        <w:rPr>
          <w:b/>
          <w:bCs/>
        </w:rPr>
        <w:t>distribution</w:t>
      </w:r>
      <w:proofErr w:type="gramEnd"/>
    </w:p>
    <w:p w14:paraId="0ABB28EE" w14:textId="77777777" w:rsidR="003734D1" w:rsidRDefault="003734D1" w:rsidP="003734D1">
      <w:pPr>
        <w:ind w:left="1854"/>
      </w:pPr>
      <w:r>
        <w:t>Refrigerant</w:t>
      </w:r>
      <w:r>
        <w:tab/>
      </w:r>
      <w:r>
        <w:tab/>
      </w:r>
      <w:r>
        <w:tab/>
      </w:r>
      <w:proofErr w:type="spellStart"/>
      <w:r>
        <w:t>Refrigerant</w:t>
      </w:r>
      <w:proofErr w:type="spellEnd"/>
      <w:r>
        <w:t xml:space="preserve"> fluid </w:t>
      </w:r>
    </w:p>
    <w:p w14:paraId="491DE244" w14:textId="77777777" w:rsidR="003734D1" w:rsidRDefault="003734D1" w:rsidP="003734D1">
      <w:pPr>
        <w:pStyle w:val="SingleTxtG"/>
        <w:ind w:left="1854"/>
      </w:pPr>
      <w:r>
        <w:tab/>
      </w:r>
      <w:r>
        <w:tab/>
      </w:r>
      <w:r>
        <w:tab/>
      </w:r>
      <w:r>
        <w:tab/>
      </w:r>
      <w:r>
        <w:tab/>
        <w:t>Refrigerant charge</w:t>
      </w:r>
      <w:r>
        <w:tab/>
      </w:r>
      <w:r>
        <w:tab/>
      </w:r>
      <w:r>
        <w:tab/>
        <w:t>kg</w:t>
      </w:r>
    </w:p>
    <w:p w14:paraId="1A7E2033" w14:textId="77777777" w:rsidR="003734D1" w:rsidRDefault="003734D1" w:rsidP="003734D1">
      <w:pPr>
        <w:pStyle w:val="SingleTxtG"/>
        <w:ind w:left="1854"/>
      </w:pPr>
      <w:r>
        <w:t>Compressor</w:t>
      </w:r>
      <w:r>
        <w:tab/>
      </w:r>
      <w:r>
        <w:tab/>
      </w:r>
      <w:r>
        <w:tab/>
      </w:r>
      <w:r>
        <w:tab/>
        <w:t>Type</w:t>
      </w:r>
    </w:p>
    <w:p w14:paraId="73A601AA" w14:textId="77777777" w:rsidR="003734D1" w:rsidRDefault="003734D1" w:rsidP="003734D1">
      <w:pPr>
        <w:pStyle w:val="SingleTxtG"/>
        <w:ind w:left="1854"/>
      </w:pPr>
      <w:r>
        <w:tab/>
      </w:r>
      <w:r>
        <w:tab/>
      </w:r>
      <w:r>
        <w:tab/>
      </w:r>
      <w:r>
        <w:tab/>
      </w:r>
      <w:r>
        <w:tab/>
        <w:t>Number of cylinders</w:t>
      </w:r>
    </w:p>
    <w:p w14:paraId="429ADF5A" w14:textId="77777777" w:rsidR="003734D1" w:rsidRDefault="003734D1" w:rsidP="003734D1">
      <w:pPr>
        <w:pStyle w:val="SingleTxtG"/>
        <w:ind w:left="1854"/>
      </w:pPr>
      <w:r>
        <w:tab/>
      </w:r>
      <w:r>
        <w:tab/>
      </w:r>
      <w:r>
        <w:tab/>
      </w:r>
      <w:r>
        <w:tab/>
      </w:r>
      <w:r>
        <w:tab/>
        <w:t>Cubic capacity</w:t>
      </w:r>
      <w:r>
        <w:tab/>
      </w:r>
      <w:r>
        <w:tab/>
      </w:r>
      <w:r>
        <w:tab/>
        <w:t>cc</w:t>
      </w:r>
    </w:p>
    <w:p w14:paraId="4A775EA1" w14:textId="77777777" w:rsidR="003734D1" w:rsidRDefault="003734D1" w:rsidP="003734D1">
      <w:pPr>
        <w:pStyle w:val="SingleTxtG"/>
        <w:ind w:left="1854"/>
      </w:pPr>
      <w:r>
        <w:tab/>
      </w:r>
      <w:r>
        <w:tab/>
      </w:r>
      <w:r>
        <w:tab/>
      </w:r>
      <w:r>
        <w:tab/>
      </w:r>
      <w:r>
        <w:tab/>
        <w:t>Nominal speed of rotation</w:t>
      </w:r>
      <w:r>
        <w:tab/>
      </w:r>
      <w:r>
        <w:tab/>
        <w:t>rpm</w:t>
      </w:r>
    </w:p>
    <w:p w14:paraId="607625A5" w14:textId="77777777" w:rsidR="003734D1" w:rsidRDefault="003734D1" w:rsidP="003734D1">
      <w:pPr>
        <w:pStyle w:val="SingleTxtG"/>
        <w:ind w:left="1854"/>
      </w:pPr>
      <w:r>
        <w:t xml:space="preserve">Heat exchangers </w:t>
      </w:r>
      <w:r>
        <w:tab/>
      </w:r>
      <w:r>
        <w:tab/>
      </w:r>
      <w:r>
        <w:tab/>
        <w:t>Type</w:t>
      </w:r>
    </w:p>
    <w:p w14:paraId="2F8F1F02" w14:textId="77777777" w:rsidR="003734D1" w:rsidRDefault="003734D1" w:rsidP="003734D1">
      <w:pPr>
        <w:pStyle w:val="SingleTxtG"/>
        <w:ind w:left="1854"/>
      </w:pPr>
      <w:r w:rsidRPr="009F7F79">
        <w:rPr>
          <w:i/>
          <w:iCs/>
        </w:rPr>
        <w:t>Condenser</w:t>
      </w:r>
      <w:r>
        <w:tab/>
      </w:r>
      <w:r>
        <w:tab/>
      </w:r>
      <w:r>
        <w:tab/>
      </w:r>
      <w:r>
        <w:tab/>
        <w:t>Number of tubes</w:t>
      </w:r>
    </w:p>
    <w:p w14:paraId="20A55111" w14:textId="77777777" w:rsidR="003734D1" w:rsidRDefault="003734D1" w:rsidP="003734D1">
      <w:pPr>
        <w:pStyle w:val="SingleTxtG"/>
        <w:ind w:left="1854"/>
      </w:pPr>
      <w:r w:rsidRPr="009F7F79">
        <w:rPr>
          <w:i/>
          <w:iCs/>
        </w:rPr>
        <w:t>Evaporator(s)</w:t>
      </w:r>
      <w:r>
        <w:tab/>
      </w:r>
      <w:r>
        <w:tab/>
        <w:t>Fin pitch</w:t>
      </w:r>
      <w:r>
        <w:tab/>
      </w:r>
      <w:r>
        <w:tab/>
      </w:r>
      <w:r>
        <w:tab/>
      </w:r>
      <w:r>
        <w:tab/>
        <w:t>mm</w:t>
      </w:r>
    </w:p>
    <w:p w14:paraId="0123BBA4" w14:textId="77777777" w:rsidR="003734D1" w:rsidRDefault="003734D1" w:rsidP="003734D1">
      <w:pPr>
        <w:pStyle w:val="SingleTxtG"/>
        <w:ind w:left="1854"/>
      </w:pPr>
      <w:r>
        <w:tab/>
      </w:r>
      <w:r>
        <w:tab/>
      </w:r>
      <w:r>
        <w:tab/>
      </w:r>
      <w:r>
        <w:tab/>
      </w:r>
      <w:r>
        <w:tab/>
        <w:t>Nature of tube</w:t>
      </w:r>
    </w:p>
    <w:p w14:paraId="52E23A79" w14:textId="77777777" w:rsidR="003734D1" w:rsidRDefault="003734D1" w:rsidP="003734D1">
      <w:pPr>
        <w:pStyle w:val="SingleTxtG"/>
        <w:ind w:left="1854"/>
      </w:pPr>
      <w:r>
        <w:tab/>
      </w:r>
      <w:r>
        <w:tab/>
      </w:r>
      <w:r>
        <w:tab/>
      </w:r>
      <w:r>
        <w:tab/>
      </w:r>
      <w:r>
        <w:tab/>
        <w:t>Diameter of tube</w:t>
      </w:r>
      <w:r>
        <w:tab/>
      </w:r>
      <w:r>
        <w:tab/>
      </w:r>
      <w:r>
        <w:tab/>
        <w:t>mm</w:t>
      </w:r>
    </w:p>
    <w:p w14:paraId="4BEA2121" w14:textId="77777777" w:rsidR="003734D1" w:rsidRDefault="003734D1" w:rsidP="003734D1">
      <w:pPr>
        <w:pStyle w:val="SingleTxtG"/>
        <w:ind w:left="1854"/>
      </w:pPr>
      <w:r>
        <w:tab/>
      </w:r>
      <w:r>
        <w:tab/>
      </w:r>
      <w:r>
        <w:tab/>
      </w:r>
      <w:r>
        <w:tab/>
      </w:r>
      <w:r>
        <w:tab/>
        <w:t>Exchange surface area</w:t>
      </w:r>
      <w:r>
        <w:tab/>
      </w:r>
      <w:r>
        <w:tab/>
        <w:t>m</w:t>
      </w:r>
      <w:r w:rsidRPr="00105493">
        <w:rPr>
          <w:vertAlign w:val="superscript"/>
        </w:rPr>
        <w:t>2</w:t>
      </w:r>
    </w:p>
    <w:p w14:paraId="7005C6E0" w14:textId="77777777" w:rsidR="003734D1" w:rsidRDefault="003734D1" w:rsidP="003734D1">
      <w:pPr>
        <w:pStyle w:val="SingleTxtG"/>
        <w:ind w:left="1854"/>
      </w:pPr>
      <w:r>
        <w:tab/>
      </w:r>
      <w:r>
        <w:tab/>
      </w:r>
      <w:r>
        <w:tab/>
      </w:r>
      <w:r>
        <w:tab/>
      </w:r>
      <w:r>
        <w:tab/>
        <w:t>Frontal area</w:t>
      </w:r>
      <w:r>
        <w:tab/>
      </w:r>
      <w:r>
        <w:tab/>
      </w:r>
      <w:r>
        <w:tab/>
      </w:r>
      <w:r>
        <w:tab/>
        <w:t>m</w:t>
      </w:r>
      <w:r w:rsidRPr="00105493">
        <w:rPr>
          <w:vertAlign w:val="superscript"/>
        </w:rPr>
        <w:t>2</w:t>
      </w:r>
    </w:p>
    <w:p w14:paraId="28AB820D" w14:textId="77777777" w:rsidR="003734D1" w:rsidRDefault="003734D1" w:rsidP="003734D1">
      <w:pPr>
        <w:pStyle w:val="SingleTxtG"/>
        <w:ind w:left="1854"/>
      </w:pPr>
      <w:r>
        <w:t>Heat exchangers Fans</w:t>
      </w:r>
      <w:r>
        <w:tab/>
        <w:t>Number of fans</w:t>
      </w:r>
    </w:p>
    <w:p w14:paraId="56A8FE2B" w14:textId="77777777" w:rsidR="003734D1" w:rsidRDefault="003734D1" w:rsidP="003734D1">
      <w:pPr>
        <w:pStyle w:val="SingleTxtG"/>
        <w:ind w:left="1854"/>
      </w:pPr>
      <w:r w:rsidRPr="009F7F79">
        <w:rPr>
          <w:i/>
          <w:iCs/>
        </w:rPr>
        <w:t>Condenser</w:t>
      </w:r>
      <w:r>
        <w:tab/>
      </w:r>
      <w:r>
        <w:tab/>
      </w:r>
      <w:r>
        <w:tab/>
      </w:r>
      <w:r>
        <w:tab/>
        <w:t>Fan type (axial/radial)</w:t>
      </w:r>
    </w:p>
    <w:p w14:paraId="2C2BA278" w14:textId="77777777" w:rsidR="003734D1" w:rsidRDefault="003734D1" w:rsidP="003734D1">
      <w:pPr>
        <w:pStyle w:val="SingleTxtG"/>
        <w:ind w:left="1854"/>
      </w:pPr>
      <w:r w:rsidRPr="009F7F79">
        <w:rPr>
          <w:i/>
          <w:iCs/>
        </w:rPr>
        <w:t>Evaporator(s)</w:t>
      </w:r>
      <w:r>
        <w:tab/>
      </w:r>
      <w:r>
        <w:tab/>
        <w:t>Number of blades per fan</w:t>
      </w:r>
    </w:p>
    <w:p w14:paraId="2104B02F" w14:textId="77777777" w:rsidR="003734D1" w:rsidRDefault="003734D1" w:rsidP="003734D1">
      <w:pPr>
        <w:pStyle w:val="SingleTxtG"/>
        <w:ind w:left="1854"/>
      </w:pPr>
      <w:r>
        <w:tab/>
      </w:r>
      <w:r>
        <w:tab/>
      </w:r>
      <w:r>
        <w:tab/>
      </w:r>
      <w:r>
        <w:tab/>
      </w:r>
      <w:r>
        <w:tab/>
        <w:t>Diameter of fan</w:t>
      </w:r>
      <w:r>
        <w:tab/>
      </w:r>
      <w:r>
        <w:tab/>
      </w:r>
      <w:r>
        <w:tab/>
        <w:t>mm</w:t>
      </w:r>
    </w:p>
    <w:p w14:paraId="4BE7C5B4" w14:textId="77777777" w:rsidR="003734D1" w:rsidRDefault="003734D1" w:rsidP="003734D1">
      <w:pPr>
        <w:pStyle w:val="SingleTxtG"/>
        <w:ind w:left="1854"/>
      </w:pPr>
      <w:r>
        <w:tab/>
      </w:r>
      <w:r>
        <w:tab/>
      </w:r>
      <w:r>
        <w:tab/>
      </w:r>
      <w:r>
        <w:tab/>
      </w:r>
      <w:r>
        <w:tab/>
        <w:t>Nominal power</w:t>
      </w:r>
      <w:r>
        <w:tab/>
      </w:r>
      <w:r>
        <w:tab/>
      </w:r>
      <w:r>
        <w:tab/>
        <w:t>W</w:t>
      </w:r>
    </w:p>
    <w:p w14:paraId="159860F0" w14:textId="77777777" w:rsidR="003734D1" w:rsidRDefault="003734D1" w:rsidP="003734D1">
      <w:pPr>
        <w:pStyle w:val="SingleTxtG"/>
        <w:ind w:left="3555" w:firstLine="414"/>
      </w:pPr>
      <w:r>
        <w:tab/>
        <w:t>Total nominal output at defined</w:t>
      </w:r>
      <w:r>
        <w:tab/>
        <w:t>(m</w:t>
      </w:r>
      <w:r w:rsidRPr="00105493">
        <w:rPr>
          <w:vertAlign w:val="superscript"/>
        </w:rPr>
        <w:t>3</w:t>
      </w:r>
      <w:r>
        <w:t>/h)</w:t>
      </w:r>
      <w:r>
        <w:br/>
      </w:r>
      <w:r>
        <w:tab/>
        <w:t>pressure</w:t>
      </w:r>
    </w:p>
    <w:p w14:paraId="11CB82CD" w14:textId="77777777" w:rsidR="003734D1" w:rsidRDefault="003734D1" w:rsidP="003734D1">
      <w:pPr>
        <w:pStyle w:val="SingleTxtG"/>
        <w:ind w:left="3555" w:firstLine="414"/>
      </w:pPr>
      <w:r>
        <w:t>or</w:t>
      </w:r>
    </w:p>
    <w:p w14:paraId="47659B02" w14:textId="77777777" w:rsidR="003734D1" w:rsidRDefault="003734D1" w:rsidP="003734D1">
      <w:pPr>
        <w:pStyle w:val="SingleTxtG"/>
        <w:ind w:left="3555" w:firstLine="414"/>
      </w:pPr>
      <w:r>
        <w:t>Nominal rotation speed</w:t>
      </w:r>
      <w:r>
        <w:tab/>
      </w:r>
      <w:r>
        <w:tab/>
        <w:t>rpm</w:t>
      </w:r>
    </w:p>
    <w:p w14:paraId="1FF87FD5" w14:textId="77777777" w:rsidR="003734D1" w:rsidRDefault="003734D1" w:rsidP="003734D1">
      <w:pPr>
        <w:pStyle w:val="SingleTxtG"/>
        <w:ind w:left="1854"/>
      </w:pPr>
      <w:r>
        <w:tab/>
      </w:r>
      <w:r>
        <w:tab/>
      </w:r>
      <w:r>
        <w:tab/>
      </w:r>
      <w:r>
        <w:tab/>
      </w:r>
      <w:r>
        <w:tab/>
        <w:t>Method of drive</w:t>
      </w:r>
    </w:p>
    <w:p w14:paraId="1B4CDBA2" w14:textId="77777777" w:rsidR="003734D1" w:rsidRDefault="003734D1" w:rsidP="003734D1">
      <w:pPr>
        <w:pStyle w:val="SingleTxtG"/>
        <w:ind w:left="1854"/>
      </w:pPr>
      <w:r>
        <w:t>Expansion valve</w:t>
      </w:r>
      <w:r>
        <w:tab/>
      </w:r>
      <w:r>
        <w:tab/>
        <w:t>Type</w:t>
      </w:r>
    </w:p>
    <w:p w14:paraId="6E9293BD" w14:textId="0089DE72" w:rsidR="003734D1" w:rsidRDefault="003734D1" w:rsidP="003734D1">
      <w:pPr>
        <w:pStyle w:val="SingleTxtG"/>
        <w:ind w:left="1843"/>
        <w:rPr>
          <w:i/>
          <w:iCs/>
        </w:rPr>
      </w:pPr>
      <w:r w:rsidRPr="00105493">
        <w:rPr>
          <w:b/>
          <w:bCs/>
          <w:i/>
          <w:iCs/>
        </w:rPr>
        <w:t>Note:</w:t>
      </w:r>
      <w:r w:rsidRPr="00105493">
        <w:rPr>
          <w:i/>
          <w:iCs/>
        </w:rPr>
        <w:t xml:space="preserve"> Each component or characteristic should be understood </w:t>
      </w:r>
      <w:r w:rsidR="00D162C5">
        <w:rPr>
          <w:i/>
          <w:iCs/>
        </w:rPr>
        <w:t>‘</w:t>
      </w:r>
      <w:r w:rsidRPr="00105493">
        <w:rPr>
          <w:i/>
          <w:iCs/>
        </w:rPr>
        <w:t>if applicable</w:t>
      </w:r>
      <w:r w:rsidR="00D162C5">
        <w:rPr>
          <w:i/>
          <w:iCs/>
        </w:rPr>
        <w:t>’</w:t>
      </w:r>
      <w:r w:rsidRPr="00105493">
        <w:rPr>
          <w:i/>
          <w:iCs/>
        </w:rPr>
        <w:t>.</w:t>
      </w:r>
      <w:r>
        <w:rPr>
          <w:i/>
          <w:iCs/>
        </w:rPr>
        <w:t>”</w:t>
      </w:r>
    </w:p>
    <w:p w14:paraId="083ABB37" w14:textId="77777777" w:rsidR="003734D1" w:rsidRDefault="003734D1" w:rsidP="003734D1">
      <w:pPr>
        <w:pStyle w:val="SingleTxtG"/>
        <w:rPr>
          <w:b/>
          <w:spacing w:val="4"/>
          <w:w w:val="103"/>
          <w:kern w:val="14"/>
          <w:lang w:eastAsia="zh-CN"/>
        </w:rPr>
      </w:pPr>
      <w:r w:rsidRPr="0041235A">
        <w:rPr>
          <w:i/>
          <w:iCs/>
          <w:w w:val="103"/>
          <w:lang w:eastAsia="zh-CN"/>
        </w:rPr>
        <w:t>(Reference document</w:t>
      </w:r>
      <w:r>
        <w:rPr>
          <w:i/>
          <w:iCs/>
          <w:w w:val="103"/>
          <w:lang w:eastAsia="zh-CN"/>
        </w:rPr>
        <w:t>s</w:t>
      </w:r>
      <w:r w:rsidRPr="0041235A">
        <w:rPr>
          <w:i/>
          <w:iCs/>
          <w:w w:val="103"/>
          <w:lang w:eastAsia="zh-CN"/>
        </w:rPr>
        <w:t>: ECE/TRANS/WP.11/2023/</w:t>
      </w:r>
      <w:r>
        <w:rPr>
          <w:i/>
          <w:iCs/>
          <w:w w:val="103"/>
          <w:lang w:eastAsia="zh-CN"/>
        </w:rPr>
        <w:t>12</w:t>
      </w:r>
      <w:r w:rsidRPr="0041235A">
        <w:rPr>
          <w:i/>
          <w:iCs/>
          <w:w w:val="103"/>
          <w:lang w:eastAsia="zh-CN"/>
        </w:rPr>
        <w:t>)</w:t>
      </w:r>
    </w:p>
    <w:p w14:paraId="502CE2B4" w14:textId="0739EA06" w:rsidR="003734D1" w:rsidRDefault="003734D1" w:rsidP="003734D1">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t>10.</w:t>
      </w:r>
      <w:r>
        <w:rPr>
          <w:b/>
          <w:spacing w:val="4"/>
          <w:w w:val="103"/>
          <w:kern w:val="14"/>
          <w:lang w:eastAsia="zh-CN"/>
        </w:rPr>
        <w:tab/>
      </w:r>
      <w:r w:rsidRPr="004D74C1">
        <w:rPr>
          <w:b/>
          <w:spacing w:val="4"/>
          <w:w w:val="103"/>
          <w:kern w:val="14"/>
          <w:lang w:eastAsia="zh-CN"/>
        </w:rPr>
        <w:t xml:space="preserve">Annex 1, Appendix </w:t>
      </w:r>
      <w:r>
        <w:rPr>
          <w:b/>
          <w:spacing w:val="4"/>
          <w:w w:val="103"/>
          <w:kern w:val="14"/>
          <w:lang w:eastAsia="zh-CN"/>
        </w:rPr>
        <w:t>3,</w:t>
      </w:r>
      <w:r w:rsidRPr="004D74C1">
        <w:rPr>
          <w:b/>
          <w:spacing w:val="4"/>
          <w:w w:val="103"/>
          <w:kern w:val="14"/>
          <w:lang w:eastAsia="zh-CN"/>
        </w:rPr>
        <w:t xml:space="preserve"> par</w:t>
      </w:r>
      <w:r>
        <w:rPr>
          <w:b/>
          <w:spacing w:val="4"/>
          <w:w w:val="103"/>
          <w:kern w:val="14"/>
          <w:lang w:eastAsia="zh-CN"/>
        </w:rPr>
        <w:t>t A</w:t>
      </w:r>
    </w:p>
    <w:p w14:paraId="6501F64B" w14:textId="77777777" w:rsidR="003734D1" w:rsidRDefault="003734D1" w:rsidP="003734D1">
      <w:pPr>
        <w:pStyle w:val="SingleTxtG"/>
        <w:rPr>
          <w:w w:val="103"/>
          <w:lang w:eastAsia="zh-CN"/>
        </w:rPr>
      </w:pPr>
      <w:r>
        <w:rPr>
          <w:w w:val="103"/>
          <w:lang w:eastAsia="zh-CN"/>
        </w:rPr>
        <w:t>Delete both transitional provisions after the title.</w:t>
      </w:r>
    </w:p>
    <w:p w14:paraId="17529276" w14:textId="77777777" w:rsidR="003734D1" w:rsidRPr="0041235A" w:rsidRDefault="003734D1" w:rsidP="003734D1">
      <w:pPr>
        <w:pStyle w:val="SingleTxtG"/>
        <w:rPr>
          <w:i/>
          <w:iCs/>
          <w:w w:val="103"/>
          <w:lang w:eastAsia="zh-CN"/>
        </w:rPr>
      </w:pPr>
      <w:r w:rsidRPr="0041235A">
        <w:rPr>
          <w:i/>
          <w:iCs/>
          <w:w w:val="103"/>
          <w:lang w:eastAsia="zh-CN"/>
        </w:rPr>
        <w:t>(Reference document: ECE/TRANS/WP.11/2023/</w:t>
      </w:r>
      <w:r>
        <w:rPr>
          <w:i/>
          <w:iCs/>
          <w:w w:val="103"/>
          <w:lang w:eastAsia="zh-CN"/>
        </w:rPr>
        <w:t>14</w:t>
      </w:r>
      <w:r w:rsidRPr="0041235A">
        <w:rPr>
          <w:i/>
          <w:iCs/>
          <w:w w:val="103"/>
          <w:lang w:eastAsia="zh-CN"/>
        </w:rPr>
        <w:t>)</w:t>
      </w:r>
    </w:p>
    <w:p w14:paraId="4C3F8484" w14:textId="19E7086B" w:rsidR="00493597" w:rsidRDefault="00493597" w:rsidP="003734D1">
      <w:pPr>
        <w:pStyle w:val="SingleTxtG"/>
        <w:rPr>
          <w:w w:val="103"/>
          <w:lang w:eastAsia="zh-CN"/>
        </w:rPr>
      </w:pPr>
      <w:r>
        <w:rPr>
          <w:w w:val="103"/>
          <w:lang w:eastAsia="zh-CN"/>
        </w:rPr>
        <w:br w:type="page"/>
      </w:r>
    </w:p>
    <w:p w14:paraId="6C0C043B" w14:textId="77777777" w:rsidR="00012884" w:rsidRDefault="00012884" w:rsidP="00012884">
      <w:pPr>
        <w:pStyle w:val="HChG"/>
      </w:pPr>
      <w:r>
        <w:lastRenderedPageBreak/>
        <w:t>Annex III</w:t>
      </w:r>
    </w:p>
    <w:p w14:paraId="240B47D1" w14:textId="77777777" w:rsidR="00012884" w:rsidRPr="002564F8" w:rsidRDefault="00012884" w:rsidP="0052066A">
      <w:pPr>
        <w:suppressAutoHyphens/>
        <w:jc w:val="right"/>
        <w:rPr>
          <w:b/>
          <w:bCs/>
        </w:rPr>
      </w:pPr>
      <w:r>
        <w:tab/>
      </w:r>
      <w:r w:rsidRPr="002564F8">
        <w:rPr>
          <w:bCs/>
        </w:rPr>
        <w:t>[Original: English and French]</w:t>
      </w:r>
    </w:p>
    <w:p w14:paraId="5FCEE47B" w14:textId="4F3AAC24" w:rsidR="00012884" w:rsidRDefault="00012884" w:rsidP="00012884">
      <w:pPr>
        <w:pStyle w:val="HChG"/>
      </w:pPr>
      <w:r>
        <w:tab/>
      </w:r>
      <w:r>
        <w:tab/>
        <w:t>Additions to the ATP Handbook</w:t>
      </w:r>
    </w:p>
    <w:p w14:paraId="1F202E6F" w14:textId="77777777" w:rsidR="00012884" w:rsidRDefault="00012884" w:rsidP="00012884">
      <w:pPr>
        <w:pStyle w:val="H23G"/>
      </w:pPr>
      <w:r>
        <w:tab/>
        <w:t>1.</w:t>
      </w:r>
      <w:r>
        <w:tab/>
        <w:t>Annex 2, Appendix 1, comments, paragraph 4</w:t>
      </w:r>
    </w:p>
    <w:p w14:paraId="30A21372" w14:textId="18EAAE8F" w:rsidR="00012884" w:rsidRDefault="00012884" w:rsidP="00012884">
      <w:pPr>
        <w:pStyle w:val="SingleTxtG"/>
      </w:pPr>
      <w:r>
        <w:t>Amend the second bullet point to read as follows:</w:t>
      </w:r>
    </w:p>
    <w:p w14:paraId="54D0BBF4" w14:textId="550F3E0B" w:rsidR="00012884" w:rsidRDefault="00D162C5" w:rsidP="00012884">
      <w:pPr>
        <w:pStyle w:val="SingleTxtG"/>
        <w:rPr>
          <w:shd w:val="clear" w:color="000000" w:fill="FFFFFF"/>
        </w:rPr>
      </w:pPr>
      <w:r>
        <w:rPr>
          <w:shd w:val="clear" w:color="000000" w:fill="FFFFFF"/>
        </w:rPr>
        <w:t>"</w:t>
      </w:r>
      <w:r w:rsidR="00012884" w:rsidRPr="002D6A61">
        <w:rPr>
          <w:shd w:val="clear" w:color="000000" w:fill="FFFFFF"/>
        </w:rPr>
        <w:t>In the case of upper cold air distribution systems, near (to the left or right of) the corner furthest from the evaporator outlets, at the top (in the upper quarter of the height);</w:t>
      </w:r>
      <w:r>
        <w:rPr>
          <w:shd w:val="clear" w:color="000000" w:fill="FFFFFF"/>
        </w:rPr>
        <w:t>"</w:t>
      </w:r>
    </w:p>
    <w:p w14:paraId="66C75AAD" w14:textId="77777777" w:rsidR="00012884" w:rsidRPr="005179AC" w:rsidRDefault="00012884" w:rsidP="00012884">
      <w:pPr>
        <w:pStyle w:val="SingleTxtG"/>
        <w:rPr>
          <w:w w:val="103"/>
          <w:lang w:eastAsia="zh-CN"/>
        </w:rPr>
      </w:pPr>
      <w:r w:rsidRPr="0041235A">
        <w:rPr>
          <w:i/>
          <w:iCs/>
          <w:w w:val="103"/>
          <w:lang w:eastAsia="zh-CN"/>
        </w:rPr>
        <w:t>(Reference document: ECE/TRANS/WP.11/2023/</w:t>
      </w:r>
      <w:r>
        <w:rPr>
          <w:i/>
          <w:iCs/>
          <w:w w:val="103"/>
          <w:lang w:eastAsia="zh-CN"/>
        </w:rPr>
        <w:t>10</w:t>
      </w:r>
      <w:r w:rsidRPr="0041235A">
        <w:rPr>
          <w:i/>
          <w:iCs/>
          <w:w w:val="103"/>
          <w:lang w:eastAsia="zh-CN"/>
        </w:rPr>
        <w:t>)</w:t>
      </w:r>
    </w:p>
    <w:p w14:paraId="08EE934A" w14:textId="77777777" w:rsidR="00012884" w:rsidRPr="005C45CD" w:rsidRDefault="00012884" w:rsidP="00012884">
      <w:pPr>
        <w:spacing w:before="240"/>
        <w:jc w:val="center"/>
        <w:rPr>
          <w:u w:val="single"/>
        </w:rPr>
      </w:pPr>
      <w:r>
        <w:rPr>
          <w:u w:val="single"/>
        </w:rPr>
        <w:tab/>
      </w:r>
      <w:r>
        <w:rPr>
          <w:u w:val="single"/>
        </w:rPr>
        <w:tab/>
      </w:r>
      <w:r>
        <w:rPr>
          <w:u w:val="single"/>
        </w:rPr>
        <w:tab/>
      </w:r>
    </w:p>
    <w:p w14:paraId="2487AD87" w14:textId="77777777" w:rsidR="00E53269" w:rsidRPr="00E53269" w:rsidRDefault="00E53269" w:rsidP="00493597"/>
    <w:sectPr w:rsidR="00E53269" w:rsidRPr="00E53269" w:rsidSect="00706119">
      <w:headerReference w:type="even" r:id="rId21"/>
      <w:headerReference w:type="default" r:id="rId22"/>
      <w:footerReference w:type="even" r:id="rId23"/>
      <w:footerReference w:type="default" r:id="rId24"/>
      <w:foot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3B66" w14:textId="77777777" w:rsidR="00D5301F" w:rsidRDefault="00D5301F"/>
  </w:endnote>
  <w:endnote w:type="continuationSeparator" w:id="0">
    <w:p w14:paraId="06CB0399" w14:textId="77777777" w:rsidR="00D5301F" w:rsidRDefault="00D5301F"/>
  </w:endnote>
  <w:endnote w:type="continuationNotice" w:id="1">
    <w:p w14:paraId="34496BB5" w14:textId="77777777" w:rsidR="00D5301F" w:rsidRDefault="00D53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2E70" w14:textId="78E86195" w:rsidR="00706119" w:rsidRPr="00706119" w:rsidRDefault="00706119" w:rsidP="00706119">
    <w:pPr>
      <w:pStyle w:val="Footer"/>
      <w:tabs>
        <w:tab w:val="right" w:pos="9638"/>
      </w:tabs>
      <w:rPr>
        <w:sz w:val="18"/>
      </w:rPr>
    </w:pPr>
    <w:r w:rsidRPr="00706119">
      <w:rPr>
        <w:b/>
        <w:sz w:val="18"/>
      </w:rPr>
      <w:fldChar w:fldCharType="begin"/>
    </w:r>
    <w:r w:rsidRPr="00706119">
      <w:rPr>
        <w:b/>
        <w:sz w:val="18"/>
      </w:rPr>
      <w:instrText xml:space="preserve"> PAGE  \* MERGEFORMAT </w:instrText>
    </w:r>
    <w:r w:rsidRPr="00706119">
      <w:rPr>
        <w:b/>
        <w:sz w:val="18"/>
      </w:rPr>
      <w:fldChar w:fldCharType="separate"/>
    </w:r>
    <w:r w:rsidRPr="00706119">
      <w:rPr>
        <w:b/>
        <w:noProof/>
        <w:sz w:val="18"/>
      </w:rPr>
      <w:t>2</w:t>
    </w:r>
    <w:r w:rsidRPr="00706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B3E1" w14:textId="450C436E" w:rsidR="00706119" w:rsidRPr="00706119" w:rsidRDefault="00706119" w:rsidP="00706119">
    <w:pPr>
      <w:pStyle w:val="Footer"/>
      <w:tabs>
        <w:tab w:val="right" w:pos="9638"/>
      </w:tabs>
      <w:rPr>
        <w:b/>
        <w:sz w:val="18"/>
      </w:rPr>
    </w:pPr>
    <w:r>
      <w:tab/>
    </w:r>
    <w:r w:rsidRPr="00706119">
      <w:rPr>
        <w:b/>
        <w:sz w:val="18"/>
      </w:rPr>
      <w:fldChar w:fldCharType="begin"/>
    </w:r>
    <w:r w:rsidRPr="00706119">
      <w:rPr>
        <w:b/>
        <w:sz w:val="18"/>
      </w:rPr>
      <w:instrText xml:space="preserve"> PAGE  \* MERGEFORMAT </w:instrText>
    </w:r>
    <w:r w:rsidRPr="00706119">
      <w:rPr>
        <w:b/>
        <w:sz w:val="18"/>
      </w:rPr>
      <w:fldChar w:fldCharType="separate"/>
    </w:r>
    <w:r w:rsidRPr="00706119">
      <w:rPr>
        <w:b/>
        <w:noProof/>
        <w:sz w:val="18"/>
      </w:rPr>
      <w:t>3</w:t>
    </w:r>
    <w:r w:rsidRPr="007061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E225" w14:textId="6530603A" w:rsidR="00C23355" w:rsidRDefault="00C23355" w:rsidP="00C23355">
    <w:pPr>
      <w:pStyle w:val="Footer"/>
    </w:pPr>
    <w:r w:rsidRPr="0027112F">
      <w:rPr>
        <w:noProof/>
        <w:lang w:val="en-US"/>
      </w:rPr>
      <w:drawing>
        <wp:anchor distT="0" distB="0" distL="114300" distR="114300" simplePos="0" relativeHeight="251659264" behindDoc="0" locked="1" layoutInCell="1" allowOverlap="1" wp14:anchorId="4D31047C" wp14:editId="6C85D4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E881B1" w14:textId="7CCE7845" w:rsidR="00C23355" w:rsidRPr="00C23355" w:rsidRDefault="00C23355" w:rsidP="00C23355">
    <w:pPr>
      <w:pStyle w:val="Footer"/>
      <w:ind w:right="1134"/>
      <w:rPr>
        <w:sz w:val="20"/>
      </w:rPr>
    </w:pPr>
    <w:r>
      <w:rPr>
        <w:sz w:val="20"/>
      </w:rPr>
      <w:t>GE.23-24418(E)</w:t>
    </w:r>
    <w:r>
      <w:rPr>
        <w:noProof/>
        <w:sz w:val="20"/>
      </w:rPr>
      <w:drawing>
        <wp:anchor distT="0" distB="0" distL="114300" distR="114300" simplePos="0" relativeHeight="251660288" behindDoc="0" locked="0" layoutInCell="1" allowOverlap="1" wp14:anchorId="0F604829" wp14:editId="7684AB8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7805" w14:textId="77777777" w:rsidR="00D5301F" w:rsidRPr="000B175B" w:rsidRDefault="00D5301F" w:rsidP="000B175B">
      <w:pPr>
        <w:tabs>
          <w:tab w:val="right" w:pos="2155"/>
        </w:tabs>
        <w:spacing w:after="80"/>
        <w:ind w:left="680"/>
        <w:rPr>
          <w:u w:val="single"/>
        </w:rPr>
      </w:pPr>
      <w:r>
        <w:rPr>
          <w:u w:val="single"/>
        </w:rPr>
        <w:tab/>
      </w:r>
    </w:p>
  </w:footnote>
  <w:footnote w:type="continuationSeparator" w:id="0">
    <w:p w14:paraId="1021909F" w14:textId="77777777" w:rsidR="00D5301F" w:rsidRPr="00FC68B7" w:rsidRDefault="00D5301F" w:rsidP="00FC68B7">
      <w:pPr>
        <w:tabs>
          <w:tab w:val="left" w:pos="2155"/>
        </w:tabs>
        <w:spacing w:after="80"/>
        <w:ind w:left="680"/>
        <w:rPr>
          <w:u w:val="single"/>
        </w:rPr>
      </w:pPr>
      <w:r>
        <w:rPr>
          <w:u w:val="single"/>
        </w:rPr>
        <w:tab/>
      </w:r>
    </w:p>
  </w:footnote>
  <w:footnote w:type="continuationNotice" w:id="1">
    <w:p w14:paraId="4576A32E" w14:textId="77777777" w:rsidR="00D5301F" w:rsidRDefault="00D53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A0F4" w14:textId="6823560C" w:rsidR="00706119" w:rsidRPr="00706119" w:rsidRDefault="00C7027C">
    <w:pPr>
      <w:pStyle w:val="Header"/>
    </w:pPr>
    <w:fldSimple w:instr=" TITLE  \* MERGEFORMAT ">
      <w:r w:rsidR="0036571E">
        <w:t>ECE/TRANS/WP.11/251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3BAC" w14:textId="210DA147" w:rsidR="00706119" w:rsidRPr="00706119" w:rsidRDefault="00C7027C" w:rsidP="00706119">
    <w:pPr>
      <w:pStyle w:val="Header"/>
      <w:jc w:val="right"/>
    </w:pPr>
    <w:fldSimple w:instr=" TITLE  \* MERGEFORMAT ">
      <w:r w:rsidR="0036571E">
        <w:t>ECE/TRANS/WP.11/251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51630A"/>
    <w:multiLevelType w:val="hybridMultilevel"/>
    <w:tmpl w:val="3EA6CE1E"/>
    <w:lvl w:ilvl="0" w:tplc="8B48ABB8">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0E30EC"/>
    <w:multiLevelType w:val="hybridMultilevel"/>
    <w:tmpl w:val="2A14C0C2"/>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67593278">
    <w:abstractNumId w:val="1"/>
  </w:num>
  <w:num w:numId="2" w16cid:durableId="1423985761">
    <w:abstractNumId w:val="0"/>
  </w:num>
  <w:num w:numId="3" w16cid:durableId="964120590">
    <w:abstractNumId w:val="2"/>
  </w:num>
  <w:num w:numId="4" w16cid:durableId="1004741711">
    <w:abstractNumId w:val="3"/>
  </w:num>
  <w:num w:numId="5" w16cid:durableId="1020617948">
    <w:abstractNumId w:val="8"/>
  </w:num>
  <w:num w:numId="6" w16cid:durableId="1108699226">
    <w:abstractNumId w:val="9"/>
  </w:num>
  <w:num w:numId="7" w16cid:durableId="78213549">
    <w:abstractNumId w:val="7"/>
  </w:num>
  <w:num w:numId="8" w16cid:durableId="1171020043">
    <w:abstractNumId w:val="6"/>
  </w:num>
  <w:num w:numId="9" w16cid:durableId="1652244951">
    <w:abstractNumId w:val="5"/>
  </w:num>
  <w:num w:numId="10" w16cid:durableId="679547171">
    <w:abstractNumId w:val="4"/>
  </w:num>
  <w:num w:numId="11" w16cid:durableId="1449466514">
    <w:abstractNumId w:val="16"/>
  </w:num>
  <w:num w:numId="12" w16cid:durableId="921642732">
    <w:abstractNumId w:val="15"/>
  </w:num>
  <w:num w:numId="13" w16cid:durableId="1044714573">
    <w:abstractNumId w:val="10"/>
  </w:num>
  <w:num w:numId="14" w16cid:durableId="1773940435">
    <w:abstractNumId w:val="13"/>
  </w:num>
  <w:num w:numId="15" w16cid:durableId="1061902709">
    <w:abstractNumId w:val="17"/>
  </w:num>
  <w:num w:numId="16" w16cid:durableId="1703095353">
    <w:abstractNumId w:val="14"/>
  </w:num>
  <w:num w:numId="17" w16cid:durableId="670528511">
    <w:abstractNumId w:val="19"/>
  </w:num>
  <w:num w:numId="18" w16cid:durableId="1940868860">
    <w:abstractNumId w:val="21"/>
  </w:num>
  <w:num w:numId="19" w16cid:durableId="1127770953">
    <w:abstractNumId w:val="11"/>
  </w:num>
  <w:num w:numId="20" w16cid:durableId="1821917156">
    <w:abstractNumId w:val="11"/>
  </w:num>
  <w:num w:numId="21" w16cid:durableId="1366129797">
    <w:abstractNumId w:val="20"/>
  </w:num>
  <w:num w:numId="22" w16cid:durableId="2132091119">
    <w:abstractNumId w:val="18"/>
  </w:num>
  <w:num w:numId="23" w16cid:durableId="197147591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19"/>
    <w:rsid w:val="00002A7D"/>
    <w:rsid w:val="000038A8"/>
    <w:rsid w:val="00006313"/>
    <w:rsid w:val="00006790"/>
    <w:rsid w:val="00006D49"/>
    <w:rsid w:val="0000709D"/>
    <w:rsid w:val="00012884"/>
    <w:rsid w:val="000133EB"/>
    <w:rsid w:val="00016C4D"/>
    <w:rsid w:val="00020638"/>
    <w:rsid w:val="00027624"/>
    <w:rsid w:val="0002797B"/>
    <w:rsid w:val="00030B0B"/>
    <w:rsid w:val="00050F6B"/>
    <w:rsid w:val="000516DE"/>
    <w:rsid w:val="00057261"/>
    <w:rsid w:val="0006094C"/>
    <w:rsid w:val="000676B2"/>
    <w:rsid w:val="000678CD"/>
    <w:rsid w:val="00070DB9"/>
    <w:rsid w:val="00072C8C"/>
    <w:rsid w:val="00081CE0"/>
    <w:rsid w:val="00084D30"/>
    <w:rsid w:val="00090320"/>
    <w:rsid w:val="000931C0"/>
    <w:rsid w:val="0009732C"/>
    <w:rsid w:val="0009797F"/>
    <w:rsid w:val="000A01F9"/>
    <w:rsid w:val="000A2E09"/>
    <w:rsid w:val="000B175B"/>
    <w:rsid w:val="000B3A0F"/>
    <w:rsid w:val="000C5E78"/>
    <w:rsid w:val="000C6F9C"/>
    <w:rsid w:val="000C6FE8"/>
    <w:rsid w:val="000D4209"/>
    <w:rsid w:val="000D45ED"/>
    <w:rsid w:val="000E0415"/>
    <w:rsid w:val="000E4514"/>
    <w:rsid w:val="000F7715"/>
    <w:rsid w:val="001061F3"/>
    <w:rsid w:val="00114506"/>
    <w:rsid w:val="00133BCD"/>
    <w:rsid w:val="0013732B"/>
    <w:rsid w:val="00156B99"/>
    <w:rsid w:val="00166124"/>
    <w:rsid w:val="00182C53"/>
    <w:rsid w:val="00184DDA"/>
    <w:rsid w:val="001900CD"/>
    <w:rsid w:val="0019414A"/>
    <w:rsid w:val="001A0452"/>
    <w:rsid w:val="001A6073"/>
    <w:rsid w:val="001B1577"/>
    <w:rsid w:val="001B2CF2"/>
    <w:rsid w:val="001B3352"/>
    <w:rsid w:val="001B4B04"/>
    <w:rsid w:val="001B5875"/>
    <w:rsid w:val="001C4B9C"/>
    <w:rsid w:val="001C6663"/>
    <w:rsid w:val="001C7895"/>
    <w:rsid w:val="001D26DF"/>
    <w:rsid w:val="001E555D"/>
    <w:rsid w:val="001E73FF"/>
    <w:rsid w:val="001F1599"/>
    <w:rsid w:val="001F19C4"/>
    <w:rsid w:val="002043F0"/>
    <w:rsid w:val="00211E0B"/>
    <w:rsid w:val="002121B5"/>
    <w:rsid w:val="002159AA"/>
    <w:rsid w:val="0022216D"/>
    <w:rsid w:val="002262B6"/>
    <w:rsid w:val="00232575"/>
    <w:rsid w:val="00233B7F"/>
    <w:rsid w:val="00247258"/>
    <w:rsid w:val="00253C6E"/>
    <w:rsid w:val="00256249"/>
    <w:rsid w:val="00257CAC"/>
    <w:rsid w:val="00264441"/>
    <w:rsid w:val="0027237A"/>
    <w:rsid w:val="00273E7E"/>
    <w:rsid w:val="00274114"/>
    <w:rsid w:val="002809D5"/>
    <w:rsid w:val="00284A1C"/>
    <w:rsid w:val="002868FC"/>
    <w:rsid w:val="002974E9"/>
    <w:rsid w:val="002A7F94"/>
    <w:rsid w:val="002B109A"/>
    <w:rsid w:val="002B6B0B"/>
    <w:rsid w:val="002C0F67"/>
    <w:rsid w:val="002C6D45"/>
    <w:rsid w:val="002D14BA"/>
    <w:rsid w:val="002D2DD6"/>
    <w:rsid w:val="002D6E53"/>
    <w:rsid w:val="002E14B6"/>
    <w:rsid w:val="002E30F0"/>
    <w:rsid w:val="002E33E1"/>
    <w:rsid w:val="002F046D"/>
    <w:rsid w:val="002F3023"/>
    <w:rsid w:val="00301764"/>
    <w:rsid w:val="0031150C"/>
    <w:rsid w:val="003229D8"/>
    <w:rsid w:val="0032432C"/>
    <w:rsid w:val="0032789C"/>
    <w:rsid w:val="00327A4E"/>
    <w:rsid w:val="00336C97"/>
    <w:rsid w:val="00336F23"/>
    <w:rsid w:val="00337F88"/>
    <w:rsid w:val="00342432"/>
    <w:rsid w:val="0034352E"/>
    <w:rsid w:val="0035223F"/>
    <w:rsid w:val="00352D4B"/>
    <w:rsid w:val="003532DD"/>
    <w:rsid w:val="0035638C"/>
    <w:rsid w:val="003565A9"/>
    <w:rsid w:val="0036571E"/>
    <w:rsid w:val="00372A1A"/>
    <w:rsid w:val="003734D1"/>
    <w:rsid w:val="003734F5"/>
    <w:rsid w:val="00376288"/>
    <w:rsid w:val="00376CCE"/>
    <w:rsid w:val="00380E4C"/>
    <w:rsid w:val="00396300"/>
    <w:rsid w:val="003A06B3"/>
    <w:rsid w:val="003A2487"/>
    <w:rsid w:val="003A46BB"/>
    <w:rsid w:val="003A4EC7"/>
    <w:rsid w:val="003A7295"/>
    <w:rsid w:val="003A7E31"/>
    <w:rsid w:val="003B1F60"/>
    <w:rsid w:val="003C2CC4"/>
    <w:rsid w:val="003D2932"/>
    <w:rsid w:val="003D4B23"/>
    <w:rsid w:val="003E278A"/>
    <w:rsid w:val="003E4DE6"/>
    <w:rsid w:val="00413520"/>
    <w:rsid w:val="004161D5"/>
    <w:rsid w:val="00430D57"/>
    <w:rsid w:val="004325CB"/>
    <w:rsid w:val="00440A07"/>
    <w:rsid w:val="0044515B"/>
    <w:rsid w:val="00452CD9"/>
    <w:rsid w:val="004559A1"/>
    <w:rsid w:val="00462880"/>
    <w:rsid w:val="00475E98"/>
    <w:rsid w:val="00476F24"/>
    <w:rsid w:val="00493597"/>
    <w:rsid w:val="004956F4"/>
    <w:rsid w:val="004A6799"/>
    <w:rsid w:val="004C4EE5"/>
    <w:rsid w:val="004C55B0"/>
    <w:rsid w:val="004E319D"/>
    <w:rsid w:val="004F6BA0"/>
    <w:rsid w:val="004F7D72"/>
    <w:rsid w:val="00503BEA"/>
    <w:rsid w:val="00506CFD"/>
    <w:rsid w:val="00513173"/>
    <w:rsid w:val="00513822"/>
    <w:rsid w:val="0052066A"/>
    <w:rsid w:val="005236D3"/>
    <w:rsid w:val="00530199"/>
    <w:rsid w:val="00533616"/>
    <w:rsid w:val="00535ABA"/>
    <w:rsid w:val="0053768B"/>
    <w:rsid w:val="005420F2"/>
    <w:rsid w:val="005427F6"/>
    <w:rsid w:val="0054285C"/>
    <w:rsid w:val="00584173"/>
    <w:rsid w:val="00591C9D"/>
    <w:rsid w:val="00595520"/>
    <w:rsid w:val="005A44B9"/>
    <w:rsid w:val="005A79F8"/>
    <w:rsid w:val="005B1BA0"/>
    <w:rsid w:val="005B1CE5"/>
    <w:rsid w:val="005B3DB3"/>
    <w:rsid w:val="005C3785"/>
    <w:rsid w:val="005D15CA"/>
    <w:rsid w:val="005D31BA"/>
    <w:rsid w:val="005D7969"/>
    <w:rsid w:val="005E2295"/>
    <w:rsid w:val="005E4BFC"/>
    <w:rsid w:val="005F08DF"/>
    <w:rsid w:val="005F3066"/>
    <w:rsid w:val="005F3E61"/>
    <w:rsid w:val="00604DDD"/>
    <w:rsid w:val="006115CC"/>
    <w:rsid w:val="00611FC4"/>
    <w:rsid w:val="006154D7"/>
    <w:rsid w:val="006176FB"/>
    <w:rsid w:val="00617946"/>
    <w:rsid w:val="00625D23"/>
    <w:rsid w:val="006273BE"/>
    <w:rsid w:val="00630FCB"/>
    <w:rsid w:val="00640B26"/>
    <w:rsid w:val="006509F8"/>
    <w:rsid w:val="0065766B"/>
    <w:rsid w:val="006770B2"/>
    <w:rsid w:val="00686A48"/>
    <w:rsid w:val="00691380"/>
    <w:rsid w:val="006927E3"/>
    <w:rsid w:val="006940E1"/>
    <w:rsid w:val="006A3C72"/>
    <w:rsid w:val="006A7392"/>
    <w:rsid w:val="006B03A1"/>
    <w:rsid w:val="006B67D9"/>
    <w:rsid w:val="006C5535"/>
    <w:rsid w:val="006D0589"/>
    <w:rsid w:val="006E564B"/>
    <w:rsid w:val="006E7154"/>
    <w:rsid w:val="006F4ABA"/>
    <w:rsid w:val="006F64C4"/>
    <w:rsid w:val="007003CD"/>
    <w:rsid w:val="007029AF"/>
    <w:rsid w:val="00706119"/>
    <w:rsid w:val="0070701E"/>
    <w:rsid w:val="007111C1"/>
    <w:rsid w:val="00712E64"/>
    <w:rsid w:val="00715D77"/>
    <w:rsid w:val="007173E0"/>
    <w:rsid w:val="00723D82"/>
    <w:rsid w:val="00724004"/>
    <w:rsid w:val="0072632A"/>
    <w:rsid w:val="0073343A"/>
    <w:rsid w:val="007358E8"/>
    <w:rsid w:val="00736ECE"/>
    <w:rsid w:val="00741F44"/>
    <w:rsid w:val="00742769"/>
    <w:rsid w:val="0074533B"/>
    <w:rsid w:val="007631D4"/>
    <w:rsid w:val="00763871"/>
    <w:rsid w:val="007643BC"/>
    <w:rsid w:val="007801C5"/>
    <w:rsid w:val="00780C68"/>
    <w:rsid w:val="00781894"/>
    <w:rsid w:val="007959FE"/>
    <w:rsid w:val="007A0CF1"/>
    <w:rsid w:val="007A478E"/>
    <w:rsid w:val="007B6BA5"/>
    <w:rsid w:val="007C2970"/>
    <w:rsid w:val="007C3390"/>
    <w:rsid w:val="007C42D8"/>
    <w:rsid w:val="007C4F4B"/>
    <w:rsid w:val="007D47C9"/>
    <w:rsid w:val="007D7362"/>
    <w:rsid w:val="007F39A2"/>
    <w:rsid w:val="007F5CE2"/>
    <w:rsid w:val="007F6611"/>
    <w:rsid w:val="007F763E"/>
    <w:rsid w:val="00800522"/>
    <w:rsid w:val="00810BAC"/>
    <w:rsid w:val="008175E9"/>
    <w:rsid w:val="00817E63"/>
    <w:rsid w:val="008209B9"/>
    <w:rsid w:val="008242D7"/>
    <w:rsid w:val="00824A66"/>
    <w:rsid w:val="0082577B"/>
    <w:rsid w:val="00826489"/>
    <w:rsid w:val="008272DD"/>
    <w:rsid w:val="008324E6"/>
    <w:rsid w:val="008369E8"/>
    <w:rsid w:val="0085457B"/>
    <w:rsid w:val="00866893"/>
    <w:rsid w:val="00866F02"/>
    <w:rsid w:val="00867D18"/>
    <w:rsid w:val="00871F9A"/>
    <w:rsid w:val="00871FD5"/>
    <w:rsid w:val="00877A9B"/>
    <w:rsid w:val="0088172E"/>
    <w:rsid w:val="00881EFA"/>
    <w:rsid w:val="008879CB"/>
    <w:rsid w:val="00890370"/>
    <w:rsid w:val="00893E2A"/>
    <w:rsid w:val="008979B1"/>
    <w:rsid w:val="008A6B25"/>
    <w:rsid w:val="008A6C4F"/>
    <w:rsid w:val="008A77AE"/>
    <w:rsid w:val="008B389E"/>
    <w:rsid w:val="008C2D63"/>
    <w:rsid w:val="008C5357"/>
    <w:rsid w:val="008D0403"/>
    <w:rsid w:val="008D045E"/>
    <w:rsid w:val="008D3F25"/>
    <w:rsid w:val="008D4D82"/>
    <w:rsid w:val="008E0E46"/>
    <w:rsid w:val="008E47E6"/>
    <w:rsid w:val="008E7116"/>
    <w:rsid w:val="008F143B"/>
    <w:rsid w:val="008F3882"/>
    <w:rsid w:val="008F4B7C"/>
    <w:rsid w:val="00901821"/>
    <w:rsid w:val="00906FC1"/>
    <w:rsid w:val="0090745F"/>
    <w:rsid w:val="0091729C"/>
    <w:rsid w:val="00926E47"/>
    <w:rsid w:val="00940DE4"/>
    <w:rsid w:val="00946745"/>
    <w:rsid w:val="00947162"/>
    <w:rsid w:val="009610D0"/>
    <w:rsid w:val="0096375C"/>
    <w:rsid w:val="009662E6"/>
    <w:rsid w:val="0097095E"/>
    <w:rsid w:val="00981FDA"/>
    <w:rsid w:val="0098592B"/>
    <w:rsid w:val="00985FC4"/>
    <w:rsid w:val="00990766"/>
    <w:rsid w:val="00991261"/>
    <w:rsid w:val="009964C4"/>
    <w:rsid w:val="009A5C49"/>
    <w:rsid w:val="009A7B81"/>
    <w:rsid w:val="009D01C0"/>
    <w:rsid w:val="009D6A08"/>
    <w:rsid w:val="009E0A16"/>
    <w:rsid w:val="009E6CB7"/>
    <w:rsid w:val="009E7970"/>
    <w:rsid w:val="009F2EAC"/>
    <w:rsid w:val="009F57E3"/>
    <w:rsid w:val="009F733C"/>
    <w:rsid w:val="00A03FE5"/>
    <w:rsid w:val="00A05958"/>
    <w:rsid w:val="00A0620E"/>
    <w:rsid w:val="00A10F4F"/>
    <w:rsid w:val="00A11067"/>
    <w:rsid w:val="00A1704A"/>
    <w:rsid w:val="00A2142B"/>
    <w:rsid w:val="00A37AA5"/>
    <w:rsid w:val="00A425EB"/>
    <w:rsid w:val="00A461CC"/>
    <w:rsid w:val="00A610EE"/>
    <w:rsid w:val="00A63246"/>
    <w:rsid w:val="00A67751"/>
    <w:rsid w:val="00A72F22"/>
    <w:rsid w:val="00A733BC"/>
    <w:rsid w:val="00A748A6"/>
    <w:rsid w:val="00A76A69"/>
    <w:rsid w:val="00A879A4"/>
    <w:rsid w:val="00A93EC8"/>
    <w:rsid w:val="00AA0D0B"/>
    <w:rsid w:val="00AA0FF8"/>
    <w:rsid w:val="00AA2467"/>
    <w:rsid w:val="00AA2728"/>
    <w:rsid w:val="00AA2AA7"/>
    <w:rsid w:val="00AB62AF"/>
    <w:rsid w:val="00AC0F2C"/>
    <w:rsid w:val="00AC502A"/>
    <w:rsid w:val="00AD1B21"/>
    <w:rsid w:val="00AD2457"/>
    <w:rsid w:val="00AD2A5E"/>
    <w:rsid w:val="00AF58C1"/>
    <w:rsid w:val="00AF5D90"/>
    <w:rsid w:val="00AF736D"/>
    <w:rsid w:val="00B03323"/>
    <w:rsid w:val="00B04A3F"/>
    <w:rsid w:val="00B06643"/>
    <w:rsid w:val="00B15055"/>
    <w:rsid w:val="00B20551"/>
    <w:rsid w:val="00B219F7"/>
    <w:rsid w:val="00B23D55"/>
    <w:rsid w:val="00B2718C"/>
    <w:rsid w:val="00B30179"/>
    <w:rsid w:val="00B322AA"/>
    <w:rsid w:val="00B33FC7"/>
    <w:rsid w:val="00B37B15"/>
    <w:rsid w:val="00B45C02"/>
    <w:rsid w:val="00B4654A"/>
    <w:rsid w:val="00B70B63"/>
    <w:rsid w:val="00B72A1E"/>
    <w:rsid w:val="00B74527"/>
    <w:rsid w:val="00B75F0C"/>
    <w:rsid w:val="00B81E12"/>
    <w:rsid w:val="00B9372C"/>
    <w:rsid w:val="00BA339B"/>
    <w:rsid w:val="00BB23CC"/>
    <w:rsid w:val="00BC1E7E"/>
    <w:rsid w:val="00BC3FD4"/>
    <w:rsid w:val="00BC74E9"/>
    <w:rsid w:val="00BE36A9"/>
    <w:rsid w:val="00BE618E"/>
    <w:rsid w:val="00BE7BEC"/>
    <w:rsid w:val="00BF0A5A"/>
    <w:rsid w:val="00BF0E63"/>
    <w:rsid w:val="00BF12A3"/>
    <w:rsid w:val="00BF16D7"/>
    <w:rsid w:val="00BF1BF7"/>
    <w:rsid w:val="00BF2373"/>
    <w:rsid w:val="00C01CD2"/>
    <w:rsid w:val="00C023BD"/>
    <w:rsid w:val="00C0294F"/>
    <w:rsid w:val="00C044E2"/>
    <w:rsid w:val="00C0481B"/>
    <w:rsid w:val="00C048CB"/>
    <w:rsid w:val="00C066F3"/>
    <w:rsid w:val="00C115EB"/>
    <w:rsid w:val="00C23355"/>
    <w:rsid w:val="00C253D4"/>
    <w:rsid w:val="00C25AEC"/>
    <w:rsid w:val="00C408B7"/>
    <w:rsid w:val="00C411EB"/>
    <w:rsid w:val="00C43DB3"/>
    <w:rsid w:val="00C463DD"/>
    <w:rsid w:val="00C518C2"/>
    <w:rsid w:val="00C61BC2"/>
    <w:rsid w:val="00C64563"/>
    <w:rsid w:val="00C7027C"/>
    <w:rsid w:val="00C745C3"/>
    <w:rsid w:val="00C92B0C"/>
    <w:rsid w:val="00C95988"/>
    <w:rsid w:val="00C978F5"/>
    <w:rsid w:val="00CA24A4"/>
    <w:rsid w:val="00CA2AD9"/>
    <w:rsid w:val="00CA5D61"/>
    <w:rsid w:val="00CB1861"/>
    <w:rsid w:val="00CB348D"/>
    <w:rsid w:val="00CC6154"/>
    <w:rsid w:val="00CD0FEF"/>
    <w:rsid w:val="00CD46F5"/>
    <w:rsid w:val="00CD57F6"/>
    <w:rsid w:val="00CE4A8F"/>
    <w:rsid w:val="00CE78F6"/>
    <w:rsid w:val="00CF071D"/>
    <w:rsid w:val="00CF1862"/>
    <w:rsid w:val="00CF5897"/>
    <w:rsid w:val="00D0123D"/>
    <w:rsid w:val="00D014FF"/>
    <w:rsid w:val="00D071E0"/>
    <w:rsid w:val="00D15B04"/>
    <w:rsid w:val="00D162C5"/>
    <w:rsid w:val="00D16974"/>
    <w:rsid w:val="00D2031B"/>
    <w:rsid w:val="00D25FE2"/>
    <w:rsid w:val="00D368BE"/>
    <w:rsid w:val="00D37DA9"/>
    <w:rsid w:val="00D406A7"/>
    <w:rsid w:val="00D40765"/>
    <w:rsid w:val="00D43252"/>
    <w:rsid w:val="00D44D86"/>
    <w:rsid w:val="00D45A29"/>
    <w:rsid w:val="00D50B7D"/>
    <w:rsid w:val="00D52012"/>
    <w:rsid w:val="00D5301F"/>
    <w:rsid w:val="00D57DB4"/>
    <w:rsid w:val="00D638FB"/>
    <w:rsid w:val="00D66BA8"/>
    <w:rsid w:val="00D704E5"/>
    <w:rsid w:val="00D72727"/>
    <w:rsid w:val="00D73649"/>
    <w:rsid w:val="00D92FE6"/>
    <w:rsid w:val="00D952CE"/>
    <w:rsid w:val="00D978C6"/>
    <w:rsid w:val="00DA0956"/>
    <w:rsid w:val="00DA11E9"/>
    <w:rsid w:val="00DA357F"/>
    <w:rsid w:val="00DA3E12"/>
    <w:rsid w:val="00DB6908"/>
    <w:rsid w:val="00DC18AD"/>
    <w:rsid w:val="00DD3479"/>
    <w:rsid w:val="00DD50C7"/>
    <w:rsid w:val="00DE3605"/>
    <w:rsid w:val="00DF7CAE"/>
    <w:rsid w:val="00E043AE"/>
    <w:rsid w:val="00E24143"/>
    <w:rsid w:val="00E330DB"/>
    <w:rsid w:val="00E33631"/>
    <w:rsid w:val="00E3499A"/>
    <w:rsid w:val="00E41997"/>
    <w:rsid w:val="00E423C0"/>
    <w:rsid w:val="00E53269"/>
    <w:rsid w:val="00E6414C"/>
    <w:rsid w:val="00E7260F"/>
    <w:rsid w:val="00E756F7"/>
    <w:rsid w:val="00E8702D"/>
    <w:rsid w:val="00E905F4"/>
    <w:rsid w:val="00E916A9"/>
    <w:rsid w:val="00E916DE"/>
    <w:rsid w:val="00E925AD"/>
    <w:rsid w:val="00E96630"/>
    <w:rsid w:val="00EA4011"/>
    <w:rsid w:val="00EB66F0"/>
    <w:rsid w:val="00EC7E8E"/>
    <w:rsid w:val="00ED18DC"/>
    <w:rsid w:val="00ED2F87"/>
    <w:rsid w:val="00ED5D28"/>
    <w:rsid w:val="00ED6201"/>
    <w:rsid w:val="00ED7A2A"/>
    <w:rsid w:val="00EF1746"/>
    <w:rsid w:val="00EF1D7F"/>
    <w:rsid w:val="00F0137E"/>
    <w:rsid w:val="00F050AD"/>
    <w:rsid w:val="00F078FC"/>
    <w:rsid w:val="00F12088"/>
    <w:rsid w:val="00F12AC3"/>
    <w:rsid w:val="00F21786"/>
    <w:rsid w:val="00F21C4F"/>
    <w:rsid w:val="00F23CB5"/>
    <w:rsid w:val="00F270DB"/>
    <w:rsid w:val="00F33DCB"/>
    <w:rsid w:val="00F33FD6"/>
    <w:rsid w:val="00F362F3"/>
    <w:rsid w:val="00F3742B"/>
    <w:rsid w:val="00F374FD"/>
    <w:rsid w:val="00F41FDB"/>
    <w:rsid w:val="00F42397"/>
    <w:rsid w:val="00F502B0"/>
    <w:rsid w:val="00F50596"/>
    <w:rsid w:val="00F56D63"/>
    <w:rsid w:val="00F609A9"/>
    <w:rsid w:val="00F723FD"/>
    <w:rsid w:val="00F77D80"/>
    <w:rsid w:val="00F80C99"/>
    <w:rsid w:val="00F85E63"/>
    <w:rsid w:val="00F867EC"/>
    <w:rsid w:val="00F91B2B"/>
    <w:rsid w:val="00F93E0F"/>
    <w:rsid w:val="00FB2AE3"/>
    <w:rsid w:val="00FC03CD"/>
    <w:rsid w:val="00FC0646"/>
    <w:rsid w:val="00FC68B7"/>
    <w:rsid w:val="00FC6BBB"/>
    <w:rsid w:val="00FD6C6B"/>
    <w:rsid w:val="00FE6227"/>
    <w:rsid w:val="00FE6985"/>
    <w:rsid w:val="00FF64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0324"/>
  <w15:docId w15:val="{7EBB02AF-F45C-4DAC-B779-B0D8859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F33FD6"/>
    <w:rPr>
      <w:b/>
      <w:sz w:val="28"/>
      <w:lang w:val="en-GB"/>
    </w:rPr>
  </w:style>
  <w:style w:type="character" w:styleId="CommentReference">
    <w:name w:val="annotation reference"/>
    <w:basedOn w:val="DefaultParagraphFont"/>
    <w:semiHidden/>
    <w:unhideWhenUsed/>
    <w:rsid w:val="006F4ABA"/>
    <w:rPr>
      <w:sz w:val="16"/>
      <w:szCs w:val="16"/>
    </w:rPr>
  </w:style>
  <w:style w:type="paragraph" w:styleId="CommentText">
    <w:name w:val="annotation text"/>
    <w:basedOn w:val="Normal"/>
    <w:link w:val="CommentTextChar"/>
    <w:unhideWhenUsed/>
    <w:rsid w:val="006F4ABA"/>
    <w:pPr>
      <w:suppressAutoHyphens/>
      <w:spacing w:line="240" w:lineRule="auto"/>
    </w:pPr>
  </w:style>
  <w:style w:type="character" w:customStyle="1" w:styleId="CommentTextChar">
    <w:name w:val="Comment Text Char"/>
    <w:basedOn w:val="DefaultParagraphFont"/>
    <w:link w:val="CommentText"/>
    <w:rsid w:val="006F4ABA"/>
    <w:rPr>
      <w:lang w:val="en-GB"/>
    </w:rPr>
  </w:style>
  <w:style w:type="paragraph" w:styleId="CommentSubject">
    <w:name w:val="annotation subject"/>
    <w:basedOn w:val="CommentText"/>
    <w:next w:val="CommentText"/>
    <w:link w:val="CommentSubjectChar"/>
    <w:semiHidden/>
    <w:unhideWhenUsed/>
    <w:rsid w:val="00906FC1"/>
    <w:pPr>
      <w:suppressAutoHyphens w:val="0"/>
    </w:pPr>
    <w:rPr>
      <w:b/>
      <w:bCs/>
    </w:rPr>
  </w:style>
  <w:style w:type="character" w:customStyle="1" w:styleId="CommentSubjectChar">
    <w:name w:val="Comment Subject Char"/>
    <w:basedOn w:val="CommentTextChar"/>
    <w:link w:val="CommentSubject"/>
    <w:semiHidden/>
    <w:rsid w:val="00906FC1"/>
    <w:rPr>
      <w:b/>
      <w:bCs/>
      <w:lang w:val="en-GB"/>
    </w:rPr>
  </w:style>
  <w:style w:type="character" w:customStyle="1" w:styleId="H23GChar">
    <w:name w:val="_ H_2/3_G Char"/>
    <w:link w:val="H23G"/>
    <w:locked/>
    <w:rsid w:val="00D66BA8"/>
    <w:rPr>
      <w:b/>
      <w:lang w:val="en-GB"/>
    </w:rPr>
  </w:style>
  <w:style w:type="character" w:customStyle="1" w:styleId="ui-provider">
    <w:name w:val="ui-provider"/>
    <w:basedOn w:val="DefaultParagraphFont"/>
    <w:rsid w:val="00D66BA8"/>
  </w:style>
  <w:style w:type="character" w:styleId="UnresolvedMention">
    <w:name w:val="Unresolved Mention"/>
    <w:basedOn w:val="DefaultParagraphFont"/>
    <w:uiPriority w:val="99"/>
    <w:semiHidden/>
    <w:unhideWhenUsed/>
    <w:rsid w:val="007F39A2"/>
    <w:rPr>
      <w:color w:val="605E5C"/>
      <w:shd w:val="clear" w:color="auto" w:fill="E1DFDD"/>
    </w:rPr>
  </w:style>
  <w:style w:type="paragraph" w:styleId="Revision">
    <w:name w:val="Revision"/>
    <w:hidden/>
    <w:uiPriority w:val="99"/>
    <w:semiHidden/>
    <w:rsid w:val="0027411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ne.unep.org/system/files/documents/RTOC-assessment%20-report-2022.pdf" TargetMode="External"/><Relationship Id="rId18" Type="http://schemas.openxmlformats.org/officeDocument/2006/relationships/hyperlink" Target="https://unece.org/atp-competent-authorities-and-testing-st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ece.org/transport/documents/2022/02/working-documents/france-proposition-amendments-paragraph-737-appendix" TargetMode="External"/><Relationship Id="rId17" Type="http://schemas.openxmlformats.org/officeDocument/2006/relationships/hyperlink" Target="http://www.unece.org/trans/main/wp11/depnoti.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ece.org/trade/working-party-agricultural-quality-standards-wp7" TargetMode="External"/><Relationship Id="rId20" Type="http://schemas.openxmlformats.org/officeDocument/2006/relationships/hyperlink" Target="https://unece.org/transport/documents/2022/08/working-documents/france-amendments-comments-paragraph-4-annex-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ece.org/trade/wp7/wp7-76th-202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atp-competent-authorities-and-testing-s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de/wp7/ge11-29th-2021"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52D64DE6-B9B2-4548-B04E-F3296DA51EE3}"/>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20</Pages>
  <Words>6712</Words>
  <Characters>37091</Characters>
  <Application>Microsoft Office Word</Application>
  <DocSecurity>0</DocSecurity>
  <Lines>738</Lines>
  <Paragraphs>414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44032</CharactersWithSpaces>
  <SharedDoc>false</SharedDoc>
  <HLinks>
    <vt:vector size="54" baseType="variant">
      <vt:variant>
        <vt:i4>2293872</vt:i4>
      </vt:variant>
      <vt:variant>
        <vt:i4>24</vt:i4>
      </vt:variant>
      <vt:variant>
        <vt:i4>0</vt:i4>
      </vt:variant>
      <vt:variant>
        <vt:i4>5</vt:i4>
      </vt:variant>
      <vt:variant>
        <vt:lpwstr>https://unece.org/transport/documents/2022/08/working-documents/france-amendments-comments-paragraph-4-annex-2</vt:lpwstr>
      </vt:variant>
      <vt:variant>
        <vt:lpwstr/>
      </vt:variant>
      <vt:variant>
        <vt:i4>4194374</vt:i4>
      </vt:variant>
      <vt:variant>
        <vt:i4>21</vt:i4>
      </vt:variant>
      <vt:variant>
        <vt:i4>0</vt:i4>
      </vt:variant>
      <vt:variant>
        <vt:i4>5</vt:i4>
      </vt:variant>
      <vt:variant>
        <vt:lpwstr>https://unece.org/atp-competent-authorities-and-testing-stations</vt:lpwstr>
      </vt:variant>
      <vt:variant>
        <vt:lpwstr/>
      </vt:variant>
      <vt:variant>
        <vt:i4>4194374</vt:i4>
      </vt:variant>
      <vt:variant>
        <vt:i4>18</vt:i4>
      </vt:variant>
      <vt:variant>
        <vt:i4>0</vt:i4>
      </vt:variant>
      <vt:variant>
        <vt:i4>5</vt:i4>
      </vt:variant>
      <vt:variant>
        <vt:lpwstr>https://unece.org/atp-competent-authorities-and-testing-stations</vt:lpwstr>
      </vt:variant>
      <vt:variant>
        <vt:lpwstr/>
      </vt:variant>
      <vt:variant>
        <vt:i4>5046366</vt:i4>
      </vt:variant>
      <vt:variant>
        <vt:i4>15</vt:i4>
      </vt:variant>
      <vt:variant>
        <vt:i4>0</vt:i4>
      </vt:variant>
      <vt:variant>
        <vt:i4>5</vt:i4>
      </vt:variant>
      <vt:variant>
        <vt:lpwstr>http://www.unece.org/trans/main/wp11/depnoti.html</vt:lpwstr>
      </vt:variant>
      <vt:variant>
        <vt:lpwstr/>
      </vt:variant>
      <vt:variant>
        <vt:i4>983066</vt:i4>
      </vt:variant>
      <vt:variant>
        <vt:i4>12</vt:i4>
      </vt:variant>
      <vt:variant>
        <vt:i4>0</vt:i4>
      </vt:variant>
      <vt:variant>
        <vt:i4>5</vt:i4>
      </vt:variant>
      <vt:variant>
        <vt:lpwstr>https://unece.org/trade/working-party-agricultural-quality-standards-wp7</vt:lpwstr>
      </vt:variant>
      <vt:variant>
        <vt:lpwstr/>
      </vt:variant>
      <vt:variant>
        <vt:i4>655379</vt:i4>
      </vt:variant>
      <vt:variant>
        <vt:i4>9</vt:i4>
      </vt:variant>
      <vt:variant>
        <vt:i4>0</vt:i4>
      </vt:variant>
      <vt:variant>
        <vt:i4>5</vt:i4>
      </vt:variant>
      <vt:variant>
        <vt:lpwstr>https://unece.org/trade/wp7/wp7-76th-2021</vt:lpwstr>
      </vt:variant>
      <vt:variant>
        <vt:lpwstr/>
      </vt:variant>
      <vt:variant>
        <vt:i4>3604519</vt:i4>
      </vt:variant>
      <vt:variant>
        <vt:i4>6</vt:i4>
      </vt:variant>
      <vt:variant>
        <vt:i4>0</vt:i4>
      </vt:variant>
      <vt:variant>
        <vt:i4>5</vt:i4>
      </vt:variant>
      <vt:variant>
        <vt:lpwstr>https://unece.org/trade/wp7/ge11-29th-2021</vt:lpwstr>
      </vt:variant>
      <vt:variant>
        <vt:lpwstr/>
      </vt:variant>
      <vt:variant>
        <vt:i4>7078005</vt:i4>
      </vt:variant>
      <vt:variant>
        <vt:i4>3</vt:i4>
      </vt:variant>
      <vt:variant>
        <vt:i4>0</vt:i4>
      </vt:variant>
      <vt:variant>
        <vt:i4>5</vt:i4>
      </vt:variant>
      <vt:variant>
        <vt:lpwstr>https://ozone.unep.org/system/files/documents/RTOC-assessment -report-2022.pdf</vt:lpwstr>
      </vt:variant>
      <vt:variant>
        <vt:lpwstr/>
      </vt:variant>
      <vt:variant>
        <vt:i4>458833</vt:i4>
      </vt:variant>
      <vt:variant>
        <vt:i4>0</vt:i4>
      </vt:variant>
      <vt:variant>
        <vt:i4>0</vt:i4>
      </vt:variant>
      <vt:variant>
        <vt:i4>5</vt:i4>
      </vt:variant>
      <vt:variant>
        <vt:lpwstr>https://unece.org/transport/documents/2022/02/working-documents/france-proposition-amendments-paragraph-737-appendix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ECE/TRANS/WP.11/251</dc:title>
  <dc:subject>2324418</dc:subject>
  <dc:creator>Editorial</dc:creator>
  <cp:keywords/>
  <dc:description/>
  <cp:lastModifiedBy>Pauline Anne Escalante</cp:lastModifiedBy>
  <cp:revision>2</cp:revision>
  <cp:lastPrinted>2023-12-05T17:35:00Z</cp:lastPrinted>
  <dcterms:created xsi:type="dcterms:W3CDTF">2023-12-07T07:42:00Z</dcterms:created>
  <dcterms:modified xsi:type="dcterms:W3CDTF">2023-12-07T07:42:00Z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