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72063E" w14:paraId="7AD72D4A" w14:textId="77777777" w:rsidTr="00C97039">
        <w:trPr>
          <w:trHeight w:hRule="exact" w:val="851"/>
        </w:trPr>
        <w:tc>
          <w:tcPr>
            <w:tcW w:w="1276" w:type="dxa"/>
            <w:tcBorders>
              <w:bottom w:val="single" w:sz="4" w:space="0" w:color="auto"/>
            </w:tcBorders>
          </w:tcPr>
          <w:p w14:paraId="7F9DD190" w14:textId="77777777" w:rsidR="00F35BAF" w:rsidRPr="00DB58B5" w:rsidRDefault="00F35BAF" w:rsidP="005D3BC5"/>
        </w:tc>
        <w:tc>
          <w:tcPr>
            <w:tcW w:w="2268" w:type="dxa"/>
            <w:tcBorders>
              <w:bottom w:val="single" w:sz="4" w:space="0" w:color="auto"/>
            </w:tcBorders>
            <w:vAlign w:val="bottom"/>
          </w:tcPr>
          <w:p w14:paraId="647D870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EB32D21" w14:textId="18E8A3EB" w:rsidR="00F35BAF" w:rsidRPr="005D3BC5" w:rsidRDefault="005D3BC5" w:rsidP="005D3BC5">
            <w:pPr>
              <w:jc w:val="right"/>
              <w:rPr>
                <w:lang w:val="en-US"/>
              </w:rPr>
            </w:pPr>
            <w:r w:rsidRPr="005D3BC5">
              <w:rPr>
                <w:sz w:val="40"/>
                <w:lang w:val="en-US"/>
              </w:rPr>
              <w:t>ECE</w:t>
            </w:r>
            <w:r w:rsidRPr="005D3BC5">
              <w:rPr>
                <w:lang w:val="en-US"/>
              </w:rPr>
              <w:t>/TRANS/WP.15/AC.1/171/Add.1</w:t>
            </w:r>
          </w:p>
        </w:tc>
      </w:tr>
      <w:tr w:rsidR="00F35BAF" w:rsidRPr="00DB58B5" w14:paraId="3990265D" w14:textId="77777777" w:rsidTr="00C97039">
        <w:trPr>
          <w:trHeight w:hRule="exact" w:val="2835"/>
        </w:trPr>
        <w:tc>
          <w:tcPr>
            <w:tcW w:w="1276" w:type="dxa"/>
            <w:tcBorders>
              <w:top w:val="single" w:sz="4" w:space="0" w:color="auto"/>
              <w:bottom w:val="single" w:sz="12" w:space="0" w:color="auto"/>
            </w:tcBorders>
          </w:tcPr>
          <w:p w14:paraId="2BF17C13" w14:textId="77777777" w:rsidR="00F35BAF" w:rsidRPr="00DB58B5" w:rsidRDefault="00F35BAF" w:rsidP="00C97039">
            <w:pPr>
              <w:spacing w:before="120"/>
              <w:jc w:val="center"/>
            </w:pPr>
            <w:r>
              <w:rPr>
                <w:noProof/>
                <w:lang w:eastAsia="fr-CH"/>
              </w:rPr>
              <w:drawing>
                <wp:inline distT="0" distB="0" distL="0" distR="0" wp14:anchorId="6C35FD0F" wp14:editId="6E3A1ED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A31B90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04B3840" w14:textId="77777777" w:rsidR="00F35BAF" w:rsidRDefault="005D3BC5" w:rsidP="00C97039">
            <w:pPr>
              <w:spacing w:before="240"/>
            </w:pPr>
            <w:r>
              <w:t>Distr. générale</w:t>
            </w:r>
          </w:p>
          <w:p w14:paraId="653093B1" w14:textId="77777777" w:rsidR="005D3BC5" w:rsidRDefault="005D3BC5" w:rsidP="005D3BC5">
            <w:pPr>
              <w:spacing w:line="240" w:lineRule="exact"/>
            </w:pPr>
            <w:r>
              <w:t>9 janvier 2024</w:t>
            </w:r>
          </w:p>
          <w:p w14:paraId="26186E18" w14:textId="77777777" w:rsidR="005D3BC5" w:rsidRDefault="005D3BC5" w:rsidP="005D3BC5">
            <w:pPr>
              <w:spacing w:line="240" w:lineRule="exact"/>
            </w:pPr>
            <w:r>
              <w:t>Français</w:t>
            </w:r>
          </w:p>
          <w:p w14:paraId="1094DA87" w14:textId="6039237F" w:rsidR="005D3BC5" w:rsidRPr="00DB58B5" w:rsidRDefault="005D3BC5" w:rsidP="005D3BC5">
            <w:pPr>
              <w:spacing w:line="240" w:lineRule="exact"/>
            </w:pPr>
            <w:r>
              <w:t>Original : anglais</w:t>
            </w:r>
          </w:p>
        </w:tc>
      </w:tr>
    </w:tbl>
    <w:p w14:paraId="6A1C95E6" w14:textId="27B29C40" w:rsidR="007F20FA" w:rsidRPr="000312C0" w:rsidRDefault="007F20FA" w:rsidP="007F20FA">
      <w:pPr>
        <w:spacing w:before="120"/>
        <w:rPr>
          <w:b/>
          <w:sz w:val="28"/>
          <w:szCs w:val="28"/>
        </w:rPr>
      </w:pPr>
      <w:r w:rsidRPr="000312C0">
        <w:rPr>
          <w:b/>
          <w:sz w:val="28"/>
          <w:szCs w:val="28"/>
        </w:rPr>
        <w:t>Commission économique pour l</w:t>
      </w:r>
      <w:r w:rsidR="005D3BC5">
        <w:rPr>
          <w:b/>
          <w:sz w:val="28"/>
          <w:szCs w:val="28"/>
        </w:rPr>
        <w:t>’</w:t>
      </w:r>
      <w:r w:rsidRPr="000312C0">
        <w:rPr>
          <w:b/>
          <w:sz w:val="28"/>
          <w:szCs w:val="28"/>
        </w:rPr>
        <w:t>Europe</w:t>
      </w:r>
    </w:p>
    <w:p w14:paraId="65AF89C5" w14:textId="77777777" w:rsidR="007F20FA" w:rsidRDefault="007F20FA" w:rsidP="007F20FA">
      <w:pPr>
        <w:spacing w:before="120"/>
        <w:rPr>
          <w:sz w:val="28"/>
          <w:szCs w:val="28"/>
        </w:rPr>
      </w:pPr>
      <w:r w:rsidRPr="00685843">
        <w:rPr>
          <w:sz w:val="28"/>
          <w:szCs w:val="28"/>
        </w:rPr>
        <w:t>Comité des transports intérieurs</w:t>
      </w:r>
    </w:p>
    <w:p w14:paraId="4FB9AB84" w14:textId="77777777" w:rsidR="005D3BC5" w:rsidRPr="009E01B8" w:rsidRDefault="005D3BC5" w:rsidP="00AF0CB5">
      <w:pPr>
        <w:spacing w:before="120"/>
        <w:rPr>
          <w:b/>
          <w:sz w:val="24"/>
          <w:szCs w:val="24"/>
        </w:rPr>
      </w:pPr>
      <w:r w:rsidRPr="009E01B8">
        <w:rPr>
          <w:b/>
          <w:sz w:val="24"/>
          <w:szCs w:val="24"/>
        </w:rPr>
        <w:t>Groupe de travail des transports de marchandises dangereuses</w:t>
      </w:r>
    </w:p>
    <w:p w14:paraId="20F5BE8C" w14:textId="2FEAC09F" w:rsidR="005D3BC5" w:rsidRPr="00926E87" w:rsidRDefault="005D3BC5" w:rsidP="00AF0CB5">
      <w:pPr>
        <w:spacing w:before="120"/>
        <w:rPr>
          <w:b/>
        </w:rPr>
      </w:pPr>
      <w:r w:rsidRPr="00926E87">
        <w:rPr>
          <w:b/>
        </w:rPr>
        <w:t>Réunion commune de la Commission d</w:t>
      </w:r>
      <w:r>
        <w:rPr>
          <w:b/>
        </w:rPr>
        <w:t>’</w:t>
      </w:r>
      <w:r w:rsidRPr="00926E87">
        <w:rPr>
          <w:b/>
        </w:rPr>
        <w:t>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14:paraId="0E9BC14D" w14:textId="632493BF" w:rsidR="005D3BC5" w:rsidRDefault="005D3BC5" w:rsidP="000B06F7">
      <w:r>
        <w:rPr>
          <w:lang w:val="fr-FR"/>
        </w:rPr>
        <w:t>Berne, 25-28 mars 2024</w:t>
      </w:r>
    </w:p>
    <w:p w14:paraId="0853628B" w14:textId="16512469" w:rsidR="005D3BC5" w:rsidRDefault="005D3BC5" w:rsidP="00AF0CB5">
      <w:r>
        <w:rPr>
          <w:lang w:val="fr-FR"/>
        </w:rPr>
        <w:t>Point 1 de l’ordre du jour provisoire</w:t>
      </w:r>
    </w:p>
    <w:p w14:paraId="4A227171" w14:textId="799D7581" w:rsidR="005D3BC5" w:rsidRPr="000B06F7" w:rsidRDefault="005D3BC5" w:rsidP="005D3BC5">
      <w:pPr>
        <w:rPr>
          <w:b/>
          <w:bCs/>
        </w:rPr>
      </w:pPr>
      <w:r w:rsidRPr="000B06F7">
        <w:rPr>
          <w:b/>
          <w:bCs/>
          <w:lang w:val="fr-FR"/>
        </w:rPr>
        <w:t>Adoption de l’ordre du jour</w:t>
      </w:r>
    </w:p>
    <w:p w14:paraId="2666E7BA" w14:textId="77777777" w:rsidR="005D3BC5" w:rsidRPr="004A74EC" w:rsidRDefault="005D3BC5" w:rsidP="005D3BC5">
      <w:pPr>
        <w:pStyle w:val="HChG"/>
      </w:pPr>
      <w:r>
        <w:rPr>
          <w:lang w:val="fr-FR"/>
        </w:rPr>
        <w:tab/>
      </w:r>
      <w:r>
        <w:rPr>
          <w:lang w:val="fr-FR"/>
        </w:rPr>
        <w:tab/>
        <w:t>Ordre du jour provisoire de la session du printemps 2024</w:t>
      </w:r>
    </w:p>
    <w:p w14:paraId="54D47EB8" w14:textId="77777777" w:rsidR="005D3BC5" w:rsidRPr="004A74EC" w:rsidRDefault="005D3BC5" w:rsidP="005D3BC5">
      <w:pPr>
        <w:pStyle w:val="H23G"/>
      </w:pPr>
      <w:r>
        <w:rPr>
          <w:lang w:val="fr-FR"/>
        </w:rPr>
        <w:tab/>
      </w:r>
      <w:r>
        <w:rPr>
          <w:lang w:val="fr-FR"/>
        </w:rPr>
        <w:tab/>
        <w:t>Additif</w:t>
      </w:r>
    </w:p>
    <w:p w14:paraId="770E42DD" w14:textId="77777777" w:rsidR="005D3BC5" w:rsidRPr="0087772D" w:rsidRDefault="005D3BC5" w:rsidP="005D3BC5">
      <w:pPr>
        <w:pStyle w:val="H1G"/>
      </w:pPr>
      <w:r>
        <w:rPr>
          <w:lang w:val="fr-FR"/>
        </w:rPr>
        <w:tab/>
      </w:r>
      <w:r>
        <w:rPr>
          <w:lang w:val="fr-FR"/>
        </w:rPr>
        <w:tab/>
        <w:t>Annotations et liste des documents</w:t>
      </w:r>
    </w:p>
    <w:p w14:paraId="7928194F" w14:textId="477152E3" w:rsidR="005D3BC5" w:rsidRPr="004A74EC" w:rsidRDefault="005D3BC5" w:rsidP="005D3BC5">
      <w:pPr>
        <w:pStyle w:val="H1G"/>
      </w:pPr>
      <w:r>
        <w:rPr>
          <w:bCs/>
          <w:lang w:val="fr-FR"/>
        </w:rPr>
        <w:tab/>
        <w:t>1.</w:t>
      </w:r>
      <w:r>
        <w:rPr>
          <w:lang w:val="fr-FR"/>
        </w:rPr>
        <w:tab/>
        <w:t>Adoption de l’ordre du jour</w:t>
      </w:r>
    </w:p>
    <w:p w14:paraId="125FE3D0" w14:textId="0A723109" w:rsidR="005D3BC5" w:rsidRPr="004A74EC" w:rsidRDefault="005D3BC5" w:rsidP="005D3BC5">
      <w:pPr>
        <w:pStyle w:val="SingleTxtG"/>
        <w:ind w:firstLine="567"/>
      </w:pPr>
      <w:r>
        <w:rPr>
          <w:lang w:val="fr-FR"/>
        </w:rPr>
        <w:t>Le premier point de l’ordre du jour concerne son adoption. La Réunion commune sera en outre saisie du rapport sur sa session de l’automne 2023, tenue à Genève du 19 au 27 septembre 2023 (ECE/TRANS/WP.15/AC.1/170</w:t>
      </w:r>
      <w:r w:rsidR="000B06F7">
        <w:rPr>
          <w:lang w:val="fr-FR"/>
        </w:rPr>
        <w:t>-</w:t>
      </w:r>
      <w:r>
        <w:rPr>
          <w:lang w:val="fr-FR"/>
        </w:rPr>
        <w:t>OTIF/RID/RC/2023-B et Add.1).</w:t>
      </w:r>
    </w:p>
    <w:p w14:paraId="03B35CA3" w14:textId="5B9427E1" w:rsidR="005D3BC5" w:rsidRPr="004A74EC" w:rsidRDefault="005D3BC5" w:rsidP="005D3BC5">
      <w:pPr>
        <w:pStyle w:val="SingleTxtG"/>
        <w:ind w:firstLine="567"/>
      </w:pPr>
      <w:r>
        <w:rPr>
          <w:lang w:val="fr-FR"/>
        </w:rPr>
        <w:t>Il convient de rappeler les points suivants :</w:t>
      </w:r>
    </w:p>
    <w:p w14:paraId="12F583ED" w14:textId="09CAC969" w:rsidR="005D3BC5" w:rsidRPr="004A74EC" w:rsidRDefault="005D3BC5" w:rsidP="005D3BC5">
      <w:pPr>
        <w:pStyle w:val="SingleTxtG"/>
        <w:ind w:firstLine="567"/>
      </w:pPr>
      <w:r>
        <w:rPr>
          <w:lang w:val="fr-FR"/>
        </w:rPr>
        <w:t>a)</w:t>
      </w:r>
      <w:r>
        <w:rPr>
          <w:lang w:val="fr-FR"/>
        </w:rPr>
        <w:tab/>
        <w:t>À sa session de l’automne 2023, la Réunion commune a élu M</w:t>
      </w:r>
      <w:r w:rsidRPr="000B06F7">
        <w:rPr>
          <w:vertAlign w:val="superscript"/>
          <w:lang w:val="fr-FR"/>
        </w:rPr>
        <w:t>me</w:t>
      </w:r>
      <w:r>
        <w:rPr>
          <w:lang w:val="fr-FR"/>
        </w:rPr>
        <w:t xml:space="preserve"> S. García </w:t>
      </w:r>
      <w:proofErr w:type="spellStart"/>
      <w:r>
        <w:rPr>
          <w:lang w:val="fr-FR"/>
        </w:rPr>
        <w:t>Wolfrum</w:t>
      </w:r>
      <w:proofErr w:type="spellEnd"/>
      <w:r>
        <w:rPr>
          <w:lang w:val="fr-FR"/>
        </w:rPr>
        <w:t xml:space="preserve"> (Espagne) à la présidence et M. S. Mahesh (Pays-Bas) à la vice-présidence pour 2024 ;</w:t>
      </w:r>
    </w:p>
    <w:p w14:paraId="6FD2E31A" w14:textId="083FA414" w:rsidR="005D3BC5" w:rsidRPr="004A74EC" w:rsidRDefault="005D3BC5" w:rsidP="005D3BC5">
      <w:pPr>
        <w:pStyle w:val="SingleTxtG"/>
        <w:ind w:firstLine="567"/>
      </w:pPr>
      <w:r>
        <w:rPr>
          <w:lang w:val="fr-FR"/>
        </w:rPr>
        <w:t>b)</w:t>
      </w:r>
      <w:r>
        <w:rPr>
          <w:lang w:val="fr-FR"/>
        </w:rPr>
        <w:tab/>
        <w:t xml:space="preserve">Les documents de la CEE (autres que les ordres du jour ou les rapports) portant la cote ECE/TRANS/WP.15/AC.1/ sont diffusés par l’Organisation </w:t>
      </w:r>
      <w:proofErr w:type="spellStart"/>
      <w:r>
        <w:rPr>
          <w:lang w:val="fr-FR"/>
        </w:rPr>
        <w:t>intergouvernementale</w:t>
      </w:r>
      <w:proofErr w:type="spellEnd"/>
      <w:r>
        <w:rPr>
          <w:lang w:val="fr-FR"/>
        </w:rPr>
        <w:t xml:space="preserve"> pour les transports internationaux ferroviaires (OTIF) en allemand sous la cote OTIF/RID/RC/ complétée par le même numéro de document. Par souci d’économie, aucun document ne sera distribué en salle de réunion. Les représentantes et représentants sont donc priés de se rendre à la session munis de leurs propres exemplaires ;</w:t>
      </w:r>
    </w:p>
    <w:p w14:paraId="085F4BA5" w14:textId="63ADDC00" w:rsidR="005D3BC5" w:rsidRPr="004A74EC" w:rsidRDefault="005D3BC5" w:rsidP="005D3BC5">
      <w:pPr>
        <w:pStyle w:val="SingleTxtG"/>
        <w:ind w:firstLine="567"/>
      </w:pPr>
      <w:r>
        <w:rPr>
          <w:lang w:val="fr-FR"/>
        </w:rPr>
        <w:t>c)</w:t>
      </w:r>
      <w:r>
        <w:rPr>
          <w:lang w:val="fr-FR"/>
        </w:rPr>
        <w:tab/>
        <w:t>Les documents seront mis à disposition en anglais, en français et en russe sur le site Web de la CEE (</w:t>
      </w:r>
      <w:hyperlink r:id="rId8" w:history="1">
        <w:r w:rsidRPr="000B06F7">
          <w:rPr>
            <w:rStyle w:val="Lienhypertexte"/>
            <w:lang w:val="fr-FR"/>
          </w:rPr>
          <w:t>https://unece.org/info/Transport/Dangerous-Goods/events/379552</w:t>
        </w:r>
      </w:hyperlink>
      <w:r>
        <w:rPr>
          <w:lang w:val="fr-FR"/>
        </w:rPr>
        <w:t>) et en allemand sur le site Web de l’OTIF (</w:t>
      </w:r>
      <w:hyperlink r:id="rId9" w:history="1">
        <w:r w:rsidRPr="000B06F7">
          <w:rPr>
            <w:rStyle w:val="Lienhypertexte"/>
            <w:lang w:val="fr-FR"/>
          </w:rPr>
          <w:t>http://otif.org/de/?page_id=7327</w:t>
        </w:r>
      </w:hyperlink>
      <w:r>
        <w:rPr>
          <w:lang w:val="fr-FR"/>
        </w:rPr>
        <w:t>) ;</w:t>
      </w:r>
    </w:p>
    <w:p w14:paraId="4AE59B55" w14:textId="170130F0" w:rsidR="005D3BC5" w:rsidRPr="004A74EC" w:rsidRDefault="005D3BC5" w:rsidP="005D3BC5">
      <w:pPr>
        <w:pStyle w:val="SingleTxtG"/>
        <w:ind w:firstLine="567"/>
      </w:pPr>
      <w:r>
        <w:rPr>
          <w:lang w:val="fr-FR"/>
        </w:rPr>
        <w:t>d)</w:t>
      </w:r>
      <w:r>
        <w:rPr>
          <w:lang w:val="fr-FR"/>
        </w:rPr>
        <w:tab/>
        <w:t>La Réunion commune souhaitera éventuellement, si nécessaire, qu’un groupe de travail spécial se réunisse en dehors des heures de séance plénière pour examiner les documents relatifs aux normes (point 3), conformément au mandat qu’elle établira ;</w:t>
      </w:r>
    </w:p>
    <w:p w14:paraId="6584F407" w14:textId="30728A4A" w:rsidR="005D3BC5" w:rsidRPr="004A74EC" w:rsidRDefault="005D3BC5" w:rsidP="005D3BC5">
      <w:pPr>
        <w:pStyle w:val="SingleTxtG"/>
        <w:ind w:firstLine="567"/>
      </w:pPr>
      <w:r>
        <w:rPr>
          <w:lang w:val="fr-FR"/>
        </w:rPr>
        <w:t>e)</w:t>
      </w:r>
      <w:r>
        <w:rPr>
          <w:lang w:val="fr-FR"/>
        </w:rPr>
        <w:tab/>
        <w:t>La session étant écourtée d’une journée, le Groupe de travail des citernes tiendra une réunion en ligne les 26 et 27 février 2024 pour examiner les documents soumis au titre du point 2 (Citernes). Si nécessaire, cette réunion se poursuivra le 1</w:t>
      </w:r>
      <w:r w:rsidRPr="000B06F7">
        <w:rPr>
          <w:vertAlign w:val="superscript"/>
          <w:lang w:val="fr-FR"/>
        </w:rPr>
        <w:t>er</w:t>
      </w:r>
      <w:r w:rsidR="000B06F7">
        <w:rPr>
          <w:lang w:val="fr-FR"/>
        </w:rPr>
        <w:t> </w:t>
      </w:r>
      <w:r>
        <w:rPr>
          <w:lang w:val="fr-FR"/>
        </w:rPr>
        <w:t>mars 2024. Le</w:t>
      </w:r>
      <w:r w:rsidR="000B06F7">
        <w:rPr>
          <w:lang w:val="fr-FR"/>
        </w:rPr>
        <w:t> </w:t>
      </w:r>
      <w:r>
        <w:rPr>
          <w:lang w:val="fr-FR"/>
        </w:rPr>
        <w:t xml:space="preserve">rapport du Groupe de travail des citernes sera soumis à la Réunion commune en tant que </w:t>
      </w:r>
      <w:r>
        <w:rPr>
          <w:lang w:val="fr-FR"/>
        </w:rPr>
        <w:lastRenderedPageBreak/>
        <w:t>document informel. Les représentantes et représentants souhaitant participer à la réunion du Groupe de travail des citernes sont priés de prendre contact avec M. A. Bale (Royaume-Uni de Grande-Bretagne et d’Irlande du Nord) (Arne.Bale@socotec.com) ;</w:t>
      </w:r>
    </w:p>
    <w:p w14:paraId="38929CD1" w14:textId="661B62A8" w:rsidR="005D3BC5" w:rsidRPr="004A74EC" w:rsidRDefault="005D3BC5" w:rsidP="005D3BC5">
      <w:pPr>
        <w:pStyle w:val="SingleTxtG"/>
        <w:ind w:firstLine="567"/>
        <w:rPr>
          <w:b/>
        </w:rPr>
      </w:pPr>
      <w:r>
        <w:rPr>
          <w:lang w:val="fr-FR"/>
        </w:rPr>
        <w:t>f)</w:t>
      </w:r>
      <w:r>
        <w:rPr>
          <w:lang w:val="fr-FR"/>
        </w:rPr>
        <w:tab/>
        <w:t>Le vendredi 29 mars 2024 est un jour férié dans de nombreux États contractants et Parties contractantes. En consultation avec la présidence, le secrétariat a donc décidé que la session s’achèverait le jeudi 28 mars 2024 au plus tard à 13 h 30 afin de permettre aux représentantes et représentants de rentrer chez eux le jour-même. De ce fait, il sera donné lecture du rapport (au titre du point 11) le jeudi matin, avec interprétation ;</w:t>
      </w:r>
    </w:p>
    <w:p w14:paraId="6B96C375" w14:textId="21F45668" w:rsidR="005D3BC5" w:rsidRDefault="005D3BC5" w:rsidP="005D3BC5">
      <w:pPr>
        <w:pStyle w:val="SingleTxtG"/>
        <w:ind w:firstLine="567"/>
        <w:rPr>
          <w:b/>
        </w:rPr>
      </w:pPr>
      <w:r>
        <w:rPr>
          <w:lang w:val="fr-FR"/>
        </w:rPr>
        <w:t>g)</w:t>
      </w:r>
      <w:r>
        <w:rPr>
          <w:lang w:val="fr-FR"/>
        </w:rPr>
        <w:tab/>
        <w:t xml:space="preserve">Les représentantes et représentants souhaitant participer à la session sont priés de s’inscrire en remplissant le </w:t>
      </w:r>
      <w:hyperlink r:id="rId10" w:history="1">
        <w:r w:rsidRPr="006C3EEB">
          <w:rPr>
            <w:rStyle w:val="Lienhypertexte"/>
            <w:lang w:val="fr-FR"/>
          </w:rPr>
          <w:t>formulaire en ligne</w:t>
        </w:r>
      </w:hyperlink>
      <w:r>
        <w:rPr>
          <w:lang w:val="fr-FR"/>
        </w:rPr>
        <w:t xml:space="preserve"> </w:t>
      </w:r>
      <w:r w:rsidRPr="0072063E">
        <w:rPr>
          <w:b/>
          <w:bCs/>
          <w:lang w:val="fr-FR"/>
        </w:rPr>
        <w:t>d’ici au 8 mars 2024</w:t>
      </w:r>
      <w:r w:rsidRPr="0072063E">
        <w:rPr>
          <w:lang w:val="fr-FR"/>
        </w:rPr>
        <w:t>.</w:t>
      </w:r>
    </w:p>
    <w:p w14:paraId="11D54EED" w14:textId="61086FDD" w:rsidR="005D3BC5" w:rsidRDefault="005D3BC5" w:rsidP="005D3BC5">
      <w:pPr>
        <w:pStyle w:val="H1G"/>
        <w:rPr>
          <w:lang w:val="fr-FR"/>
        </w:rPr>
      </w:pPr>
      <w:r>
        <w:rPr>
          <w:bCs/>
          <w:lang w:val="fr-FR"/>
        </w:rPr>
        <w:tab/>
        <w:t>2.</w:t>
      </w:r>
      <w:r>
        <w:rPr>
          <w:lang w:val="fr-FR"/>
        </w:rPr>
        <w:tab/>
        <w:t>Citernes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5D3BC5" w:rsidRPr="004A74EC" w14:paraId="1CBE6041" w14:textId="77777777" w:rsidTr="00CC3A6C">
        <w:tc>
          <w:tcPr>
            <w:tcW w:w="3654" w:type="dxa"/>
          </w:tcPr>
          <w:p w14:paraId="69D9A25E" w14:textId="77777777" w:rsidR="005D3BC5" w:rsidRPr="005D3BC5" w:rsidRDefault="005D3BC5" w:rsidP="00CC3A6C">
            <w:pPr>
              <w:pStyle w:val="SingleTxtG"/>
              <w:spacing w:after="60"/>
              <w:ind w:left="0" w:right="175"/>
              <w:jc w:val="left"/>
              <w:rPr>
                <w:lang w:val="en-US"/>
              </w:rPr>
            </w:pPr>
            <w:r w:rsidRPr="005D3BC5">
              <w:rPr>
                <w:lang w:val="en-US"/>
              </w:rPr>
              <w:t>ECE/TRANS/WP.15/AC.1/2024/1 (UIP)</w:t>
            </w:r>
          </w:p>
        </w:tc>
        <w:tc>
          <w:tcPr>
            <w:tcW w:w="4851" w:type="dxa"/>
          </w:tcPr>
          <w:p w14:paraId="5D36DCB8" w14:textId="77777777" w:rsidR="005D3BC5" w:rsidRPr="004A74EC" w:rsidRDefault="005D3BC5" w:rsidP="00CC3A6C">
            <w:pPr>
              <w:pStyle w:val="SingleTxtG"/>
              <w:spacing w:after="60"/>
              <w:ind w:left="0" w:right="175"/>
              <w:jc w:val="left"/>
            </w:pPr>
            <w:r>
              <w:rPr>
                <w:lang w:val="fr-FR"/>
              </w:rPr>
              <w:t>Contrôle des citernes passé la date spécifiée pour le contrôle intermédiaire</w:t>
            </w:r>
          </w:p>
        </w:tc>
      </w:tr>
      <w:tr w:rsidR="005D3BC5" w:rsidRPr="004A74EC" w14:paraId="34865380" w14:textId="77777777" w:rsidTr="00CC3A6C">
        <w:tc>
          <w:tcPr>
            <w:tcW w:w="3654" w:type="dxa"/>
          </w:tcPr>
          <w:p w14:paraId="4E7F562F" w14:textId="7268570B" w:rsidR="005D3BC5" w:rsidRPr="004A74EC" w:rsidRDefault="005D3BC5" w:rsidP="00CC3A6C">
            <w:pPr>
              <w:pStyle w:val="SingleTxtG"/>
              <w:spacing w:after="60"/>
              <w:ind w:left="0" w:right="175"/>
              <w:jc w:val="left"/>
            </w:pPr>
            <w:r>
              <w:rPr>
                <w:lang w:val="fr-FR"/>
              </w:rPr>
              <w:t xml:space="preserve">ECE/TRANS/WP.15/AC.1/2024/18 </w:t>
            </w:r>
            <w:r>
              <w:rPr>
                <w:lang w:val="fr-FR"/>
              </w:rPr>
              <w:br/>
              <w:t>(Pays-Bas)</w:t>
            </w:r>
          </w:p>
        </w:tc>
        <w:tc>
          <w:tcPr>
            <w:tcW w:w="4851" w:type="dxa"/>
          </w:tcPr>
          <w:p w14:paraId="061A283D" w14:textId="77777777" w:rsidR="005D3BC5" w:rsidRPr="004A74EC" w:rsidRDefault="005D3BC5" w:rsidP="00CC3A6C">
            <w:pPr>
              <w:pStyle w:val="SingleTxtG"/>
              <w:spacing w:after="60"/>
              <w:ind w:left="0" w:right="175"/>
              <w:jc w:val="left"/>
            </w:pPr>
            <w:r>
              <w:rPr>
                <w:lang w:val="fr-FR"/>
              </w:rPr>
              <w:t>Exemption du calcul du temps de retenue réel pour les conteneurs-citernes et les citernes mobiles utilisés uniquement sur un parcours routier</w:t>
            </w:r>
          </w:p>
        </w:tc>
      </w:tr>
      <w:tr w:rsidR="005D3BC5" w:rsidRPr="004A74EC" w14:paraId="3892B0F0" w14:textId="77777777" w:rsidTr="00CC3A6C">
        <w:tc>
          <w:tcPr>
            <w:tcW w:w="3654" w:type="dxa"/>
          </w:tcPr>
          <w:p w14:paraId="203E16D7" w14:textId="77777777" w:rsidR="005D3BC5" w:rsidRPr="005D3BC5" w:rsidRDefault="005D3BC5" w:rsidP="00CC3A6C">
            <w:pPr>
              <w:pStyle w:val="SingleTxtG"/>
              <w:spacing w:after="60"/>
              <w:ind w:left="0" w:right="175"/>
              <w:jc w:val="left"/>
              <w:rPr>
                <w:lang w:val="en-US"/>
              </w:rPr>
            </w:pPr>
            <w:r w:rsidRPr="005D3BC5">
              <w:rPr>
                <w:lang w:val="en-US"/>
              </w:rPr>
              <w:t>ECE/TRANS/WP.15/AC.1/2024/26 (UIC)</w:t>
            </w:r>
          </w:p>
        </w:tc>
        <w:tc>
          <w:tcPr>
            <w:tcW w:w="4851" w:type="dxa"/>
          </w:tcPr>
          <w:p w14:paraId="08FEF892" w14:textId="7297415A" w:rsidR="005D3BC5" w:rsidRPr="004A74EC" w:rsidRDefault="005D3BC5" w:rsidP="00CC3A6C">
            <w:pPr>
              <w:pStyle w:val="SingleTxtG"/>
              <w:spacing w:after="60"/>
              <w:ind w:left="0" w:right="175"/>
              <w:jc w:val="left"/>
            </w:pPr>
            <w:r>
              <w:rPr>
                <w:lang w:val="fr-FR"/>
              </w:rPr>
              <w:t>Clarification du rôle de l’expéditeur dans le cas des wagons-citernes, conteneurs-citernes et citernes mobiles (chargés et vides non nettoyés) destinés au transport de gaz liquéfiés réfrigérés</w:t>
            </w:r>
          </w:p>
        </w:tc>
      </w:tr>
    </w:tbl>
    <w:p w14:paraId="4466462D" w14:textId="1BB84F66" w:rsidR="005D3BC5" w:rsidRDefault="005D3BC5" w:rsidP="005D3BC5">
      <w:pPr>
        <w:pStyle w:val="H1G"/>
        <w:rPr>
          <w:lang w:val="fr-FR"/>
        </w:rPr>
      </w:pPr>
      <w:r>
        <w:rPr>
          <w:bCs/>
          <w:lang w:val="fr-FR"/>
        </w:rPr>
        <w:tab/>
        <w:t>3.</w:t>
      </w:r>
      <w:r>
        <w:rPr>
          <w:lang w:val="fr-FR"/>
        </w:rPr>
        <w:tab/>
        <w:t>Normes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5D3BC5" w:rsidRPr="00DE2AB7" w14:paraId="15000247" w14:textId="77777777" w:rsidTr="00CC3A6C">
        <w:tc>
          <w:tcPr>
            <w:tcW w:w="3654" w:type="dxa"/>
          </w:tcPr>
          <w:p w14:paraId="783CAC78" w14:textId="77777777" w:rsidR="005D3BC5" w:rsidRPr="005D3BC5" w:rsidRDefault="005D3BC5" w:rsidP="00CC3A6C">
            <w:pPr>
              <w:pStyle w:val="SingleTxtG"/>
              <w:tabs>
                <w:tab w:val="left" w:pos="3720"/>
              </w:tabs>
              <w:ind w:left="0" w:right="176"/>
              <w:jc w:val="left"/>
              <w:rPr>
                <w:lang w:val="en-US"/>
              </w:rPr>
            </w:pPr>
            <w:r w:rsidRPr="00DE2AB7">
              <w:rPr>
                <w:lang w:val="en-US"/>
              </w:rPr>
              <w:t>ECE/TRANS/WP.15/AC.1/2024/9 (CEN)</w:t>
            </w:r>
          </w:p>
        </w:tc>
        <w:tc>
          <w:tcPr>
            <w:tcW w:w="4851" w:type="dxa"/>
          </w:tcPr>
          <w:p w14:paraId="4AB175C6" w14:textId="0412AB29" w:rsidR="005D3BC5" w:rsidRPr="00DE2AB7" w:rsidRDefault="005D3BC5" w:rsidP="00CC3A6C">
            <w:pPr>
              <w:pStyle w:val="SingleTxtG"/>
              <w:tabs>
                <w:tab w:val="left" w:pos="3720"/>
              </w:tabs>
              <w:ind w:left="0" w:right="176"/>
              <w:jc w:val="left"/>
            </w:pPr>
            <w:r>
              <w:rPr>
                <w:lang w:val="fr-FR"/>
              </w:rPr>
              <w:t>Informations sur les activités du Groupe de travail des</w:t>
            </w:r>
            <w:r w:rsidR="006C3EEB">
              <w:rPr>
                <w:lang w:val="fr-FR"/>
              </w:rPr>
              <w:t> </w:t>
            </w:r>
            <w:r>
              <w:rPr>
                <w:lang w:val="fr-FR"/>
              </w:rPr>
              <w:t>normes</w:t>
            </w:r>
          </w:p>
        </w:tc>
      </w:tr>
    </w:tbl>
    <w:p w14:paraId="6F993878" w14:textId="6B9BFD93" w:rsidR="005D3BC5" w:rsidRDefault="005D3BC5" w:rsidP="005D3BC5">
      <w:pPr>
        <w:pStyle w:val="H1G"/>
        <w:rPr>
          <w:lang w:val="fr-FR"/>
        </w:rPr>
      </w:pPr>
      <w:r>
        <w:rPr>
          <w:bCs/>
          <w:lang w:val="fr-FR"/>
        </w:rPr>
        <w:tab/>
        <w:t>4.</w:t>
      </w:r>
      <w:r>
        <w:rPr>
          <w:lang w:val="fr-FR"/>
        </w:rPr>
        <w:tab/>
        <w:t>Interprétation du RID, de l’ADR et de l’ADN</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5D3BC5" w:rsidRPr="00DE2AB7" w14:paraId="432FACB5" w14:textId="77777777" w:rsidTr="00CC3A6C">
        <w:tc>
          <w:tcPr>
            <w:tcW w:w="3654" w:type="dxa"/>
          </w:tcPr>
          <w:p w14:paraId="14E0C8EF" w14:textId="77777777" w:rsidR="005D3BC5" w:rsidRPr="00DE2AB7" w:rsidRDefault="005D3BC5" w:rsidP="00CC3A6C">
            <w:pPr>
              <w:pStyle w:val="SingleTxtG"/>
              <w:tabs>
                <w:tab w:val="left" w:pos="3720"/>
              </w:tabs>
              <w:ind w:left="0" w:right="176"/>
              <w:jc w:val="left"/>
            </w:pPr>
            <w:r>
              <w:rPr>
                <w:lang w:val="fr-FR"/>
              </w:rPr>
              <w:t>ECE/TRANS/WP.15/AC.1/2024/21 (Allemagne)</w:t>
            </w:r>
          </w:p>
        </w:tc>
        <w:tc>
          <w:tcPr>
            <w:tcW w:w="4851" w:type="dxa"/>
          </w:tcPr>
          <w:p w14:paraId="0E89452E" w14:textId="788DD979" w:rsidR="005D3BC5" w:rsidRPr="00DE2AB7" w:rsidRDefault="005D3BC5" w:rsidP="00CC3A6C">
            <w:pPr>
              <w:pStyle w:val="SingleTxtG"/>
              <w:tabs>
                <w:tab w:val="left" w:pos="3720"/>
              </w:tabs>
              <w:ind w:left="0" w:right="176"/>
              <w:jc w:val="left"/>
            </w:pPr>
            <w:r>
              <w:rPr>
                <w:lang w:val="fr-FR"/>
              </w:rPr>
              <w:t>Transport avec régulation de température : prescriptions énoncées au 7.1.7.4.2 de l’ADR et de l’ADN</w:t>
            </w:r>
          </w:p>
        </w:tc>
      </w:tr>
    </w:tbl>
    <w:p w14:paraId="37E16E27" w14:textId="400AAEBF" w:rsidR="005D3BC5" w:rsidRPr="004A74EC" w:rsidRDefault="005D3BC5" w:rsidP="005D3BC5">
      <w:pPr>
        <w:pStyle w:val="H1G"/>
      </w:pPr>
      <w:r>
        <w:rPr>
          <w:bCs/>
          <w:lang w:val="fr-FR"/>
        </w:rPr>
        <w:tab/>
        <w:t>5.</w:t>
      </w:r>
      <w:r>
        <w:rPr>
          <w:lang w:val="fr-FR"/>
        </w:rPr>
        <w:tab/>
        <w:t>Propositions d’amendements au RID, à l’ADR et à l’ADN</w:t>
      </w:r>
    </w:p>
    <w:p w14:paraId="5E4BAADA" w14:textId="55B407B4" w:rsidR="005D3BC5" w:rsidRDefault="005D3BC5" w:rsidP="005D3BC5">
      <w:pPr>
        <w:pStyle w:val="H1G"/>
        <w:rPr>
          <w:lang w:val="fr-FR"/>
        </w:rPr>
      </w:pPr>
      <w:r>
        <w:rPr>
          <w:bCs/>
          <w:lang w:val="fr-FR"/>
        </w:rPr>
        <w:tab/>
        <w:t>a)</w:t>
      </w:r>
      <w:r>
        <w:rPr>
          <w:lang w:val="fr-FR"/>
        </w:rPr>
        <w:tab/>
        <w:t>Questions en suspens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5D3BC5" w:rsidRPr="00DE2AB7" w14:paraId="2827B6B8" w14:textId="77777777" w:rsidTr="00CC3A6C">
        <w:tc>
          <w:tcPr>
            <w:tcW w:w="3654" w:type="dxa"/>
          </w:tcPr>
          <w:p w14:paraId="72276E9B" w14:textId="77777777" w:rsidR="005D3BC5" w:rsidRPr="004A74EC" w:rsidRDefault="005D3BC5" w:rsidP="00CC3A6C">
            <w:pPr>
              <w:pStyle w:val="SingleTxtG"/>
              <w:spacing w:after="0"/>
              <w:ind w:left="0" w:right="175"/>
              <w:jc w:val="left"/>
            </w:pPr>
            <w:r>
              <w:rPr>
                <w:lang w:val="fr-FR"/>
              </w:rPr>
              <w:t>ECE/TRANS/WP.15/AC.1/2024/3 (LGE)</w:t>
            </w:r>
          </w:p>
        </w:tc>
        <w:tc>
          <w:tcPr>
            <w:tcW w:w="4851" w:type="dxa"/>
          </w:tcPr>
          <w:p w14:paraId="6DCB37C7" w14:textId="4E355A4F" w:rsidR="005D3BC5" w:rsidRPr="00DE2AB7" w:rsidRDefault="005D3BC5" w:rsidP="00CC3A6C">
            <w:pPr>
              <w:pStyle w:val="SingleTxtG"/>
              <w:tabs>
                <w:tab w:val="left" w:pos="3720"/>
              </w:tabs>
              <w:ind w:left="0" w:right="176"/>
              <w:jc w:val="left"/>
            </w:pPr>
            <w:r>
              <w:rPr>
                <w:lang w:val="fr-FR"/>
              </w:rPr>
              <w:t>Nota destiné à accompagner le nouveau diagramme figurant à la fin de l’instruction d’emballage P200, au</w:t>
            </w:r>
            <w:r w:rsidR="006C3EEB">
              <w:rPr>
                <w:lang w:val="fr-FR"/>
              </w:rPr>
              <w:t> </w:t>
            </w:r>
            <w:r>
              <w:rPr>
                <w:lang w:val="fr-FR"/>
              </w:rPr>
              <w:t>4.1.4.1</w:t>
            </w:r>
          </w:p>
        </w:tc>
      </w:tr>
      <w:tr w:rsidR="005D3BC5" w:rsidRPr="00DE2AB7" w14:paraId="0ED3A355" w14:textId="77777777" w:rsidTr="00CC3A6C">
        <w:tc>
          <w:tcPr>
            <w:tcW w:w="3654" w:type="dxa"/>
          </w:tcPr>
          <w:p w14:paraId="16997A34" w14:textId="77777777" w:rsidR="005D3BC5" w:rsidRPr="004A74EC" w:rsidRDefault="005D3BC5" w:rsidP="00CC3A6C">
            <w:pPr>
              <w:pStyle w:val="SingleTxtG"/>
              <w:spacing w:after="0"/>
              <w:ind w:left="0" w:right="175"/>
              <w:jc w:val="left"/>
            </w:pPr>
            <w:r>
              <w:rPr>
                <w:lang w:val="fr-FR"/>
              </w:rPr>
              <w:t>ECE/TRANS/WP.15/AC.1/2024/7 (CEPE)</w:t>
            </w:r>
          </w:p>
        </w:tc>
        <w:tc>
          <w:tcPr>
            <w:tcW w:w="4851" w:type="dxa"/>
          </w:tcPr>
          <w:p w14:paraId="18F1C9B3" w14:textId="12354FC7" w:rsidR="005D3BC5" w:rsidRPr="00DE2AB7" w:rsidRDefault="005D3BC5" w:rsidP="00CC3A6C">
            <w:pPr>
              <w:pStyle w:val="SingleTxtG"/>
              <w:tabs>
                <w:tab w:val="left" w:pos="3720"/>
              </w:tabs>
              <w:ind w:left="0" w:right="176"/>
              <w:jc w:val="left"/>
            </w:pPr>
            <w:r>
              <w:rPr>
                <w:lang w:val="fr-FR"/>
              </w:rPr>
              <w:t>Peintures et encres d’imprimerie classées comme des mélanges dangereux pour l’environnement sous le No</w:t>
            </w:r>
            <w:r w:rsidR="006C3EEB">
              <w:rPr>
                <w:lang w:val="fr-FR"/>
              </w:rPr>
              <w:t> </w:t>
            </w:r>
            <w:r>
              <w:rPr>
                <w:lang w:val="fr-FR"/>
              </w:rPr>
              <w:t>ONU 3082 relevant de la classe 9, et prescriptions relatives aux épreuves concernant l’emballage de petites quantités</w:t>
            </w:r>
          </w:p>
        </w:tc>
      </w:tr>
      <w:tr w:rsidR="005D3BC5" w:rsidRPr="00DE2AB7" w14:paraId="056A5D9A" w14:textId="77777777" w:rsidTr="00CC3A6C">
        <w:tc>
          <w:tcPr>
            <w:tcW w:w="3654" w:type="dxa"/>
          </w:tcPr>
          <w:p w14:paraId="682DBC68" w14:textId="77777777" w:rsidR="005D3BC5" w:rsidRPr="004A74EC" w:rsidRDefault="005D3BC5" w:rsidP="00CC3A6C">
            <w:pPr>
              <w:pStyle w:val="SingleTxtG"/>
              <w:spacing w:after="0"/>
              <w:ind w:left="0" w:right="175"/>
              <w:jc w:val="left"/>
            </w:pPr>
            <w:r>
              <w:rPr>
                <w:lang w:val="fr-FR"/>
              </w:rPr>
              <w:t>ECE/TRANS/WP.15/AC.1/2024/11 (LGE)</w:t>
            </w:r>
          </w:p>
        </w:tc>
        <w:tc>
          <w:tcPr>
            <w:tcW w:w="4851" w:type="dxa"/>
          </w:tcPr>
          <w:p w14:paraId="3DA1DB64" w14:textId="481DC78F" w:rsidR="005D3BC5" w:rsidRPr="00DE2AB7" w:rsidRDefault="005D3BC5" w:rsidP="00CC3A6C">
            <w:pPr>
              <w:pStyle w:val="SingleTxtG"/>
              <w:spacing w:after="60"/>
              <w:ind w:left="0" w:right="175"/>
              <w:jc w:val="left"/>
            </w:pPr>
            <w:r>
              <w:rPr>
                <w:lang w:val="fr-FR"/>
              </w:rPr>
              <w:t>Définition révisée du terme «</w:t>
            </w:r>
            <w:r w:rsidR="006C3EEB">
              <w:rPr>
                <w:lang w:val="fr-FR"/>
              </w:rPr>
              <w:t> </w:t>
            </w:r>
            <w:r>
              <w:rPr>
                <w:lang w:val="fr-FR"/>
              </w:rPr>
              <w:t>gaz de pétrole liquéfié</w:t>
            </w:r>
            <w:r w:rsidR="006C3EEB">
              <w:rPr>
                <w:lang w:val="fr-FR"/>
              </w:rPr>
              <w:t> </w:t>
            </w:r>
            <w:r>
              <w:rPr>
                <w:lang w:val="fr-FR"/>
              </w:rPr>
              <w:t>»</w:t>
            </w:r>
          </w:p>
        </w:tc>
      </w:tr>
      <w:tr w:rsidR="005D3BC5" w:rsidRPr="00DE2AB7" w14:paraId="29A028F6" w14:textId="77777777" w:rsidTr="00CC3A6C">
        <w:tc>
          <w:tcPr>
            <w:tcW w:w="3654" w:type="dxa"/>
          </w:tcPr>
          <w:p w14:paraId="5C95A15A" w14:textId="77777777" w:rsidR="005D3BC5" w:rsidRPr="00DE2AB7" w:rsidRDefault="005D3BC5" w:rsidP="00CC3A6C">
            <w:pPr>
              <w:pStyle w:val="SingleTxtG"/>
              <w:spacing w:after="0"/>
              <w:ind w:left="0" w:right="175"/>
              <w:jc w:val="left"/>
            </w:pPr>
            <w:r>
              <w:rPr>
                <w:lang w:val="fr-FR"/>
              </w:rPr>
              <w:t>ECE/TRANS/WP.15/AC.1/2024/25 (secrétariat)</w:t>
            </w:r>
          </w:p>
        </w:tc>
        <w:tc>
          <w:tcPr>
            <w:tcW w:w="4851" w:type="dxa"/>
          </w:tcPr>
          <w:p w14:paraId="735BF3AD" w14:textId="506F6529" w:rsidR="005D3BC5" w:rsidRPr="00DE2AB7" w:rsidRDefault="005D3BC5" w:rsidP="00CC3A6C">
            <w:pPr>
              <w:pStyle w:val="SingleTxtG"/>
              <w:spacing w:after="60"/>
              <w:ind w:left="0" w:right="175"/>
              <w:jc w:val="left"/>
              <w:rPr>
                <w:bCs/>
                <w:szCs w:val="28"/>
              </w:rPr>
            </w:pPr>
            <w:r>
              <w:rPr>
                <w:lang w:val="fr-FR"/>
              </w:rPr>
              <w:t xml:space="preserve">Harmonisation du RID, de l’ADR et de l’ADN avec les Recommandations de l’ONU relatives au transport des marchandises dangereuses </w:t>
            </w:r>
            <w:r w:rsidRPr="0072063E">
              <w:rPr>
                <w:lang w:val="fr-FR"/>
              </w:rPr>
              <w:t>(Règlement type)</w:t>
            </w:r>
          </w:p>
        </w:tc>
      </w:tr>
    </w:tbl>
    <w:p w14:paraId="7208853F" w14:textId="238F3B90" w:rsidR="005D3BC5" w:rsidRDefault="005D3BC5" w:rsidP="005D3BC5">
      <w:pPr>
        <w:pStyle w:val="H1G"/>
        <w:rPr>
          <w:lang w:val="fr-FR"/>
        </w:rPr>
      </w:pPr>
      <w:r>
        <w:rPr>
          <w:lang w:val="fr-FR"/>
        </w:rPr>
        <w:lastRenderedPageBreak/>
        <w:tab/>
      </w:r>
      <w:r w:rsidRPr="005D3BC5">
        <w:rPr>
          <w:lang w:val="fr-FR"/>
        </w:rPr>
        <w:t>b)</w:t>
      </w:r>
      <w:r>
        <w:rPr>
          <w:lang w:val="fr-FR"/>
        </w:rPr>
        <w:tab/>
        <w:t>Nouvelles propositions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5D3BC5" w:rsidRPr="00DE2AB7" w14:paraId="19F7B975" w14:textId="77777777" w:rsidTr="00CC3A6C">
        <w:tc>
          <w:tcPr>
            <w:tcW w:w="3654" w:type="dxa"/>
          </w:tcPr>
          <w:p w14:paraId="0C5C1983" w14:textId="77777777" w:rsidR="005D3BC5" w:rsidRPr="00DE2AB7" w:rsidRDefault="005D3BC5" w:rsidP="00CC3A6C">
            <w:pPr>
              <w:pStyle w:val="SingleTxtG"/>
              <w:spacing w:after="60"/>
              <w:ind w:left="0" w:right="175"/>
              <w:jc w:val="left"/>
            </w:pPr>
            <w:r>
              <w:rPr>
                <w:lang w:val="fr-FR"/>
              </w:rPr>
              <w:t>ECE/TRANS/WP.15/AC.1/2024/2 (Espagne)</w:t>
            </w:r>
          </w:p>
        </w:tc>
        <w:tc>
          <w:tcPr>
            <w:tcW w:w="4851" w:type="dxa"/>
          </w:tcPr>
          <w:p w14:paraId="444B5B3B" w14:textId="77777777" w:rsidR="005D3BC5" w:rsidRPr="00DE2AB7" w:rsidRDefault="005D3BC5" w:rsidP="00CC3A6C">
            <w:pPr>
              <w:pStyle w:val="SingleTxtG"/>
              <w:spacing w:after="60"/>
              <w:ind w:left="0" w:right="175"/>
              <w:jc w:val="left"/>
            </w:pPr>
            <w:r>
              <w:rPr>
                <w:lang w:val="fr-FR"/>
              </w:rPr>
              <w:t>Remplissage des conteneurs à gaz à éléments multiples</w:t>
            </w:r>
          </w:p>
        </w:tc>
      </w:tr>
      <w:tr w:rsidR="005D3BC5" w:rsidRPr="00DE2AB7" w14:paraId="7BCC2A83" w14:textId="77777777" w:rsidTr="00CC3A6C">
        <w:tc>
          <w:tcPr>
            <w:tcW w:w="3654" w:type="dxa"/>
          </w:tcPr>
          <w:p w14:paraId="4F927ADF" w14:textId="77777777" w:rsidR="005D3BC5" w:rsidRPr="005D3BC5" w:rsidRDefault="005D3BC5" w:rsidP="00CC3A6C">
            <w:pPr>
              <w:pStyle w:val="SingleTxtG"/>
              <w:spacing w:after="60"/>
              <w:ind w:left="0" w:right="175"/>
              <w:jc w:val="left"/>
              <w:rPr>
                <w:lang w:val="en-US"/>
              </w:rPr>
            </w:pPr>
            <w:r w:rsidRPr="00DE2AB7">
              <w:rPr>
                <w:lang w:val="en-US"/>
              </w:rPr>
              <w:t>ECE/TRANS/WP.15/AC.1/2024/4 (EIGA)</w:t>
            </w:r>
          </w:p>
        </w:tc>
        <w:tc>
          <w:tcPr>
            <w:tcW w:w="4851" w:type="dxa"/>
          </w:tcPr>
          <w:p w14:paraId="41808DC9" w14:textId="045A1EFF" w:rsidR="005D3BC5" w:rsidRPr="00DE2AB7" w:rsidRDefault="005D3BC5" w:rsidP="00CC3A6C">
            <w:pPr>
              <w:pStyle w:val="SingleTxtG"/>
              <w:spacing w:after="60"/>
              <w:ind w:left="0" w:right="175"/>
            </w:pPr>
            <w:r>
              <w:rPr>
                <w:lang w:val="fr-FR"/>
              </w:rPr>
              <w:t>Modification des mesures transitoires concernant le marquage des bouteilles d’acétylène</w:t>
            </w:r>
          </w:p>
        </w:tc>
      </w:tr>
      <w:tr w:rsidR="005D3BC5" w:rsidRPr="00DE2AB7" w14:paraId="6D3B6106" w14:textId="77777777" w:rsidTr="00CC3A6C">
        <w:tc>
          <w:tcPr>
            <w:tcW w:w="3654" w:type="dxa"/>
          </w:tcPr>
          <w:p w14:paraId="6287E344" w14:textId="77777777" w:rsidR="005D3BC5" w:rsidRPr="00DE2AB7" w:rsidRDefault="005D3BC5" w:rsidP="00CC3A6C">
            <w:pPr>
              <w:pStyle w:val="SingleTxtG"/>
              <w:spacing w:after="60"/>
              <w:ind w:left="0" w:right="175"/>
            </w:pPr>
            <w:r>
              <w:rPr>
                <w:lang w:val="fr-FR"/>
              </w:rPr>
              <w:t>ECE/TRANS/WP.15/AC.1/2024/5 (Fédération de Russie)</w:t>
            </w:r>
          </w:p>
        </w:tc>
        <w:tc>
          <w:tcPr>
            <w:tcW w:w="4851" w:type="dxa"/>
          </w:tcPr>
          <w:p w14:paraId="12269554" w14:textId="77777777" w:rsidR="005D3BC5" w:rsidRPr="00DE2AB7" w:rsidRDefault="005D3BC5" w:rsidP="00CC3A6C">
            <w:pPr>
              <w:pStyle w:val="SingleTxtG"/>
              <w:spacing w:after="60"/>
              <w:ind w:left="0" w:right="175"/>
            </w:pPr>
            <w:r>
              <w:rPr>
                <w:lang w:val="fr-FR"/>
              </w:rPr>
              <w:t>Proposition de modification du 6.8.2.1.27 et du 7.5.10</w:t>
            </w:r>
          </w:p>
        </w:tc>
      </w:tr>
      <w:tr w:rsidR="005D3BC5" w:rsidRPr="00DE2AB7" w14:paraId="44A3F777" w14:textId="77777777" w:rsidTr="00CC3A6C">
        <w:tc>
          <w:tcPr>
            <w:tcW w:w="3654" w:type="dxa"/>
          </w:tcPr>
          <w:p w14:paraId="1A061526" w14:textId="77777777" w:rsidR="005D3BC5" w:rsidRPr="00DE2AB7" w:rsidRDefault="005D3BC5" w:rsidP="00CC3A6C">
            <w:pPr>
              <w:pStyle w:val="SingleTxtG"/>
              <w:spacing w:after="60"/>
              <w:ind w:left="0" w:right="175"/>
            </w:pPr>
            <w:r>
              <w:rPr>
                <w:lang w:val="fr-FR"/>
              </w:rPr>
              <w:t>ECE/TRANS/WP.15/AC.1/2024/6 (Fédération de Russie)</w:t>
            </w:r>
          </w:p>
        </w:tc>
        <w:tc>
          <w:tcPr>
            <w:tcW w:w="4851" w:type="dxa"/>
          </w:tcPr>
          <w:p w14:paraId="766610EB" w14:textId="0801A9AA" w:rsidR="005D3BC5" w:rsidRPr="00DE2AB7" w:rsidRDefault="005D3BC5" w:rsidP="00CC3A6C">
            <w:pPr>
              <w:pStyle w:val="SingleTxtG"/>
              <w:spacing w:after="60"/>
              <w:ind w:left="0" w:right="175"/>
            </w:pPr>
            <w:r>
              <w:rPr>
                <w:lang w:val="fr-FR"/>
              </w:rPr>
              <w:t>Proposition de modification de la section 1.2.1 de l’annexe</w:t>
            </w:r>
            <w:r w:rsidR="006C3EEB">
              <w:rPr>
                <w:lang w:val="fr-FR"/>
              </w:rPr>
              <w:t> </w:t>
            </w:r>
            <w:r>
              <w:rPr>
                <w:lang w:val="fr-FR"/>
              </w:rPr>
              <w:t>A de l’ADR</w:t>
            </w:r>
          </w:p>
        </w:tc>
      </w:tr>
      <w:tr w:rsidR="005D3BC5" w:rsidRPr="00DE2AB7" w14:paraId="305DDDE1" w14:textId="77777777" w:rsidTr="00CC3A6C">
        <w:tc>
          <w:tcPr>
            <w:tcW w:w="3654" w:type="dxa"/>
          </w:tcPr>
          <w:p w14:paraId="61595FE1" w14:textId="77777777" w:rsidR="005D3BC5" w:rsidRPr="005D3BC5" w:rsidRDefault="005D3BC5" w:rsidP="00CC3A6C">
            <w:pPr>
              <w:pStyle w:val="SingleTxtG"/>
              <w:spacing w:after="60"/>
              <w:ind w:left="0" w:right="175"/>
              <w:rPr>
                <w:lang w:val="en-US"/>
              </w:rPr>
            </w:pPr>
            <w:r w:rsidRPr="00DE2AB7">
              <w:rPr>
                <w:lang w:val="en-US"/>
              </w:rPr>
              <w:t>ECE/TRANS/WP.15/AC.1/2024/8 (EIGA)</w:t>
            </w:r>
          </w:p>
        </w:tc>
        <w:tc>
          <w:tcPr>
            <w:tcW w:w="4851" w:type="dxa"/>
          </w:tcPr>
          <w:p w14:paraId="3CC017CD" w14:textId="3F97983B" w:rsidR="005D3BC5" w:rsidRPr="00DE2AB7" w:rsidRDefault="005D3BC5" w:rsidP="00CC3A6C">
            <w:pPr>
              <w:pStyle w:val="SingleTxtG"/>
              <w:spacing w:after="60"/>
              <w:ind w:left="0" w:right="175"/>
            </w:pPr>
            <w:r>
              <w:rPr>
                <w:lang w:val="fr-FR"/>
              </w:rPr>
              <w:t>Nouvelles mesures transitoires pour les citernes mobiles au</w:t>
            </w:r>
            <w:r w:rsidR="006C3EEB">
              <w:rPr>
                <w:lang w:val="fr-FR"/>
              </w:rPr>
              <w:t> </w:t>
            </w:r>
            <w:r>
              <w:rPr>
                <w:lang w:val="fr-FR"/>
              </w:rPr>
              <w:t>6.7</w:t>
            </w:r>
          </w:p>
        </w:tc>
      </w:tr>
      <w:tr w:rsidR="005D3BC5" w:rsidRPr="00DE2AB7" w14:paraId="5AF0D464" w14:textId="77777777" w:rsidTr="00CC3A6C">
        <w:tc>
          <w:tcPr>
            <w:tcW w:w="3654" w:type="dxa"/>
          </w:tcPr>
          <w:p w14:paraId="1C15C261" w14:textId="77777777" w:rsidR="005D3BC5" w:rsidRPr="00DE2AB7" w:rsidRDefault="005D3BC5" w:rsidP="00CC3A6C">
            <w:pPr>
              <w:pStyle w:val="SingleTxtG"/>
              <w:spacing w:after="60"/>
              <w:ind w:left="0" w:right="175"/>
            </w:pPr>
            <w:r>
              <w:rPr>
                <w:lang w:val="fr-FR"/>
              </w:rPr>
              <w:t>ECE/TRANS/WP.15/AC.1/2024/10 (Finlande)</w:t>
            </w:r>
          </w:p>
        </w:tc>
        <w:tc>
          <w:tcPr>
            <w:tcW w:w="4851" w:type="dxa"/>
          </w:tcPr>
          <w:p w14:paraId="09CEBB37" w14:textId="5CBAA95D" w:rsidR="005D3BC5" w:rsidRPr="00DE2AB7" w:rsidRDefault="005D3BC5" w:rsidP="00CC3A6C">
            <w:pPr>
              <w:pStyle w:val="SingleTxtG"/>
              <w:spacing w:after="60"/>
              <w:ind w:left="0" w:right="175"/>
            </w:pPr>
            <w:r>
              <w:rPr>
                <w:lang w:val="fr-FR"/>
              </w:rPr>
              <w:t>Document de transport de marchandises dangereuses : 5.4.1.1.3.1 (Dispositions particulières relatives aux déchets), ajout de noms techniques</w:t>
            </w:r>
          </w:p>
        </w:tc>
      </w:tr>
      <w:tr w:rsidR="005D3BC5" w:rsidRPr="00DE2AB7" w14:paraId="35AD953E" w14:textId="77777777" w:rsidTr="00CC3A6C">
        <w:tc>
          <w:tcPr>
            <w:tcW w:w="3654" w:type="dxa"/>
          </w:tcPr>
          <w:p w14:paraId="6410EEFF" w14:textId="77777777" w:rsidR="005D3BC5" w:rsidRPr="005D3BC5" w:rsidRDefault="005D3BC5" w:rsidP="00CC3A6C">
            <w:pPr>
              <w:pStyle w:val="SingleTxtG"/>
              <w:spacing w:after="60"/>
              <w:ind w:left="0" w:right="175"/>
              <w:rPr>
                <w:lang w:val="en-US"/>
              </w:rPr>
            </w:pPr>
            <w:r w:rsidRPr="00DE2AB7">
              <w:rPr>
                <w:lang w:val="en-US"/>
              </w:rPr>
              <w:t>ECE/TRANS/WP.15/AC.1/2024/12 (EIGA)</w:t>
            </w:r>
          </w:p>
        </w:tc>
        <w:tc>
          <w:tcPr>
            <w:tcW w:w="4851" w:type="dxa"/>
          </w:tcPr>
          <w:p w14:paraId="78AD9156" w14:textId="00907522" w:rsidR="005D3BC5" w:rsidRPr="00DE2AB7" w:rsidRDefault="005D3BC5" w:rsidP="00CC3A6C">
            <w:pPr>
              <w:pStyle w:val="SingleTxtG"/>
              <w:spacing w:after="60"/>
              <w:ind w:left="0" w:right="175"/>
            </w:pPr>
            <w:r>
              <w:rPr>
                <w:lang w:val="fr-FR"/>
              </w:rPr>
              <w:t>Modification des prescriptions applicables au marquage des bouteilles d’acétylène «</w:t>
            </w:r>
            <w:r w:rsidR="00783E98">
              <w:rPr>
                <w:lang w:val="fr-FR"/>
              </w:rPr>
              <w:t> </w:t>
            </w:r>
            <w:r>
              <w:rPr>
                <w:lang w:val="fr-FR"/>
              </w:rPr>
              <w:t>non UN</w:t>
            </w:r>
            <w:r w:rsidR="00783E98">
              <w:rPr>
                <w:lang w:val="fr-FR"/>
              </w:rPr>
              <w:t> </w:t>
            </w:r>
            <w:r>
              <w:rPr>
                <w:lang w:val="fr-FR"/>
              </w:rPr>
              <w:t>»</w:t>
            </w:r>
          </w:p>
        </w:tc>
      </w:tr>
      <w:tr w:rsidR="005D3BC5" w:rsidRPr="00DE2AB7" w14:paraId="22BA94B2" w14:textId="77777777" w:rsidTr="00CC3A6C">
        <w:tc>
          <w:tcPr>
            <w:tcW w:w="3654" w:type="dxa"/>
          </w:tcPr>
          <w:p w14:paraId="5F432EE2" w14:textId="77777777" w:rsidR="005D3BC5" w:rsidRPr="005D3BC5" w:rsidRDefault="005D3BC5" w:rsidP="00CC3A6C">
            <w:pPr>
              <w:pStyle w:val="SingleTxtG"/>
              <w:spacing w:after="60"/>
              <w:ind w:left="0" w:right="175"/>
              <w:rPr>
                <w:lang w:val="en-US"/>
              </w:rPr>
            </w:pPr>
            <w:r w:rsidRPr="00DE2AB7">
              <w:rPr>
                <w:lang w:val="en-US"/>
              </w:rPr>
              <w:t>ECE/TRANS/WP.15/AC.1/2024/13 (EIGA)</w:t>
            </w:r>
          </w:p>
        </w:tc>
        <w:tc>
          <w:tcPr>
            <w:tcW w:w="4851" w:type="dxa"/>
          </w:tcPr>
          <w:p w14:paraId="2F6A7942" w14:textId="339FC98E" w:rsidR="005D3BC5" w:rsidRPr="00DE2AB7" w:rsidRDefault="005D3BC5" w:rsidP="00CC3A6C">
            <w:pPr>
              <w:pStyle w:val="SingleTxtG"/>
              <w:spacing w:after="60"/>
              <w:ind w:left="0" w:right="175"/>
            </w:pPr>
            <w:r>
              <w:rPr>
                <w:lang w:val="fr-FR"/>
              </w:rPr>
              <w:t>Modification des prescriptions applicables aux récipients à pression autorisés par le Département des transports des États-Unis d’Amérique</w:t>
            </w:r>
          </w:p>
        </w:tc>
      </w:tr>
      <w:tr w:rsidR="005D3BC5" w:rsidRPr="00DE2AB7" w14:paraId="5FF3103E" w14:textId="77777777" w:rsidTr="00CC3A6C">
        <w:tc>
          <w:tcPr>
            <w:tcW w:w="3654" w:type="dxa"/>
          </w:tcPr>
          <w:p w14:paraId="6AE74196" w14:textId="397D914A" w:rsidR="005D3BC5" w:rsidRPr="00DE2AB7" w:rsidRDefault="005D3BC5" w:rsidP="00CC3A6C">
            <w:pPr>
              <w:pStyle w:val="SingleTxtG"/>
              <w:spacing w:after="60"/>
              <w:ind w:left="0" w:right="175"/>
            </w:pPr>
            <w:r>
              <w:rPr>
                <w:lang w:val="fr-FR"/>
              </w:rPr>
              <w:t xml:space="preserve">ECE/TRANS/WP.15/AC.1/2024/14 </w:t>
            </w:r>
            <w:r w:rsidR="006C3EEB">
              <w:rPr>
                <w:lang w:val="fr-FR"/>
              </w:rPr>
              <w:br/>
            </w:r>
            <w:r>
              <w:rPr>
                <w:lang w:val="fr-FR"/>
              </w:rPr>
              <w:t>(Pays-Bas)</w:t>
            </w:r>
          </w:p>
        </w:tc>
        <w:tc>
          <w:tcPr>
            <w:tcW w:w="4851" w:type="dxa"/>
          </w:tcPr>
          <w:p w14:paraId="44CBF7ED" w14:textId="1467B35D" w:rsidR="005D3BC5" w:rsidRPr="00DE2AB7" w:rsidRDefault="005D3BC5" w:rsidP="00CC3A6C">
            <w:pPr>
              <w:pStyle w:val="SingleTxtG"/>
              <w:spacing w:after="60"/>
              <w:ind w:left="0" w:right="175"/>
            </w:pPr>
            <w:r>
              <w:rPr>
                <w:lang w:val="fr-FR"/>
              </w:rPr>
              <w:t>Définition de « véhicule couvert » au 1.2.1 de l’ADR</w:t>
            </w:r>
          </w:p>
        </w:tc>
      </w:tr>
      <w:tr w:rsidR="005D3BC5" w:rsidRPr="00DE2AB7" w14:paraId="70A3E0C4" w14:textId="77777777" w:rsidTr="00CC3A6C">
        <w:tc>
          <w:tcPr>
            <w:tcW w:w="3654" w:type="dxa"/>
          </w:tcPr>
          <w:p w14:paraId="0AC30FDD" w14:textId="77777777" w:rsidR="005D3BC5" w:rsidRPr="00DE2AB7" w:rsidRDefault="005D3BC5" w:rsidP="00CC3A6C">
            <w:pPr>
              <w:pStyle w:val="SingleTxtG"/>
              <w:spacing w:after="60"/>
              <w:ind w:left="0" w:right="175"/>
              <w:jc w:val="left"/>
            </w:pPr>
            <w:r>
              <w:rPr>
                <w:lang w:val="fr-FR"/>
              </w:rPr>
              <w:t>ECE/TRANS/WP.15/AC.1/2024/17 et document informel INF.6 (LGE)</w:t>
            </w:r>
          </w:p>
        </w:tc>
        <w:tc>
          <w:tcPr>
            <w:tcW w:w="4851" w:type="dxa"/>
          </w:tcPr>
          <w:p w14:paraId="784455FE" w14:textId="4C38D152" w:rsidR="005D3BC5" w:rsidRPr="00DE2AB7" w:rsidRDefault="005D3BC5" w:rsidP="00CC3A6C">
            <w:pPr>
              <w:pStyle w:val="SingleTxtG"/>
              <w:spacing w:after="60"/>
              <w:ind w:left="0" w:right="175"/>
            </w:pPr>
            <w:r>
              <w:rPr>
                <w:lang w:val="fr-FR"/>
              </w:rPr>
              <w:t>Proposition d’amendement à l’instruction d’emballage P200, au 4.1.4.1 du RID et de l’ADR, visant à porter de 10 à 15 ans l’intervalle entre les contrôles périodiques des bouteilles pour gaz de pétrole liquéfié fabriquées selon la norme EN 14140</w:t>
            </w:r>
          </w:p>
        </w:tc>
      </w:tr>
      <w:tr w:rsidR="005D3BC5" w:rsidRPr="00DE2AB7" w14:paraId="7E1F45A2" w14:textId="77777777" w:rsidTr="00CC3A6C">
        <w:tc>
          <w:tcPr>
            <w:tcW w:w="3654" w:type="dxa"/>
          </w:tcPr>
          <w:p w14:paraId="59F2A3D5" w14:textId="77777777" w:rsidR="005D3BC5" w:rsidRPr="005D3BC5" w:rsidRDefault="005D3BC5" w:rsidP="00CC3A6C">
            <w:pPr>
              <w:pStyle w:val="SingleTxtG"/>
              <w:spacing w:after="60"/>
              <w:ind w:left="0" w:right="175"/>
              <w:rPr>
                <w:lang w:val="en-US"/>
              </w:rPr>
            </w:pPr>
            <w:r w:rsidRPr="00DE2AB7">
              <w:rPr>
                <w:lang w:val="en-US"/>
              </w:rPr>
              <w:t>ECE/TRANS/WP.15/AC.1/2024/19 (ECMA)</w:t>
            </w:r>
          </w:p>
        </w:tc>
        <w:tc>
          <w:tcPr>
            <w:tcW w:w="4851" w:type="dxa"/>
          </w:tcPr>
          <w:p w14:paraId="4C83FA1F" w14:textId="77777777" w:rsidR="005D3BC5" w:rsidRPr="00DE2AB7" w:rsidRDefault="005D3BC5" w:rsidP="00CC3A6C">
            <w:pPr>
              <w:pStyle w:val="SingleTxtG"/>
              <w:spacing w:after="60"/>
              <w:ind w:left="0" w:right="175"/>
            </w:pPr>
            <w:r>
              <w:rPr>
                <w:lang w:val="fr-FR"/>
              </w:rPr>
              <w:t>Récipients à pression construits conformément à la norme EN 17339</w:t>
            </w:r>
          </w:p>
        </w:tc>
      </w:tr>
      <w:tr w:rsidR="005D3BC5" w:rsidRPr="00DE2AB7" w14:paraId="5BFB11F4" w14:textId="77777777" w:rsidTr="00CC3A6C">
        <w:tc>
          <w:tcPr>
            <w:tcW w:w="3654" w:type="dxa"/>
          </w:tcPr>
          <w:p w14:paraId="10BF57E8" w14:textId="77777777" w:rsidR="005D3BC5" w:rsidRPr="005D3BC5" w:rsidRDefault="005D3BC5" w:rsidP="00CC3A6C">
            <w:pPr>
              <w:pStyle w:val="SingleTxtG"/>
              <w:spacing w:after="60"/>
              <w:ind w:left="0" w:right="175"/>
              <w:rPr>
                <w:lang w:val="en-US"/>
              </w:rPr>
            </w:pPr>
            <w:r w:rsidRPr="00DE2AB7">
              <w:rPr>
                <w:lang w:val="en-US"/>
              </w:rPr>
              <w:t>ECE/TRANS/WP.15/AC.1/2024/20 (ECMA)</w:t>
            </w:r>
          </w:p>
        </w:tc>
        <w:tc>
          <w:tcPr>
            <w:tcW w:w="4851" w:type="dxa"/>
          </w:tcPr>
          <w:p w14:paraId="179C2318" w14:textId="77777777" w:rsidR="005D3BC5" w:rsidRPr="00DE2AB7" w:rsidRDefault="005D3BC5" w:rsidP="00CC3A6C">
            <w:pPr>
              <w:pStyle w:val="SingleTxtG"/>
              <w:spacing w:after="60"/>
              <w:ind w:left="0" w:right="175"/>
            </w:pPr>
            <w:r>
              <w:rPr>
                <w:lang w:val="fr-FR"/>
              </w:rPr>
              <w:t>Appareils à pression construits conformément à une norme reconnue par une autorité nationale compétente</w:t>
            </w:r>
          </w:p>
        </w:tc>
      </w:tr>
      <w:tr w:rsidR="005D3BC5" w:rsidRPr="00DE2AB7" w14:paraId="40831386" w14:textId="77777777" w:rsidTr="00CC3A6C">
        <w:tc>
          <w:tcPr>
            <w:tcW w:w="3654" w:type="dxa"/>
          </w:tcPr>
          <w:p w14:paraId="49ECAD5C" w14:textId="77777777" w:rsidR="005D3BC5" w:rsidRPr="00DE2AB7" w:rsidRDefault="005D3BC5" w:rsidP="00CC3A6C">
            <w:pPr>
              <w:pStyle w:val="SingleTxtG"/>
              <w:spacing w:after="60"/>
              <w:ind w:left="0" w:right="175"/>
            </w:pPr>
            <w:r>
              <w:rPr>
                <w:lang w:val="fr-FR"/>
              </w:rPr>
              <w:t>ECE/TRANS/WP.15/AC.1/2024/22 (Suède)</w:t>
            </w:r>
          </w:p>
        </w:tc>
        <w:tc>
          <w:tcPr>
            <w:tcW w:w="4851" w:type="dxa"/>
          </w:tcPr>
          <w:p w14:paraId="17C37598" w14:textId="77777777" w:rsidR="005D3BC5" w:rsidRPr="00DE2AB7" w:rsidRDefault="005D3BC5" w:rsidP="00CC3A6C">
            <w:pPr>
              <w:pStyle w:val="SingleTxtG"/>
              <w:spacing w:after="60"/>
              <w:ind w:left="0" w:right="175"/>
            </w:pPr>
            <w:r>
              <w:rPr>
                <w:lang w:val="fr-FR"/>
              </w:rPr>
              <w:t>Transport de matériel animal contenant des matières infectieuses (No ONU 3373)</w:t>
            </w:r>
          </w:p>
        </w:tc>
      </w:tr>
      <w:tr w:rsidR="005D3BC5" w:rsidRPr="00DE2AB7" w14:paraId="51E0D6A1" w14:textId="77777777" w:rsidTr="00CC3A6C">
        <w:tc>
          <w:tcPr>
            <w:tcW w:w="3654" w:type="dxa"/>
          </w:tcPr>
          <w:p w14:paraId="7F90C435" w14:textId="77777777" w:rsidR="005D3BC5" w:rsidRPr="00DE2AB7" w:rsidRDefault="005D3BC5" w:rsidP="00CC3A6C">
            <w:pPr>
              <w:pStyle w:val="SingleTxtG"/>
              <w:spacing w:after="60"/>
              <w:ind w:left="0" w:right="175"/>
            </w:pPr>
            <w:r>
              <w:rPr>
                <w:lang w:val="fr-FR"/>
              </w:rPr>
              <w:t>ECE/TRANS/WP.15/AC.1/2024/24 (Suisse)</w:t>
            </w:r>
          </w:p>
        </w:tc>
        <w:tc>
          <w:tcPr>
            <w:tcW w:w="4851" w:type="dxa"/>
          </w:tcPr>
          <w:p w14:paraId="6FC41EDC" w14:textId="530EBF75" w:rsidR="005D3BC5" w:rsidRPr="00DE2AB7" w:rsidRDefault="005D3BC5" w:rsidP="00CC3A6C">
            <w:pPr>
              <w:pStyle w:val="SingleTxtG"/>
              <w:spacing w:after="60"/>
              <w:ind w:left="0" w:right="175"/>
            </w:pPr>
            <w:r>
              <w:rPr>
                <w:lang w:val="fr-FR"/>
              </w:rPr>
              <w:t>Correction du terme anglais «</w:t>
            </w:r>
            <w:r w:rsidR="00783E98">
              <w:rPr>
                <w:lang w:val="fr-FR"/>
              </w:rPr>
              <w:t> </w:t>
            </w:r>
            <w:proofErr w:type="spellStart"/>
            <w:r>
              <w:rPr>
                <w:lang w:val="fr-FR"/>
              </w:rPr>
              <w:t>load</w:t>
            </w:r>
            <w:proofErr w:type="spellEnd"/>
            <w:r>
              <w:rPr>
                <w:lang w:val="fr-FR"/>
              </w:rPr>
              <w:t xml:space="preserve"> </w:t>
            </w:r>
            <w:proofErr w:type="spellStart"/>
            <w:r>
              <w:rPr>
                <w:lang w:val="fr-FR"/>
              </w:rPr>
              <w:t>compartment</w:t>
            </w:r>
            <w:proofErr w:type="spellEnd"/>
            <w:r w:rsidR="00783E98">
              <w:rPr>
                <w:lang w:val="fr-FR"/>
              </w:rPr>
              <w:t> </w:t>
            </w:r>
            <w:r>
              <w:rPr>
                <w:lang w:val="fr-FR"/>
              </w:rPr>
              <w:t>» dans les versions française et allemande</w:t>
            </w:r>
          </w:p>
        </w:tc>
      </w:tr>
    </w:tbl>
    <w:p w14:paraId="5E13F01B" w14:textId="22DE023A" w:rsidR="005D3BC5" w:rsidRDefault="005D3BC5" w:rsidP="005D3BC5">
      <w:pPr>
        <w:pStyle w:val="H1G"/>
        <w:rPr>
          <w:lang w:val="fr-FR"/>
        </w:rPr>
      </w:pPr>
      <w:r>
        <w:rPr>
          <w:bCs/>
          <w:lang w:val="fr-FR"/>
        </w:rPr>
        <w:tab/>
        <w:t>6.</w:t>
      </w:r>
      <w:r>
        <w:rPr>
          <w:lang w:val="fr-FR"/>
        </w:rPr>
        <w:tab/>
        <w:t>Rapports des groupes de travail informels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5D3BC5" w:rsidRPr="00DE2AB7" w14:paraId="45471B5C" w14:textId="77777777" w:rsidTr="00CC3A6C">
        <w:tc>
          <w:tcPr>
            <w:tcW w:w="3654" w:type="dxa"/>
          </w:tcPr>
          <w:p w14:paraId="73C2C2B2" w14:textId="11146598" w:rsidR="005D3BC5" w:rsidRPr="00DE2AB7" w:rsidRDefault="005D3BC5" w:rsidP="00CC3A6C">
            <w:pPr>
              <w:pStyle w:val="SingleTxtG"/>
              <w:spacing w:after="60"/>
              <w:ind w:left="0" w:right="175"/>
              <w:jc w:val="left"/>
            </w:pPr>
            <w:r>
              <w:rPr>
                <w:lang w:val="fr-FR"/>
              </w:rPr>
              <w:t>ECE/TRANS/WP.15/AC.1/2024/23 et</w:t>
            </w:r>
            <w:r w:rsidR="00783E98">
              <w:rPr>
                <w:lang w:val="fr-FR"/>
              </w:rPr>
              <w:t> </w:t>
            </w:r>
            <w:r>
              <w:rPr>
                <w:lang w:val="fr-FR"/>
              </w:rPr>
              <w:t xml:space="preserve">document informel INF.7 </w:t>
            </w:r>
            <w:r w:rsidR="00783E98">
              <w:rPr>
                <w:lang w:val="fr-FR"/>
              </w:rPr>
              <w:br/>
            </w:r>
            <w:r>
              <w:rPr>
                <w:lang w:val="fr-FR"/>
              </w:rPr>
              <w:t>(Allemagne, IRU)</w:t>
            </w:r>
          </w:p>
        </w:tc>
        <w:tc>
          <w:tcPr>
            <w:tcW w:w="4851" w:type="dxa"/>
          </w:tcPr>
          <w:p w14:paraId="11B4199B" w14:textId="67F766F1" w:rsidR="005D3BC5" w:rsidRPr="00DE2AB7" w:rsidRDefault="005D3BC5" w:rsidP="00CC3A6C">
            <w:pPr>
              <w:pStyle w:val="SingleTxtG"/>
              <w:spacing w:after="60"/>
              <w:ind w:left="0" w:right="175"/>
            </w:pPr>
            <w:r>
              <w:rPr>
                <w:lang w:val="fr-FR"/>
              </w:rPr>
              <w:t>Rapport sur les troisième et quatrième réunions du groupe de travail informel de l’apprentissage en ligne</w:t>
            </w:r>
          </w:p>
        </w:tc>
      </w:tr>
      <w:tr w:rsidR="005D3BC5" w:rsidRPr="00DE2AB7" w14:paraId="1C2F1409" w14:textId="77777777" w:rsidTr="00CC3A6C">
        <w:tc>
          <w:tcPr>
            <w:tcW w:w="3654" w:type="dxa"/>
          </w:tcPr>
          <w:p w14:paraId="53F18046" w14:textId="77777777" w:rsidR="005D3BC5" w:rsidRPr="004A74EC" w:rsidRDefault="005D3BC5" w:rsidP="00CC3A6C">
            <w:pPr>
              <w:pStyle w:val="SingleTxtG"/>
              <w:spacing w:after="60"/>
              <w:ind w:left="0" w:right="175"/>
              <w:jc w:val="left"/>
            </w:pPr>
            <w:r>
              <w:rPr>
                <w:lang w:val="fr-FR"/>
              </w:rPr>
              <w:t>Document informel INF.4 (EIGA)</w:t>
            </w:r>
          </w:p>
        </w:tc>
        <w:tc>
          <w:tcPr>
            <w:tcW w:w="4851" w:type="dxa"/>
          </w:tcPr>
          <w:p w14:paraId="72D2CDD3" w14:textId="3BCEEA85" w:rsidR="005D3BC5" w:rsidRPr="00DE2AB7" w:rsidRDefault="005D3BC5" w:rsidP="00CC3A6C">
            <w:pPr>
              <w:pStyle w:val="SingleTxtG"/>
              <w:spacing w:after="60"/>
              <w:ind w:left="0" w:right="175"/>
            </w:pPr>
            <w:r>
              <w:rPr>
                <w:lang w:val="fr-FR"/>
              </w:rPr>
              <w:t>Rapport du groupe de travail intersessions de la périodicité des épreuves pour les véhicules-batteries remplis conformément à l’instruction d’emballage P200</w:t>
            </w:r>
          </w:p>
        </w:tc>
      </w:tr>
    </w:tbl>
    <w:p w14:paraId="4FB502FC" w14:textId="3A082B96" w:rsidR="005D3BC5" w:rsidRDefault="005D3BC5" w:rsidP="005D3BC5">
      <w:pPr>
        <w:pStyle w:val="H1G"/>
        <w:rPr>
          <w:lang w:val="fr-FR"/>
        </w:rPr>
      </w:pPr>
      <w:r>
        <w:rPr>
          <w:bCs/>
          <w:lang w:val="fr-FR"/>
        </w:rPr>
        <w:tab/>
        <w:t>7.</w:t>
      </w:r>
      <w:r>
        <w:rPr>
          <w:lang w:val="fr-FR"/>
        </w:rPr>
        <w:tab/>
        <w:t>Accidents et gestion des risques</w:t>
      </w:r>
      <w:bookmarkStart w:id="0" w:name="_Hlk91496170"/>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5D3BC5" w:rsidRPr="00DE2AB7" w14:paraId="2C103EC1" w14:textId="77777777" w:rsidTr="00CC3A6C">
        <w:tc>
          <w:tcPr>
            <w:tcW w:w="3654" w:type="dxa"/>
          </w:tcPr>
          <w:p w14:paraId="047E8040" w14:textId="77777777" w:rsidR="005D3BC5" w:rsidRPr="004A74EC" w:rsidRDefault="005D3BC5" w:rsidP="00CC3A6C">
            <w:pPr>
              <w:pStyle w:val="SingleTxtG"/>
              <w:spacing w:after="60"/>
              <w:ind w:left="0" w:right="175"/>
              <w:jc w:val="left"/>
            </w:pPr>
            <w:r>
              <w:rPr>
                <w:lang w:val="fr-FR"/>
              </w:rPr>
              <w:t>ECE/TRANS/WP.15/AC.1/2024/15 (France)</w:t>
            </w:r>
          </w:p>
        </w:tc>
        <w:tc>
          <w:tcPr>
            <w:tcW w:w="4851" w:type="dxa"/>
          </w:tcPr>
          <w:p w14:paraId="040AC410" w14:textId="1E4E3B76" w:rsidR="005D3BC5" w:rsidRPr="00DE2AB7" w:rsidRDefault="005D3BC5" w:rsidP="00CC3A6C">
            <w:pPr>
              <w:pStyle w:val="SingleTxtG"/>
              <w:spacing w:after="60"/>
              <w:ind w:left="0" w:right="175"/>
            </w:pPr>
            <w:r>
              <w:rPr>
                <w:lang w:val="fr-FR"/>
              </w:rPr>
              <w:t>Rapport de la réunion sur l’amélioration des rapports sur les événements survenus pendant le transport de marchandises dangereuses, tenue les 23 et 24 octobre 2023</w:t>
            </w:r>
          </w:p>
        </w:tc>
      </w:tr>
      <w:tr w:rsidR="005D3BC5" w:rsidRPr="00DE2AB7" w14:paraId="1B09C6B6" w14:textId="77777777" w:rsidTr="00CC3A6C">
        <w:tc>
          <w:tcPr>
            <w:tcW w:w="3654" w:type="dxa"/>
          </w:tcPr>
          <w:p w14:paraId="06443AA6" w14:textId="77777777" w:rsidR="005D3BC5" w:rsidRPr="004A74EC" w:rsidRDefault="005D3BC5" w:rsidP="00CC3A6C">
            <w:pPr>
              <w:pStyle w:val="SingleTxtG"/>
              <w:spacing w:after="60"/>
              <w:ind w:left="0" w:right="175"/>
              <w:jc w:val="left"/>
            </w:pPr>
            <w:r>
              <w:rPr>
                <w:lang w:val="fr-FR"/>
              </w:rPr>
              <w:t>ECE/TRANS/WP.15/AC.1/2024/16 (France)</w:t>
            </w:r>
          </w:p>
        </w:tc>
        <w:tc>
          <w:tcPr>
            <w:tcW w:w="4851" w:type="dxa"/>
          </w:tcPr>
          <w:p w14:paraId="028A9F31" w14:textId="77777777" w:rsidR="005D3BC5" w:rsidRPr="00DE2AB7" w:rsidRDefault="005D3BC5" w:rsidP="00CC3A6C">
            <w:pPr>
              <w:pStyle w:val="SingleTxtG"/>
              <w:spacing w:after="60"/>
              <w:ind w:left="0" w:right="175"/>
            </w:pPr>
            <w:r>
              <w:rPr>
                <w:lang w:val="fr-FR"/>
              </w:rPr>
              <w:t>Amélioration du rapport sur des événements survenus pendant le transport de marchandises dangereuses (amendements aux 1.8.5.1, 1.8.5.2 et 1.8.5.4)</w:t>
            </w:r>
          </w:p>
        </w:tc>
      </w:tr>
    </w:tbl>
    <w:p w14:paraId="03AEA881" w14:textId="0B237DB4" w:rsidR="005D3BC5" w:rsidRDefault="005D3BC5" w:rsidP="005D3BC5">
      <w:pPr>
        <w:pStyle w:val="H1G"/>
      </w:pPr>
      <w:r>
        <w:rPr>
          <w:bCs/>
          <w:lang w:val="fr-FR"/>
        </w:rPr>
        <w:lastRenderedPageBreak/>
        <w:tab/>
        <w:t>8.</w:t>
      </w:r>
      <w:r>
        <w:rPr>
          <w:lang w:val="fr-FR"/>
        </w:rPr>
        <w:tab/>
        <w:t>Programme de développement durable à l’horizon 2030</w:t>
      </w:r>
      <w:bookmarkEnd w:id="0"/>
    </w:p>
    <w:p w14:paraId="5E83156F" w14:textId="7E1E1BA6" w:rsidR="005D3BC5" w:rsidRPr="004A74EC" w:rsidRDefault="005D3BC5" w:rsidP="005D3BC5">
      <w:pPr>
        <w:pStyle w:val="SingleTxtG"/>
        <w:ind w:firstLine="567"/>
      </w:pPr>
      <w:r>
        <w:rPr>
          <w:lang w:val="fr-FR"/>
        </w:rPr>
        <w:t>Aucun document n’a été soumis au titre de ce point de l’ordre du jour.</w:t>
      </w:r>
    </w:p>
    <w:p w14:paraId="65DA227B" w14:textId="5F11DDC5" w:rsidR="005D3BC5" w:rsidRPr="004A74EC" w:rsidRDefault="005D3BC5" w:rsidP="005D3BC5">
      <w:pPr>
        <w:pStyle w:val="H1G"/>
      </w:pPr>
      <w:r>
        <w:rPr>
          <w:bCs/>
          <w:lang w:val="fr-FR"/>
        </w:rPr>
        <w:tab/>
        <w:t>9.</w:t>
      </w:r>
      <w:r>
        <w:rPr>
          <w:lang w:val="fr-FR"/>
        </w:rPr>
        <w:tab/>
        <w:t>Travaux futurs</w:t>
      </w:r>
    </w:p>
    <w:p w14:paraId="7C69BCBF" w14:textId="4EB1C35B" w:rsidR="005D3BC5" w:rsidRPr="00915DEC" w:rsidRDefault="005D3BC5" w:rsidP="005D3BC5">
      <w:pPr>
        <w:pStyle w:val="SingleTxtG"/>
        <w:ind w:firstLine="567"/>
      </w:pPr>
      <w:r>
        <w:rPr>
          <w:lang w:val="fr-FR"/>
        </w:rPr>
        <w:t>La Réunion commune souhaitera sans doute réfléchir à l’ordre du jour de sa session de l’automne 2024 (Genève, 9-13 septembre 2024).</w:t>
      </w:r>
    </w:p>
    <w:p w14:paraId="7F7AD315" w14:textId="4B75B79E" w:rsidR="005D3BC5" w:rsidRPr="004A74EC" w:rsidRDefault="005D3BC5" w:rsidP="005D3BC5">
      <w:pPr>
        <w:pStyle w:val="H1G"/>
      </w:pPr>
      <w:r>
        <w:rPr>
          <w:bCs/>
          <w:lang w:val="fr-FR"/>
        </w:rPr>
        <w:tab/>
        <w:t>10.</w:t>
      </w:r>
      <w:r>
        <w:rPr>
          <w:lang w:val="fr-FR"/>
        </w:rPr>
        <w:tab/>
        <w:t>Questions diverses</w:t>
      </w:r>
    </w:p>
    <w:p w14:paraId="2600DBD2" w14:textId="0C5BD0BD" w:rsidR="005D3BC5" w:rsidRPr="004A74EC" w:rsidRDefault="005D3BC5" w:rsidP="005D3BC5">
      <w:pPr>
        <w:pStyle w:val="SingleTxtG"/>
        <w:ind w:firstLine="567"/>
      </w:pPr>
      <w:r>
        <w:rPr>
          <w:lang w:val="fr-FR"/>
        </w:rPr>
        <w:t>Aucun document n’a été soumis au titre de ce point de l’ordre du jour.</w:t>
      </w:r>
    </w:p>
    <w:p w14:paraId="09FDBF44" w14:textId="7E11F532" w:rsidR="005D3BC5" w:rsidRPr="004A74EC" w:rsidRDefault="005D3BC5" w:rsidP="005D3BC5">
      <w:pPr>
        <w:pStyle w:val="H1G"/>
      </w:pPr>
      <w:r>
        <w:rPr>
          <w:bCs/>
          <w:lang w:val="fr-FR"/>
        </w:rPr>
        <w:tab/>
        <w:t>11.</w:t>
      </w:r>
      <w:r>
        <w:rPr>
          <w:lang w:val="fr-FR"/>
        </w:rPr>
        <w:tab/>
        <w:t>Adoption du rapport</w:t>
      </w:r>
    </w:p>
    <w:p w14:paraId="10A9240E" w14:textId="539B1DC9" w:rsidR="00F9573C" w:rsidRDefault="005D3BC5" w:rsidP="005D3BC5">
      <w:pPr>
        <w:pStyle w:val="SingleTxtG"/>
        <w:ind w:firstLine="567"/>
        <w:rPr>
          <w:lang w:val="fr-FR"/>
        </w:rPr>
      </w:pPr>
      <w:r>
        <w:rPr>
          <w:lang w:val="fr-FR"/>
        </w:rPr>
        <w:t>Conformément à l’usage, la Réunion commune adoptera le rapport de sa session sur la base d’un projet établi par le secrétariat.</w:t>
      </w:r>
    </w:p>
    <w:p w14:paraId="70245888" w14:textId="3F41CA84" w:rsidR="005D3BC5" w:rsidRPr="005D3BC5" w:rsidRDefault="005D3BC5" w:rsidP="005D3BC5">
      <w:pPr>
        <w:pStyle w:val="SingleTxtG"/>
        <w:spacing w:before="240" w:after="0"/>
        <w:jc w:val="center"/>
        <w:rPr>
          <w:u w:val="single"/>
        </w:rPr>
      </w:pPr>
      <w:r>
        <w:rPr>
          <w:u w:val="single"/>
        </w:rPr>
        <w:tab/>
      </w:r>
      <w:r>
        <w:rPr>
          <w:u w:val="single"/>
        </w:rPr>
        <w:tab/>
      </w:r>
      <w:r>
        <w:rPr>
          <w:u w:val="single"/>
        </w:rPr>
        <w:tab/>
      </w:r>
      <w:r>
        <w:rPr>
          <w:u w:val="single"/>
        </w:rPr>
        <w:tab/>
      </w:r>
    </w:p>
    <w:sectPr w:rsidR="005D3BC5" w:rsidRPr="005D3BC5" w:rsidSect="005D3BC5">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714D4" w14:textId="77777777" w:rsidR="001162DD" w:rsidRDefault="001162DD" w:rsidP="00F95C08">
      <w:pPr>
        <w:spacing w:line="240" w:lineRule="auto"/>
      </w:pPr>
    </w:p>
  </w:endnote>
  <w:endnote w:type="continuationSeparator" w:id="0">
    <w:p w14:paraId="4A7C56A2" w14:textId="77777777" w:rsidR="001162DD" w:rsidRPr="00AC3823" w:rsidRDefault="001162DD" w:rsidP="00AC3823">
      <w:pPr>
        <w:pStyle w:val="Pieddepage"/>
      </w:pPr>
    </w:p>
  </w:endnote>
  <w:endnote w:type="continuationNotice" w:id="1">
    <w:p w14:paraId="6E729C16" w14:textId="77777777" w:rsidR="001162DD" w:rsidRDefault="001162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5E8C" w14:textId="02789669" w:rsidR="005D3BC5" w:rsidRPr="005D3BC5" w:rsidRDefault="005D3BC5" w:rsidP="005D3BC5">
    <w:pPr>
      <w:pStyle w:val="Pieddepage"/>
      <w:tabs>
        <w:tab w:val="right" w:pos="9638"/>
      </w:tabs>
    </w:pPr>
    <w:r w:rsidRPr="005D3BC5">
      <w:rPr>
        <w:b/>
        <w:sz w:val="18"/>
      </w:rPr>
      <w:fldChar w:fldCharType="begin"/>
    </w:r>
    <w:r w:rsidRPr="005D3BC5">
      <w:rPr>
        <w:b/>
        <w:sz w:val="18"/>
      </w:rPr>
      <w:instrText xml:space="preserve"> PAGE  \* MERGEFORMAT </w:instrText>
    </w:r>
    <w:r w:rsidRPr="005D3BC5">
      <w:rPr>
        <w:b/>
        <w:sz w:val="18"/>
      </w:rPr>
      <w:fldChar w:fldCharType="separate"/>
    </w:r>
    <w:r w:rsidRPr="005D3BC5">
      <w:rPr>
        <w:b/>
        <w:noProof/>
        <w:sz w:val="18"/>
      </w:rPr>
      <w:t>2</w:t>
    </w:r>
    <w:r w:rsidRPr="005D3BC5">
      <w:rPr>
        <w:b/>
        <w:sz w:val="18"/>
      </w:rPr>
      <w:fldChar w:fldCharType="end"/>
    </w:r>
    <w:r>
      <w:rPr>
        <w:b/>
        <w:sz w:val="18"/>
      </w:rPr>
      <w:tab/>
    </w:r>
    <w:r>
      <w:t>GE.24-00315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13B3" w14:textId="6D98D559" w:rsidR="005D3BC5" w:rsidRPr="005D3BC5" w:rsidRDefault="005D3BC5" w:rsidP="005D3BC5">
    <w:pPr>
      <w:pStyle w:val="Pieddepage"/>
      <w:tabs>
        <w:tab w:val="right" w:pos="9638"/>
      </w:tabs>
      <w:rPr>
        <w:b/>
        <w:sz w:val="18"/>
      </w:rPr>
    </w:pPr>
    <w:r>
      <w:t>GE.24-00315</w:t>
    </w:r>
    <w:r>
      <w:tab/>
    </w:r>
    <w:r w:rsidRPr="005D3BC5">
      <w:rPr>
        <w:b/>
        <w:sz w:val="18"/>
      </w:rPr>
      <w:fldChar w:fldCharType="begin"/>
    </w:r>
    <w:r w:rsidRPr="005D3BC5">
      <w:rPr>
        <w:b/>
        <w:sz w:val="18"/>
      </w:rPr>
      <w:instrText xml:space="preserve"> PAGE  \* MERGEFORMAT </w:instrText>
    </w:r>
    <w:r w:rsidRPr="005D3BC5">
      <w:rPr>
        <w:b/>
        <w:sz w:val="18"/>
      </w:rPr>
      <w:fldChar w:fldCharType="separate"/>
    </w:r>
    <w:r w:rsidRPr="005D3BC5">
      <w:rPr>
        <w:b/>
        <w:noProof/>
        <w:sz w:val="18"/>
      </w:rPr>
      <w:t>3</w:t>
    </w:r>
    <w:r w:rsidRPr="005D3BC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7243" w14:textId="07FA9815" w:rsidR="007F20FA" w:rsidRPr="005D3BC5" w:rsidRDefault="005D3BC5" w:rsidP="005D3BC5">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A3E1033" wp14:editId="5BACF8C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24-00315  (F)</w:t>
    </w:r>
    <w:r>
      <w:rPr>
        <w:noProof/>
        <w:sz w:val="20"/>
      </w:rPr>
      <w:drawing>
        <wp:anchor distT="0" distB="0" distL="114300" distR="114300" simplePos="0" relativeHeight="251660288" behindDoc="0" locked="0" layoutInCell="1" allowOverlap="1" wp14:anchorId="4DF79B62" wp14:editId="2EAE6C52">
          <wp:simplePos x="0" y="0"/>
          <wp:positionH relativeFrom="margin">
            <wp:posOffset>5489575</wp:posOffset>
          </wp:positionH>
          <wp:positionV relativeFrom="margin">
            <wp:posOffset>8891905</wp:posOffset>
          </wp:positionV>
          <wp:extent cx="638175" cy="638175"/>
          <wp:effectExtent l="0" t="0" r="9525" b="9525"/>
          <wp:wrapNone/>
          <wp:docPr id="65203403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050224    060224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9364" w14:textId="77777777" w:rsidR="001162DD" w:rsidRPr="00AC3823" w:rsidRDefault="001162DD" w:rsidP="00AC3823">
      <w:pPr>
        <w:pStyle w:val="Pieddepage"/>
        <w:tabs>
          <w:tab w:val="right" w:pos="2155"/>
        </w:tabs>
        <w:spacing w:after="80" w:line="240" w:lineRule="atLeast"/>
        <w:ind w:left="680"/>
        <w:rPr>
          <w:u w:val="single"/>
        </w:rPr>
      </w:pPr>
      <w:r>
        <w:rPr>
          <w:u w:val="single"/>
        </w:rPr>
        <w:tab/>
      </w:r>
    </w:p>
  </w:footnote>
  <w:footnote w:type="continuationSeparator" w:id="0">
    <w:p w14:paraId="1E82E4BE" w14:textId="77777777" w:rsidR="001162DD" w:rsidRPr="00AC3823" w:rsidRDefault="001162DD" w:rsidP="00AC3823">
      <w:pPr>
        <w:pStyle w:val="Pieddepage"/>
        <w:tabs>
          <w:tab w:val="right" w:pos="2155"/>
        </w:tabs>
        <w:spacing w:after="80" w:line="240" w:lineRule="atLeast"/>
        <w:ind w:left="680"/>
        <w:rPr>
          <w:u w:val="single"/>
        </w:rPr>
      </w:pPr>
      <w:r>
        <w:rPr>
          <w:u w:val="single"/>
        </w:rPr>
        <w:tab/>
      </w:r>
    </w:p>
  </w:footnote>
  <w:footnote w:type="continuationNotice" w:id="1">
    <w:p w14:paraId="4ADB0778" w14:textId="77777777" w:rsidR="001162DD" w:rsidRPr="00AC3823" w:rsidRDefault="001162DD">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CDC3" w14:textId="319AF639" w:rsidR="005D3BC5" w:rsidRPr="005D3BC5" w:rsidRDefault="00430C29">
    <w:pPr>
      <w:pStyle w:val="En-tte"/>
    </w:pPr>
    <w:r>
      <w:fldChar w:fldCharType="begin"/>
    </w:r>
    <w:r>
      <w:instrText xml:space="preserve"> TITLE  \* MERGEFORMAT </w:instrText>
    </w:r>
    <w:r>
      <w:fldChar w:fldCharType="separate"/>
    </w:r>
    <w:r>
      <w:t>ECE/TRANS/WP.15/AC.1/171/Add.1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795D" w14:textId="7F734FC8" w:rsidR="005D3BC5" w:rsidRPr="005D3BC5" w:rsidRDefault="00430C29" w:rsidP="005D3BC5">
    <w:pPr>
      <w:pStyle w:val="En-tte"/>
      <w:jc w:val="right"/>
    </w:pPr>
    <w:r>
      <w:fldChar w:fldCharType="begin"/>
    </w:r>
    <w:r>
      <w:instrText xml:space="preserve"> TITLE  \* MERGEFORMAT </w:instrText>
    </w:r>
    <w:r>
      <w:fldChar w:fldCharType="separate"/>
    </w:r>
    <w:r>
      <w:t>ECE/TRANS/WP.15/AC.1/171/Add.1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174568846">
    <w:abstractNumId w:val="12"/>
  </w:num>
  <w:num w:numId="2" w16cid:durableId="737434571">
    <w:abstractNumId w:val="11"/>
  </w:num>
  <w:num w:numId="3" w16cid:durableId="1032075435">
    <w:abstractNumId w:val="10"/>
  </w:num>
  <w:num w:numId="4" w16cid:durableId="887645466">
    <w:abstractNumId w:val="8"/>
  </w:num>
  <w:num w:numId="5" w16cid:durableId="1758744101">
    <w:abstractNumId w:val="3"/>
  </w:num>
  <w:num w:numId="6" w16cid:durableId="222721393">
    <w:abstractNumId w:val="2"/>
  </w:num>
  <w:num w:numId="7" w16cid:durableId="2079741943">
    <w:abstractNumId w:val="1"/>
  </w:num>
  <w:num w:numId="8" w16cid:durableId="924726632">
    <w:abstractNumId w:val="0"/>
  </w:num>
  <w:num w:numId="9" w16cid:durableId="380254056">
    <w:abstractNumId w:val="9"/>
  </w:num>
  <w:num w:numId="10" w16cid:durableId="1350134254">
    <w:abstractNumId w:val="7"/>
  </w:num>
  <w:num w:numId="11" w16cid:durableId="1794716213">
    <w:abstractNumId w:val="6"/>
  </w:num>
  <w:num w:numId="12" w16cid:durableId="1998725766">
    <w:abstractNumId w:val="5"/>
  </w:num>
  <w:num w:numId="13" w16cid:durableId="1293370242">
    <w:abstractNumId w:val="4"/>
  </w:num>
  <w:num w:numId="14" w16cid:durableId="1363167579">
    <w:abstractNumId w:val="12"/>
  </w:num>
  <w:num w:numId="15" w16cid:durableId="486440456">
    <w:abstractNumId w:val="11"/>
  </w:num>
  <w:num w:numId="16" w16cid:durableId="5706523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2DD"/>
    <w:rsid w:val="00017F94"/>
    <w:rsid w:val="00023842"/>
    <w:rsid w:val="000334F9"/>
    <w:rsid w:val="00045FEB"/>
    <w:rsid w:val="0007796D"/>
    <w:rsid w:val="000B06F7"/>
    <w:rsid w:val="000B7790"/>
    <w:rsid w:val="000D5AD4"/>
    <w:rsid w:val="00111F2F"/>
    <w:rsid w:val="001162DD"/>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30C29"/>
    <w:rsid w:val="00441C3B"/>
    <w:rsid w:val="00446FE5"/>
    <w:rsid w:val="00452396"/>
    <w:rsid w:val="00477EB2"/>
    <w:rsid w:val="004837D8"/>
    <w:rsid w:val="004E2EED"/>
    <w:rsid w:val="004E468C"/>
    <w:rsid w:val="005505B7"/>
    <w:rsid w:val="00573BE5"/>
    <w:rsid w:val="00586ED3"/>
    <w:rsid w:val="00596AA9"/>
    <w:rsid w:val="005D3BC5"/>
    <w:rsid w:val="006216D9"/>
    <w:rsid w:val="00622F73"/>
    <w:rsid w:val="006C3EEB"/>
    <w:rsid w:val="0071601D"/>
    <w:rsid w:val="0072063E"/>
    <w:rsid w:val="00783E98"/>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F8DB0"/>
  <w15:docId w15:val="{4B638543-F2C9-4BB8-8C0A-4BD925A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5D3BC5"/>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0B0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info/Transport/Dangerous-Goods/events/379552" TargetMode="Externa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otif.org/en/?page_id=214"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otif.org/de/?page_id=7327"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F20A84-3869-4207-B896-6A7B45DDB787}"/>
</file>

<file path=customXml/itemProps2.xml><?xml version="1.0" encoding="utf-8"?>
<ds:datastoreItem xmlns:ds="http://schemas.openxmlformats.org/officeDocument/2006/customXml" ds:itemID="{2E062977-2F65-4046-9C62-36309F8F92E6}"/>
</file>

<file path=docProps/app.xml><?xml version="1.0" encoding="utf-8"?>
<Properties xmlns="http://schemas.openxmlformats.org/officeDocument/2006/extended-properties" xmlns:vt="http://schemas.openxmlformats.org/officeDocument/2006/docPropsVTypes">
  <Template>ECE_TRANS.dotm</Template>
  <TotalTime>1</TotalTime>
  <Pages>4</Pages>
  <Words>1327</Words>
  <Characters>7039</Characters>
  <Application>Microsoft Office Word</Application>
  <DocSecurity>0</DocSecurity>
  <Lines>251</Lines>
  <Paragraphs>146</Paragraphs>
  <ScaleCrop>false</ScaleCrop>
  <HeadingPairs>
    <vt:vector size="2" baseType="variant">
      <vt:variant>
        <vt:lpstr>Titre</vt:lpstr>
      </vt:variant>
      <vt:variant>
        <vt:i4>1</vt:i4>
      </vt:variant>
    </vt:vector>
  </HeadingPairs>
  <TitlesOfParts>
    <vt:vector size="1" baseType="lpstr">
      <vt:lpstr>ECE/TRANS/WP.15/AC.1/171/Add.1</vt:lpstr>
    </vt:vector>
  </TitlesOfParts>
  <Company>DCM</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ECE/TRANS/WP.15/AC.1/171/Add.1</dc:title>
  <dc:subject/>
  <dc:creator>Julien OKRZESIK</dc:creator>
  <cp:keywords/>
  <cp:lastModifiedBy>Julien Okrzesik</cp:lastModifiedBy>
  <cp:revision>3</cp:revision>
  <cp:lastPrinted>2024-02-06T13:57:00Z</cp:lastPrinted>
  <dcterms:created xsi:type="dcterms:W3CDTF">2024-02-06T13:57:00Z</dcterms:created>
  <dcterms:modified xsi:type="dcterms:W3CDTF">2024-02-06T13:59:00Z</dcterms:modified>
</cp:coreProperties>
</file>