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4D21698" w14:textId="77777777" w:rsidTr="00387CD4">
        <w:trPr>
          <w:trHeight w:hRule="exact" w:val="851"/>
        </w:trPr>
        <w:tc>
          <w:tcPr>
            <w:tcW w:w="142" w:type="dxa"/>
            <w:tcBorders>
              <w:bottom w:val="single" w:sz="4" w:space="0" w:color="auto"/>
            </w:tcBorders>
          </w:tcPr>
          <w:p w14:paraId="76E40755" w14:textId="77777777" w:rsidR="002D5AAC" w:rsidRDefault="002D5AAC" w:rsidP="0082550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4FA31E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D5945A8" w14:textId="05F4EBCC" w:rsidR="002D5AAC" w:rsidRDefault="0082550C" w:rsidP="0082550C">
            <w:pPr>
              <w:jc w:val="right"/>
            </w:pPr>
            <w:r w:rsidRPr="0082550C">
              <w:rPr>
                <w:sz w:val="40"/>
              </w:rPr>
              <w:t>ECE</w:t>
            </w:r>
            <w:r>
              <w:t>/TRANS/WP.15/2024/8</w:t>
            </w:r>
          </w:p>
        </w:tc>
      </w:tr>
      <w:tr w:rsidR="002D5AAC" w:rsidRPr="00BE0ADC" w14:paraId="4A26377C" w14:textId="77777777" w:rsidTr="00387CD4">
        <w:trPr>
          <w:trHeight w:hRule="exact" w:val="2835"/>
        </w:trPr>
        <w:tc>
          <w:tcPr>
            <w:tcW w:w="1280" w:type="dxa"/>
            <w:gridSpan w:val="2"/>
            <w:tcBorders>
              <w:top w:val="single" w:sz="4" w:space="0" w:color="auto"/>
              <w:bottom w:val="single" w:sz="12" w:space="0" w:color="auto"/>
            </w:tcBorders>
          </w:tcPr>
          <w:p w14:paraId="1AB9B9E2" w14:textId="77777777" w:rsidR="002D5AAC" w:rsidRDefault="002E5067" w:rsidP="00387CD4">
            <w:pPr>
              <w:spacing w:before="120"/>
              <w:jc w:val="center"/>
            </w:pPr>
            <w:r>
              <w:rPr>
                <w:noProof/>
                <w:lang w:val="fr-CH" w:eastAsia="fr-CH"/>
              </w:rPr>
              <w:drawing>
                <wp:inline distT="0" distB="0" distL="0" distR="0" wp14:anchorId="4EFF7801" wp14:editId="39ABAD1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21CE5D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4D4AC42" w14:textId="77777777" w:rsidR="002D5AAC" w:rsidRDefault="0082550C" w:rsidP="00387CD4">
            <w:pPr>
              <w:spacing w:before="240"/>
              <w:rPr>
                <w:lang w:val="en-US"/>
              </w:rPr>
            </w:pPr>
            <w:r>
              <w:rPr>
                <w:lang w:val="en-US"/>
              </w:rPr>
              <w:t>Distr.: General</w:t>
            </w:r>
          </w:p>
          <w:p w14:paraId="5007E22E" w14:textId="77777777" w:rsidR="0082550C" w:rsidRDefault="0082550C" w:rsidP="0082550C">
            <w:pPr>
              <w:spacing w:line="240" w:lineRule="exact"/>
              <w:rPr>
                <w:lang w:val="en-US"/>
              </w:rPr>
            </w:pPr>
            <w:r>
              <w:rPr>
                <w:lang w:val="en-US"/>
              </w:rPr>
              <w:t>15 January 2024</w:t>
            </w:r>
          </w:p>
          <w:p w14:paraId="486BC3E3" w14:textId="77777777" w:rsidR="0082550C" w:rsidRDefault="0082550C" w:rsidP="0082550C">
            <w:pPr>
              <w:spacing w:line="240" w:lineRule="exact"/>
              <w:rPr>
                <w:lang w:val="en-US"/>
              </w:rPr>
            </w:pPr>
            <w:r>
              <w:rPr>
                <w:lang w:val="en-US"/>
              </w:rPr>
              <w:t>Russian</w:t>
            </w:r>
          </w:p>
          <w:p w14:paraId="09A99783" w14:textId="5A8C0D27" w:rsidR="0082550C" w:rsidRPr="008D53B6" w:rsidRDefault="0082550C" w:rsidP="0082550C">
            <w:pPr>
              <w:spacing w:line="240" w:lineRule="exact"/>
              <w:rPr>
                <w:lang w:val="en-US"/>
              </w:rPr>
            </w:pPr>
            <w:r>
              <w:rPr>
                <w:lang w:val="en-US"/>
              </w:rPr>
              <w:t>Original: English</w:t>
            </w:r>
          </w:p>
        </w:tc>
      </w:tr>
    </w:tbl>
    <w:p w14:paraId="372B610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AF48C1A" w14:textId="77777777" w:rsidR="0082550C" w:rsidRPr="0082550C" w:rsidRDefault="0082550C" w:rsidP="0082550C">
      <w:pPr>
        <w:spacing w:before="120"/>
        <w:rPr>
          <w:sz w:val="28"/>
          <w:szCs w:val="28"/>
        </w:rPr>
      </w:pPr>
      <w:r w:rsidRPr="0082550C">
        <w:rPr>
          <w:sz w:val="28"/>
          <w:szCs w:val="28"/>
        </w:rPr>
        <w:t>Комитет по внутреннему транспорту</w:t>
      </w:r>
    </w:p>
    <w:p w14:paraId="22AFA15B" w14:textId="77777777" w:rsidR="0082550C" w:rsidRPr="0082550C" w:rsidRDefault="0082550C" w:rsidP="0082550C">
      <w:pPr>
        <w:spacing w:before="120"/>
        <w:rPr>
          <w:b/>
          <w:bCs/>
          <w:sz w:val="24"/>
          <w:szCs w:val="24"/>
        </w:rPr>
      </w:pPr>
      <w:r w:rsidRPr="0082550C">
        <w:rPr>
          <w:b/>
          <w:bCs/>
          <w:sz w:val="24"/>
          <w:szCs w:val="24"/>
        </w:rPr>
        <w:t>Рабочая группа по перевозкам опасных грузов</w:t>
      </w:r>
    </w:p>
    <w:p w14:paraId="46CDE6B7" w14:textId="77777777" w:rsidR="0082550C" w:rsidRPr="001330DE" w:rsidRDefault="0082550C" w:rsidP="0082550C">
      <w:pPr>
        <w:spacing w:before="120"/>
        <w:rPr>
          <w:rFonts w:eastAsia="SimSun"/>
          <w:b/>
        </w:rPr>
      </w:pPr>
      <w:r>
        <w:rPr>
          <w:b/>
          <w:bCs/>
        </w:rPr>
        <w:t>Сто пятнадцатая сессия</w:t>
      </w:r>
      <w:r>
        <w:t xml:space="preserve"> </w:t>
      </w:r>
    </w:p>
    <w:p w14:paraId="6418DF55" w14:textId="15E750B4" w:rsidR="0082550C" w:rsidRPr="00BA64A8" w:rsidRDefault="0082550C" w:rsidP="0082550C">
      <w:pPr>
        <w:rPr>
          <w:rFonts w:eastAsia="SimSun"/>
        </w:rPr>
      </w:pPr>
      <w:r>
        <w:t>Женева, 2</w:t>
      </w:r>
      <w:bookmarkStart w:id="0" w:name="_Hlk38450922"/>
      <w:r w:rsidRPr="00A70CAF">
        <w:t>–</w:t>
      </w:r>
      <w:bookmarkEnd w:id="0"/>
      <w:r>
        <w:t>5 апреля 2024 года</w:t>
      </w:r>
    </w:p>
    <w:p w14:paraId="293CAC74" w14:textId="77777777" w:rsidR="0082550C" w:rsidRPr="00C521A6" w:rsidRDefault="0082550C" w:rsidP="0082550C">
      <w:pPr>
        <w:autoSpaceDE w:val="0"/>
        <w:autoSpaceDN w:val="0"/>
        <w:adjustRightInd w:val="0"/>
      </w:pPr>
      <w:r>
        <w:t>Пункт 5 a) предварительной повестки дня</w:t>
      </w:r>
    </w:p>
    <w:p w14:paraId="17B09930" w14:textId="77777777" w:rsidR="0082550C" w:rsidRPr="00F92D7A" w:rsidRDefault="0082550C" w:rsidP="0082550C">
      <w:pPr>
        <w:autoSpaceDE w:val="0"/>
        <w:autoSpaceDN w:val="0"/>
        <w:adjustRightInd w:val="0"/>
        <w:rPr>
          <w:b/>
          <w:bCs/>
        </w:rPr>
      </w:pPr>
      <w:r w:rsidRPr="00F92D7A">
        <w:rPr>
          <w:b/>
          <w:bCs/>
        </w:rPr>
        <w:t>Предложения о внесении поправок в приложения А и B к ДОПОГ:</w:t>
      </w:r>
    </w:p>
    <w:p w14:paraId="6CF17F02" w14:textId="77777777" w:rsidR="0082550C" w:rsidRDefault="0082550C" w:rsidP="0082550C">
      <w:pPr>
        <w:rPr>
          <w:b/>
          <w:bCs/>
        </w:rPr>
      </w:pPr>
      <w:r>
        <w:rPr>
          <w:b/>
          <w:bCs/>
        </w:rPr>
        <w:t>конструкция и допущение к перевозке транспортных средств</w:t>
      </w:r>
    </w:p>
    <w:p w14:paraId="07A24EE4" w14:textId="77777777" w:rsidR="0082550C" w:rsidRPr="00DB63DB" w:rsidRDefault="0082550C" w:rsidP="0082550C">
      <w:pPr>
        <w:pStyle w:val="HChG"/>
        <w:rPr>
          <w:bCs/>
          <w:szCs w:val="28"/>
        </w:rPr>
      </w:pPr>
      <w:r>
        <w:tab/>
      </w:r>
      <w:r>
        <w:tab/>
      </w:r>
      <w:r>
        <w:rPr>
          <w:bCs/>
        </w:rPr>
        <w:t>Аккумуляторные электромобили и транспортные средства, работающие на водороде</w:t>
      </w:r>
    </w:p>
    <w:p w14:paraId="78B92850" w14:textId="77777777" w:rsidR="0082550C" w:rsidRDefault="0082550C" w:rsidP="0082550C">
      <w:pPr>
        <w:pStyle w:val="H1G"/>
        <w:rPr>
          <w:szCs w:val="24"/>
        </w:rPr>
      </w:pPr>
      <w:r>
        <w:tab/>
      </w:r>
      <w:r>
        <w:tab/>
      </w:r>
      <w:r>
        <w:rPr>
          <w:bCs/>
        </w:rPr>
        <w:t>Передано правительством Нидерландов от имени неофициальной рабочей группы по электромобилям</w:t>
      </w:r>
      <w:r w:rsidRPr="0082550C">
        <w:rPr>
          <w:rStyle w:val="aa"/>
          <w:b w:val="0"/>
          <w:bCs/>
          <w:szCs w:val="18"/>
          <w:vertAlign w:val="baseline"/>
        </w:rPr>
        <w:footnoteReference w:customMarkFollows="1" w:id="1"/>
        <w:t>*</w:t>
      </w:r>
    </w:p>
    <w:p w14:paraId="724C7AB2" w14:textId="77777777" w:rsidR="0082550C" w:rsidRDefault="0082550C" w:rsidP="0082550C">
      <w:pPr>
        <w:pStyle w:val="HChG"/>
      </w:pPr>
      <w:r>
        <w:rPr>
          <w:bCs/>
        </w:rPr>
        <w:tab/>
        <w:t>I.</w:t>
      </w:r>
      <w:r>
        <w:tab/>
      </w:r>
      <w:r>
        <w:rPr>
          <w:bCs/>
        </w:rPr>
        <w:t>Введение</w:t>
      </w:r>
    </w:p>
    <w:p w14:paraId="7B0C05C2" w14:textId="36C2EBAC" w:rsidR="0082550C" w:rsidRDefault="0082550C" w:rsidP="0082550C">
      <w:pPr>
        <w:pStyle w:val="SingleTxtG"/>
      </w:pPr>
      <w:r>
        <w:t>1.</w:t>
      </w:r>
      <w:r>
        <w:tab/>
        <w:t>Предложения по поправкам, содержащиеся в документе ECE/TRANS/WP.15/2023/14, были приняты в предварительном порядке с изменениями. Поправки к изданию ДОПОГ 2023 года содержатся в приложении III к</w:t>
      </w:r>
      <w:bookmarkStart w:id="1" w:name="_Hlk156293670"/>
      <w:r w:rsidRPr="00D560E7">
        <w:rPr>
          <w:lang w:val="en-US"/>
        </w:rPr>
        <w:t> </w:t>
      </w:r>
      <w:bookmarkEnd w:id="1"/>
      <w:r>
        <w:t>докладу Рабочей группы о работе ее сто четырнадцатой сессии (документ ECE/TRANS/WP.15/264).</w:t>
      </w:r>
    </w:p>
    <w:p w14:paraId="1745D080" w14:textId="77777777" w:rsidR="0082550C" w:rsidRDefault="0082550C" w:rsidP="0082550C">
      <w:pPr>
        <w:pStyle w:val="SingleTxtG"/>
      </w:pPr>
      <w:r>
        <w:t>2.</w:t>
      </w:r>
      <w:r>
        <w:tab/>
        <w:t>Эти поправки включали ряд формулировок, заключенных в квадратные скобки, для дальнейшего рассмотрения на сто пятнадцатой сессии. В разделе 1 настоящего документа представлены окончательные предложения и обоснования в отношении того, как следует поступить с формулировками, заключенными в квадратные скобки.</w:t>
      </w:r>
    </w:p>
    <w:p w14:paraId="6C5C7D10" w14:textId="77777777" w:rsidR="0082550C" w:rsidRDefault="0082550C" w:rsidP="0082550C">
      <w:pPr>
        <w:pStyle w:val="SingleTxtG"/>
      </w:pPr>
      <w:r>
        <w:t>3.</w:t>
      </w:r>
      <w:r>
        <w:tab/>
        <w:t>Были внесены дополнительные сопутствующие поправки, которые приводятся в разделе 2 настоящего документа.</w:t>
      </w:r>
    </w:p>
    <w:p w14:paraId="3336C25A" w14:textId="77777777" w:rsidR="0082550C" w:rsidRPr="003459F9" w:rsidRDefault="0082550C" w:rsidP="0082550C">
      <w:pPr>
        <w:pStyle w:val="SingleTxtG"/>
      </w:pPr>
      <w:r>
        <w:t>4.</w:t>
      </w:r>
      <w:r>
        <w:tab/>
        <w:t>Настоящий документ содержит предложения, подготовленные на момент окончания срока подачи официальных документов. Поскольку работа по соответствующим вопросам продолжается, настоящий документ будет дополнен докладом неофициальной рабочей группы по электромобилям и, при необходимости, незначительными добавлениями или корректировками.</w:t>
      </w:r>
    </w:p>
    <w:p w14:paraId="15472BE0" w14:textId="77777777" w:rsidR="00F23A96" w:rsidRDefault="00F23A96">
      <w:pPr>
        <w:suppressAutoHyphens w:val="0"/>
        <w:spacing w:line="240" w:lineRule="auto"/>
        <w:rPr>
          <w:rFonts w:eastAsia="Times New Roman" w:cs="Times New Roman"/>
          <w:b/>
          <w:bCs/>
          <w:sz w:val="28"/>
          <w:szCs w:val="20"/>
          <w:lang w:eastAsia="ru-RU"/>
        </w:rPr>
      </w:pPr>
      <w:r>
        <w:rPr>
          <w:bCs/>
        </w:rPr>
        <w:br w:type="page"/>
      </w:r>
    </w:p>
    <w:p w14:paraId="56CAD421" w14:textId="46D2850D" w:rsidR="0082550C" w:rsidRDefault="0082550C" w:rsidP="0082550C">
      <w:pPr>
        <w:pStyle w:val="HChG"/>
      </w:pPr>
      <w:r>
        <w:rPr>
          <w:bCs/>
        </w:rPr>
        <w:lastRenderedPageBreak/>
        <w:tab/>
        <w:t>II.</w:t>
      </w:r>
      <w:r>
        <w:tab/>
      </w:r>
      <w:r>
        <w:rPr>
          <w:bCs/>
        </w:rPr>
        <w:t>Предложения</w:t>
      </w:r>
    </w:p>
    <w:p w14:paraId="3E38E33C" w14:textId="77777777" w:rsidR="0082550C" w:rsidRDefault="0082550C" w:rsidP="0082550C">
      <w:pPr>
        <w:pStyle w:val="SingleTxtG"/>
      </w:pPr>
      <w:r>
        <w:t>5.</w:t>
      </w:r>
      <w:r>
        <w:tab/>
      </w:r>
      <w:r>
        <w:rPr>
          <w:u w:val="single"/>
        </w:rPr>
        <w:t>Раздел 1. Текст в квадратных скобках в документе ECE/TRANS/WP.15/264, приложение III</w:t>
      </w:r>
    </w:p>
    <w:p w14:paraId="27724832" w14:textId="2520F89E" w:rsidR="0082550C" w:rsidRDefault="0082550C" w:rsidP="0082550C">
      <w:pPr>
        <w:pStyle w:val="SingleTxtG"/>
        <w:rPr>
          <w:i/>
          <w:iCs/>
        </w:rPr>
      </w:pPr>
      <w:r>
        <w:rPr>
          <w:i/>
          <w:iCs/>
        </w:rPr>
        <w:t xml:space="preserve">Примечание: в приведенной ниже таблице </w:t>
      </w:r>
      <w:bookmarkStart w:id="2" w:name="_Hlk156293798"/>
      <w:r w:rsidR="00F23A96" w:rsidRPr="00F23A96">
        <w:rPr>
          <w:i/>
          <w:iCs/>
        </w:rPr>
        <w:t>«</w:t>
      </w:r>
      <w:bookmarkEnd w:id="2"/>
      <w:r w:rsidRPr="00F23A96">
        <w:rPr>
          <w:i/>
          <w:iCs/>
        </w:rPr>
        <w:t>ПСАЭЭ</w:t>
      </w:r>
      <w:bookmarkStart w:id="3" w:name="_Hlk156293810"/>
      <w:r w:rsidR="00F23A96" w:rsidRPr="00F23A96">
        <w:rPr>
          <w:i/>
          <w:iCs/>
        </w:rPr>
        <w:t>»</w:t>
      </w:r>
      <w:bookmarkEnd w:id="3"/>
      <w:r w:rsidRPr="00F23A96">
        <w:rPr>
          <w:i/>
          <w:iCs/>
        </w:rPr>
        <w:t xml:space="preserve"> означает </w:t>
      </w:r>
      <w:r w:rsidR="00F23A96" w:rsidRPr="00F23A96">
        <w:rPr>
          <w:i/>
          <w:iCs/>
        </w:rPr>
        <w:t>«</w:t>
      </w:r>
      <w:r w:rsidRPr="00F23A96">
        <w:rPr>
          <w:i/>
          <w:iCs/>
        </w:rPr>
        <w:t>перезаряжаемая система аккумулирования электрической энергии</w:t>
      </w:r>
      <w:r w:rsidR="00F23A96" w:rsidRPr="00F23A96">
        <w:rPr>
          <w:i/>
          <w:iCs/>
        </w:rPr>
        <w:t>»</w:t>
      </w:r>
      <w:r>
        <w:rPr>
          <w:i/>
          <w:iCs/>
        </w:rPr>
        <w:t>.</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969"/>
        <w:gridCol w:w="3401"/>
      </w:tblGrid>
      <w:tr w:rsidR="0082550C" w:rsidRPr="00A56331" w14:paraId="79E61FA9" w14:textId="77777777" w:rsidTr="00016048">
        <w:trPr>
          <w:tblHeader/>
        </w:trPr>
        <w:tc>
          <w:tcPr>
            <w:tcW w:w="1134" w:type="dxa"/>
            <w:tcBorders>
              <w:top w:val="single" w:sz="4" w:space="0" w:color="auto"/>
              <w:bottom w:val="single" w:sz="12" w:space="0" w:color="auto"/>
            </w:tcBorders>
            <w:shd w:val="clear" w:color="auto" w:fill="auto"/>
            <w:vAlign w:val="bottom"/>
          </w:tcPr>
          <w:p w14:paraId="0621BD0B" w14:textId="77777777" w:rsidR="0082550C" w:rsidRPr="00A56331" w:rsidRDefault="0082550C" w:rsidP="0066143D">
            <w:pPr>
              <w:spacing w:before="80" w:after="80" w:line="200" w:lineRule="exact"/>
              <w:ind w:right="113"/>
              <w:rPr>
                <w:i/>
                <w:iCs/>
                <w:sz w:val="16"/>
                <w:szCs w:val="16"/>
              </w:rPr>
            </w:pPr>
            <w:r w:rsidRPr="00A56331">
              <w:rPr>
                <w:i/>
                <w:iCs/>
                <w:sz w:val="16"/>
                <w:szCs w:val="16"/>
              </w:rPr>
              <w:t>Ссылка</w:t>
            </w:r>
          </w:p>
        </w:tc>
        <w:tc>
          <w:tcPr>
            <w:tcW w:w="3969" w:type="dxa"/>
            <w:tcBorders>
              <w:top w:val="single" w:sz="4" w:space="0" w:color="auto"/>
              <w:bottom w:val="single" w:sz="12" w:space="0" w:color="auto"/>
            </w:tcBorders>
            <w:shd w:val="clear" w:color="auto" w:fill="auto"/>
            <w:vAlign w:val="bottom"/>
          </w:tcPr>
          <w:p w14:paraId="575E076A" w14:textId="498BB506" w:rsidR="0082550C" w:rsidRPr="00A56331" w:rsidRDefault="0082550C" w:rsidP="00892E1A">
            <w:pPr>
              <w:spacing w:before="80" w:after="80" w:line="200" w:lineRule="exact"/>
              <w:ind w:left="170" w:right="170"/>
              <w:rPr>
                <w:i/>
                <w:iCs/>
                <w:sz w:val="16"/>
                <w:szCs w:val="16"/>
              </w:rPr>
            </w:pPr>
            <w:r w:rsidRPr="00A56331">
              <w:rPr>
                <w:i/>
                <w:iCs/>
                <w:sz w:val="16"/>
                <w:szCs w:val="16"/>
              </w:rPr>
              <w:t>Формулировка в приложении</w:t>
            </w:r>
            <w:r w:rsidRPr="00A56331">
              <w:rPr>
                <w:sz w:val="16"/>
                <w:szCs w:val="16"/>
                <w:lang w:val="en-US"/>
              </w:rPr>
              <w:t> </w:t>
            </w:r>
            <w:r w:rsidRPr="00A56331">
              <w:rPr>
                <w:i/>
                <w:iCs/>
                <w:sz w:val="16"/>
                <w:szCs w:val="16"/>
              </w:rPr>
              <w:t>III к</w:t>
            </w:r>
            <w:r w:rsidR="00F23A96" w:rsidRPr="00A56331">
              <w:rPr>
                <w:sz w:val="16"/>
                <w:szCs w:val="16"/>
                <w:lang w:val="en-US"/>
              </w:rPr>
              <w:t> </w:t>
            </w:r>
            <w:r w:rsidR="00F23A96" w:rsidRPr="00A56331">
              <w:rPr>
                <w:i/>
                <w:iCs/>
                <w:sz w:val="16"/>
                <w:szCs w:val="16"/>
              </w:rPr>
              <w:t xml:space="preserve"> </w:t>
            </w:r>
            <w:r w:rsidRPr="00A56331">
              <w:rPr>
                <w:i/>
                <w:iCs/>
                <w:sz w:val="16"/>
                <w:szCs w:val="16"/>
              </w:rPr>
              <w:t>документу</w:t>
            </w:r>
            <w:r w:rsidRPr="00A56331">
              <w:rPr>
                <w:sz w:val="16"/>
                <w:szCs w:val="16"/>
                <w:lang w:val="en-US"/>
              </w:rPr>
              <w:t> </w:t>
            </w:r>
            <w:r w:rsidRPr="00A56331">
              <w:rPr>
                <w:i/>
                <w:iCs/>
                <w:sz w:val="16"/>
                <w:szCs w:val="16"/>
              </w:rPr>
              <w:t>ECE/TRANS/WP.15/264</w:t>
            </w:r>
          </w:p>
        </w:tc>
        <w:tc>
          <w:tcPr>
            <w:tcW w:w="3401" w:type="dxa"/>
            <w:tcBorders>
              <w:top w:val="single" w:sz="4" w:space="0" w:color="auto"/>
              <w:bottom w:val="single" w:sz="12" w:space="0" w:color="auto"/>
            </w:tcBorders>
            <w:shd w:val="clear" w:color="auto" w:fill="auto"/>
            <w:vAlign w:val="bottom"/>
          </w:tcPr>
          <w:p w14:paraId="4D4F6518" w14:textId="77777777" w:rsidR="0082550C" w:rsidRPr="00A56331" w:rsidRDefault="0082550C" w:rsidP="00892E1A">
            <w:pPr>
              <w:spacing w:before="80" w:after="80" w:line="200" w:lineRule="exact"/>
              <w:ind w:left="170" w:right="170"/>
              <w:rPr>
                <w:i/>
                <w:iCs/>
                <w:sz w:val="16"/>
                <w:szCs w:val="16"/>
              </w:rPr>
            </w:pPr>
            <w:r w:rsidRPr="00A56331">
              <w:rPr>
                <w:i/>
                <w:iCs/>
                <w:sz w:val="16"/>
                <w:szCs w:val="16"/>
              </w:rPr>
              <w:t>Предложение и обоснование</w:t>
            </w:r>
          </w:p>
        </w:tc>
      </w:tr>
      <w:tr w:rsidR="0082550C" w:rsidRPr="00092D98" w14:paraId="62C6F409" w14:textId="77777777" w:rsidTr="00016048">
        <w:trPr>
          <w:trHeight w:hRule="exact" w:val="113"/>
          <w:tblHeader/>
        </w:trPr>
        <w:tc>
          <w:tcPr>
            <w:tcW w:w="1134" w:type="dxa"/>
            <w:tcBorders>
              <w:top w:val="single" w:sz="12" w:space="0" w:color="auto"/>
            </w:tcBorders>
            <w:shd w:val="clear" w:color="auto" w:fill="auto"/>
            <w:vAlign w:val="bottom"/>
          </w:tcPr>
          <w:p w14:paraId="0C597D59" w14:textId="77777777" w:rsidR="0082550C" w:rsidRPr="00092D98" w:rsidRDefault="0082550C" w:rsidP="0066143D">
            <w:pPr>
              <w:spacing w:before="80" w:after="80" w:line="200" w:lineRule="exact"/>
              <w:ind w:right="113"/>
              <w:rPr>
                <w:i/>
                <w:sz w:val="16"/>
              </w:rPr>
            </w:pPr>
          </w:p>
        </w:tc>
        <w:tc>
          <w:tcPr>
            <w:tcW w:w="3969" w:type="dxa"/>
            <w:tcBorders>
              <w:top w:val="single" w:sz="12" w:space="0" w:color="auto"/>
            </w:tcBorders>
            <w:shd w:val="clear" w:color="auto" w:fill="auto"/>
            <w:vAlign w:val="bottom"/>
          </w:tcPr>
          <w:p w14:paraId="602A88FC" w14:textId="77777777" w:rsidR="0082550C" w:rsidRPr="00092D98" w:rsidRDefault="0082550C" w:rsidP="00892E1A">
            <w:pPr>
              <w:spacing w:before="80" w:after="80" w:line="200" w:lineRule="exact"/>
              <w:ind w:left="170" w:right="170"/>
              <w:rPr>
                <w:i/>
                <w:sz w:val="16"/>
              </w:rPr>
            </w:pPr>
          </w:p>
        </w:tc>
        <w:tc>
          <w:tcPr>
            <w:tcW w:w="3401" w:type="dxa"/>
            <w:tcBorders>
              <w:top w:val="single" w:sz="12" w:space="0" w:color="auto"/>
            </w:tcBorders>
            <w:shd w:val="clear" w:color="auto" w:fill="auto"/>
            <w:vAlign w:val="bottom"/>
          </w:tcPr>
          <w:p w14:paraId="5AD61A97" w14:textId="77777777" w:rsidR="0082550C" w:rsidRPr="00092D98" w:rsidRDefault="0082550C" w:rsidP="00892E1A">
            <w:pPr>
              <w:spacing w:before="80" w:after="80" w:line="200" w:lineRule="exact"/>
              <w:ind w:left="170" w:right="170"/>
              <w:rPr>
                <w:i/>
                <w:sz w:val="16"/>
              </w:rPr>
            </w:pPr>
          </w:p>
        </w:tc>
      </w:tr>
      <w:tr w:rsidR="0082550C" w:rsidRPr="00092D98" w14:paraId="76C99C2D" w14:textId="77777777" w:rsidTr="00016048">
        <w:tc>
          <w:tcPr>
            <w:tcW w:w="1134" w:type="dxa"/>
            <w:shd w:val="clear" w:color="auto" w:fill="auto"/>
          </w:tcPr>
          <w:p w14:paraId="058CEDAA" w14:textId="77777777" w:rsidR="0082550C" w:rsidRPr="00092D98" w:rsidRDefault="0082550C" w:rsidP="0066143D">
            <w:pPr>
              <w:spacing w:before="40" w:after="120"/>
              <w:ind w:right="113"/>
            </w:pPr>
            <w:r>
              <w:t>1.6.5.26</w:t>
            </w:r>
          </w:p>
        </w:tc>
        <w:tc>
          <w:tcPr>
            <w:tcW w:w="3969" w:type="dxa"/>
            <w:shd w:val="clear" w:color="auto" w:fill="auto"/>
          </w:tcPr>
          <w:p w14:paraId="0A8657EC" w14:textId="6E64635F" w:rsidR="0082550C" w:rsidRPr="00092D98" w:rsidRDefault="0082550C" w:rsidP="00892E1A">
            <w:pPr>
              <w:spacing w:before="40" w:after="120"/>
              <w:ind w:left="170" w:right="170"/>
            </w:pPr>
            <w:r>
              <w:t>Транспортные средства, впервые зарегистрированные (или, если регистрация не является обязательной, впервые введенные в эксплуатацию) до</w:t>
            </w:r>
            <w:r w:rsidR="00892E1A" w:rsidRPr="00D560E7">
              <w:rPr>
                <w:lang w:val="en-US"/>
              </w:rPr>
              <w:t> </w:t>
            </w:r>
            <w:r>
              <w:t>[1</w:t>
            </w:r>
            <w:r w:rsidR="00892E1A" w:rsidRPr="00D560E7">
              <w:rPr>
                <w:lang w:val="en-US"/>
              </w:rPr>
              <w:t> </w:t>
            </w:r>
            <w:r>
              <w:t>апреля 2026 года], официально утвержденные в качестве транспортных средств АТ, не соответствующие положениям пункта 9.2.4.2 в отношении топливных баков, могут по-прежнему эксплуатироваться.</w:t>
            </w:r>
          </w:p>
        </w:tc>
        <w:tc>
          <w:tcPr>
            <w:tcW w:w="3401" w:type="dxa"/>
            <w:shd w:val="clear" w:color="auto" w:fill="auto"/>
          </w:tcPr>
          <w:p w14:paraId="5EE79EF2" w14:textId="4E598AB8" w:rsidR="0082550C" w:rsidRPr="00092D98" w:rsidRDefault="0082550C" w:rsidP="00892E1A">
            <w:pPr>
              <w:spacing w:before="40" w:after="120"/>
              <w:ind w:left="170" w:right="170"/>
            </w:pPr>
            <w:r>
              <w:t xml:space="preserve">1 апреля 2026 года </w:t>
            </w:r>
            <w:r w:rsidRPr="0082550C">
              <w:t>—</w:t>
            </w:r>
            <w:r>
              <w:t xml:space="preserve"> это стандартный срок, позволяющий обновить Правила № 105 ООН и завершить сборку транспортных средств, уже находящихся в стадии производства (например, установку бака). Предлагается снять квадратные скобки.</w:t>
            </w:r>
          </w:p>
        </w:tc>
      </w:tr>
      <w:tr w:rsidR="0082550C" w:rsidRPr="00092D98" w14:paraId="104DC88F" w14:textId="77777777" w:rsidTr="00016048">
        <w:tc>
          <w:tcPr>
            <w:tcW w:w="1134" w:type="dxa"/>
            <w:shd w:val="clear" w:color="auto" w:fill="auto"/>
          </w:tcPr>
          <w:p w14:paraId="2F796AA0" w14:textId="77777777" w:rsidR="0082550C" w:rsidRPr="00092D98" w:rsidRDefault="0082550C" w:rsidP="0066143D">
            <w:pPr>
              <w:spacing w:before="40" w:after="120"/>
              <w:ind w:right="113"/>
            </w:pPr>
            <w:r>
              <w:t>1.6.5.27</w:t>
            </w:r>
          </w:p>
        </w:tc>
        <w:tc>
          <w:tcPr>
            <w:tcW w:w="3969" w:type="dxa"/>
            <w:shd w:val="clear" w:color="auto" w:fill="auto"/>
          </w:tcPr>
          <w:p w14:paraId="5FFC54C3" w14:textId="1C45263B" w:rsidR="0082550C" w:rsidRPr="00092D98" w:rsidRDefault="0082550C" w:rsidP="00892E1A">
            <w:pPr>
              <w:spacing w:before="40" w:after="120"/>
              <w:ind w:left="170" w:right="170"/>
            </w:pPr>
            <w:r>
              <w:t>Транспортные средства, впервые зарегистрированные (или, если регистрация не является обязательной, впервые введенные в эксплуатацию) до</w:t>
            </w:r>
            <w:r w:rsidR="00892E1A" w:rsidRPr="00D560E7">
              <w:rPr>
                <w:lang w:val="en-US"/>
              </w:rPr>
              <w:t> </w:t>
            </w:r>
            <w:r>
              <w:t>[1</w:t>
            </w:r>
            <w:r w:rsidR="00892E1A" w:rsidRPr="00D560E7">
              <w:rPr>
                <w:lang w:val="en-US"/>
              </w:rPr>
              <w:t> </w:t>
            </w:r>
            <w:r>
              <w:t>апреля 2026 года], официально утвержденные в качестве транспортных средств АТ, не соответствующие положениям пункта 9.2.4.4.2 в отношении оценки ПСАЭЭ, могут по-прежнему эксплуатироваться.</w:t>
            </w:r>
          </w:p>
        </w:tc>
        <w:tc>
          <w:tcPr>
            <w:tcW w:w="3401" w:type="dxa"/>
            <w:shd w:val="clear" w:color="auto" w:fill="auto"/>
          </w:tcPr>
          <w:p w14:paraId="6E4CB878" w14:textId="568F2179" w:rsidR="0082550C" w:rsidRPr="00092D98" w:rsidRDefault="0082550C" w:rsidP="00892E1A">
            <w:pPr>
              <w:spacing w:before="40" w:after="120"/>
              <w:ind w:left="170" w:right="170"/>
            </w:pPr>
            <w:r>
              <w:t xml:space="preserve">1 апреля 2026 года </w:t>
            </w:r>
            <w:r w:rsidRPr="0082550C">
              <w:t>—</w:t>
            </w:r>
            <w:r>
              <w:t xml:space="preserve"> это стандартный срок, позволяющий обновить Правила № 105 ООН и завершить сборку транспортных средств, уже находящихся в стадии производства (например, установку бака). Предлагается снять квадратные скобки.</w:t>
            </w:r>
          </w:p>
        </w:tc>
      </w:tr>
      <w:tr w:rsidR="0082550C" w:rsidRPr="00092D98" w14:paraId="78535C22" w14:textId="77777777" w:rsidTr="00016048">
        <w:tc>
          <w:tcPr>
            <w:tcW w:w="1134" w:type="dxa"/>
            <w:shd w:val="clear" w:color="auto" w:fill="auto"/>
          </w:tcPr>
          <w:p w14:paraId="1313DE42" w14:textId="77777777" w:rsidR="0082550C" w:rsidRPr="00092D98" w:rsidRDefault="0082550C" w:rsidP="0066143D">
            <w:pPr>
              <w:spacing w:before="40" w:after="120"/>
              <w:ind w:right="113"/>
            </w:pPr>
            <w:r>
              <w:t>9.2.1.1</w:t>
            </w:r>
          </w:p>
        </w:tc>
        <w:tc>
          <w:tcPr>
            <w:tcW w:w="3969" w:type="dxa"/>
            <w:shd w:val="clear" w:color="auto" w:fill="auto"/>
          </w:tcPr>
          <w:p w14:paraId="7C424850" w14:textId="4F30D4BE" w:rsidR="0082550C" w:rsidRPr="0041416E" w:rsidRDefault="0082550C" w:rsidP="00892E1A">
            <w:pPr>
              <w:spacing w:before="40" w:after="120"/>
              <w:ind w:left="170" w:right="170"/>
            </w:pPr>
            <w:r>
              <w:t>В строке таблицы, касающейся пункта</w:t>
            </w:r>
            <w:r w:rsidR="00F23A96" w:rsidRPr="00D560E7">
              <w:rPr>
                <w:lang w:val="en-US"/>
              </w:rPr>
              <w:t> </w:t>
            </w:r>
            <w:r>
              <w:t>9.2.4.2:</w:t>
            </w:r>
          </w:p>
          <w:p w14:paraId="15DD2A10" w14:textId="134A8C38" w:rsidR="0082550C" w:rsidRPr="00092D98" w:rsidRDefault="0082550C" w:rsidP="00892E1A">
            <w:pPr>
              <w:spacing w:before="40" w:after="120"/>
              <w:ind w:left="170" w:right="170"/>
            </w:pPr>
            <w:r w:rsidRPr="00E912C4">
              <w:t>•</w:t>
            </w:r>
            <w:r>
              <w:tab/>
              <w:t>в колонку «AT» добавить «</w:t>
            </w:r>
            <w:proofErr w:type="spellStart"/>
            <w:r>
              <w:t>X</w:t>
            </w:r>
            <w:r>
              <w:rPr>
                <w:vertAlign w:val="superscript"/>
              </w:rPr>
              <w:t>k</w:t>
            </w:r>
            <w:proofErr w:type="spellEnd"/>
            <w:r>
              <w:t>», а</w:t>
            </w:r>
            <w:r w:rsidR="00892E1A" w:rsidRPr="00D560E7">
              <w:rPr>
                <w:lang w:val="en-US"/>
              </w:rPr>
              <w:t> </w:t>
            </w:r>
            <w:r>
              <w:t>в</w:t>
            </w:r>
            <w:r w:rsidR="00892E1A" w:rsidRPr="00D560E7">
              <w:rPr>
                <w:lang w:val="en-US"/>
              </w:rPr>
              <w:t> </w:t>
            </w:r>
            <w:r>
              <w:t>колонку «ЗАМЕЧАНИЯ» добавить «</w:t>
            </w:r>
            <w:proofErr w:type="gramStart"/>
            <w:r>
              <w:rPr>
                <w:vertAlign w:val="superscript"/>
              </w:rPr>
              <w:t>k</w:t>
            </w:r>
            <w:r w:rsidRPr="00D560E7">
              <w:rPr>
                <w:lang w:val="en-US"/>
              </w:rPr>
              <w:t> </w:t>
            </w:r>
            <w:r>
              <w:t>Применимо</w:t>
            </w:r>
            <w:proofErr w:type="gramEnd"/>
            <w:r>
              <w:t xml:space="preserve"> к автомобилям, </w:t>
            </w:r>
            <w:r>
              <w:rPr>
                <w:i/>
                <w:iCs/>
                <w:u w:val="single"/>
              </w:rPr>
              <w:t>использующим иные виды топлива, кроме водорода,</w:t>
            </w:r>
            <w:r>
              <w:t xml:space="preserve"> впервые зарегистрированным после [31 марта 2026 года]».</w:t>
            </w:r>
          </w:p>
        </w:tc>
        <w:tc>
          <w:tcPr>
            <w:tcW w:w="3401" w:type="dxa"/>
            <w:shd w:val="clear" w:color="auto" w:fill="auto"/>
          </w:tcPr>
          <w:p w14:paraId="60A36B2C" w14:textId="12F22D41" w:rsidR="0082550C" w:rsidRPr="00092D98" w:rsidRDefault="0082550C" w:rsidP="00892E1A">
            <w:pPr>
              <w:spacing w:before="40" w:after="120"/>
              <w:ind w:left="170" w:right="170"/>
            </w:pPr>
            <w:r>
              <w:t>Дата самого позднего применения соответствует традиционно используемым периодам и переходным мерам, указанным в</w:t>
            </w:r>
            <w:r w:rsidR="00016048" w:rsidRPr="00D560E7">
              <w:rPr>
                <w:lang w:val="en-US"/>
              </w:rPr>
              <w:t> </w:t>
            </w:r>
            <w:r>
              <w:t>разделе 1.6.5.</w:t>
            </w:r>
          </w:p>
        </w:tc>
      </w:tr>
      <w:tr w:rsidR="0082550C" w:rsidRPr="00092D98" w14:paraId="2BE0836C" w14:textId="77777777" w:rsidTr="00016048">
        <w:tc>
          <w:tcPr>
            <w:tcW w:w="1134" w:type="dxa"/>
            <w:shd w:val="clear" w:color="auto" w:fill="auto"/>
          </w:tcPr>
          <w:p w14:paraId="31028CCC" w14:textId="77777777" w:rsidR="0082550C" w:rsidRPr="00092D98" w:rsidRDefault="0082550C" w:rsidP="0066143D">
            <w:pPr>
              <w:spacing w:before="40" w:after="120"/>
              <w:ind w:right="113"/>
            </w:pPr>
            <w:r>
              <w:t>9.2.1.1</w:t>
            </w:r>
          </w:p>
        </w:tc>
        <w:tc>
          <w:tcPr>
            <w:tcW w:w="3969" w:type="dxa"/>
            <w:shd w:val="clear" w:color="auto" w:fill="auto"/>
          </w:tcPr>
          <w:p w14:paraId="49E03F1B" w14:textId="67D5347A" w:rsidR="0082550C" w:rsidRPr="003459F9" w:rsidRDefault="0082550C" w:rsidP="00892E1A">
            <w:pPr>
              <w:pStyle w:val="SingleTxtG"/>
              <w:tabs>
                <w:tab w:val="clear" w:pos="1701"/>
                <w:tab w:val="clear" w:pos="2268"/>
              </w:tabs>
              <w:ind w:left="170" w:right="170" w:firstLine="2"/>
              <w:jc w:val="left"/>
            </w:pPr>
            <w:r>
              <w:t>В строке таблицы, касающейся пункта</w:t>
            </w:r>
            <w:r w:rsidR="00892E1A" w:rsidRPr="00D560E7">
              <w:rPr>
                <w:lang w:val="en-US"/>
              </w:rPr>
              <w:t> </w:t>
            </w:r>
            <w:r>
              <w:t>9.2.4.4.2:</w:t>
            </w:r>
          </w:p>
          <w:p w14:paraId="3AE1D636" w14:textId="5395C14C" w:rsidR="0082550C" w:rsidRPr="00092D98" w:rsidRDefault="0082550C" w:rsidP="00892E1A">
            <w:pPr>
              <w:spacing w:before="40" w:after="120"/>
              <w:ind w:left="170" w:right="170"/>
            </w:pPr>
            <w:r>
              <w:t>в колонку «AT» добавить «</w:t>
            </w:r>
            <w:proofErr w:type="spellStart"/>
            <w:r>
              <w:t>X</w:t>
            </w:r>
            <w:r>
              <w:rPr>
                <w:vertAlign w:val="superscript"/>
              </w:rPr>
              <w:t>k</w:t>
            </w:r>
            <w:proofErr w:type="spellEnd"/>
            <w:r>
              <w:t>», а</w:t>
            </w:r>
            <w:r w:rsidR="00892E1A" w:rsidRPr="00D560E7">
              <w:rPr>
                <w:lang w:val="en-US"/>
              </w:rPr>
              <w:t> </w:t>
            </w:r>
            <w:r>
              <w:t>в</w:t>
            </w:r>
            <w:r w:rsidR="00892E1A" w:rsidRPr="00D560E7">
              <w:rPr>
                <w:lang w:val="en-US"/>
              </w:rPr>
              <w:t> </w:t>
            </w:r>
            <w:r>
              <w:t>колонку «ЗАМЕЧАНИЯ» добавить «</w:t>
            </w:r>
            <w:proofErr w:type="gramStart"/>
            <w:r>
              <w:rPr>
                <w:vertAlign w:val="superscript"/>
              </w:rPr>
              <w:t>k</w:t>
            </w:r>
            <w:r>
              <w:t> Применимо</w:t>
            </w:r>
            <w:proofErr w:type="gramEnd"/>
            <w:r>
              <w:t xml:space="preserve"> к автомобилям, впервые зарегистрированным после [31 марта 2026 года]».</w:t>
            </w:r>
          </w:p>
        </w:tc>
        <w:tc>
          <w:tcPr>
            <w:tcW w:w="3401" w:type="dxa"/>
            <w:shd w:val="clear" w:color="auto" w:fill="auto"/>
          </w:tcPr>
          <w:p w14:paraId="04E3A293" w14:textId="77777777" w:rsidR="0082550C" w:rsidRPr="00092D98" w:rsidRDefault="0082550C" w:rsidP="00892E1A">
            <w:pPr>
              <w:spacing w:before="40" w:after="120"/>
              <w:ind w:left="170" w:right="170"/>
            </w:pPr>
            <w:r>
              <w:t>Дата самого позднего применения соответствует традиционно используемым периодам и переходным мерам, указанным в разделе 1.6.5.</w:t>
            </w:r>
          </w:p>
        </w:tc>
      </w:tr>
      <w:tr w:rsidR="0082550C" w:rsidRPr="00092D98" w14:paraId="6AD05C69" w14:textId="77777777" w:rsidTr="00016048">
        <w:tc>
          <w:tcPr>
            <w:tcW w:w="1134" w:type="dxa"/>
            <w:shd w:val="clear" w:color="auto" w:fill="auto"/>
          </w:tcPr>
          <w:p w14:paraId="5F1E8B8B" w14:textId="77777777" w:rsidR="0082550C" w:rsidRPr="00092D98" w:rsidRDefault="0082550C" w:rsidP="0066143D">
            <w:pPr>
              <w:spacing w:before="40" w:after="120"/>
              <w:ind w:right="113"/>
            </w:pPr>
            <w:r>
              <w:t>9.2.2.1</w:t>
            </w:r>
          </w:p>
        </w:tc>
        <w:tc>
          <w:tcPr>
            <w:tcW w:w="3969" w:type="dxa"/>
            <w:shd w:val="clear" w:color="auto" w:fill="auto"/>
          </w:tcPr>
          <w:p w14:paraId="31DC2E03" w14:textId="409A18FC" w:rsidR="0082550C" w:rsidRPr="00092D98" w:rsidRDefault="0082550C" w:rsidP="00892E1A">
            <w:pPr>
              <w:spacing w:before="40" w:after="120"/>
              <w:ind w:left="170" w:right="170"/>
            </w:pPr>
            <w:r>
              <w:t>[В первом абзаце после «возгорания» добавить «,</w:t>
            </w:r>
            <w:r w:rsidRPr="00D560E7">
              <w:rPr>
                <w:lang w:val="en-US"/>
              </w:rPr>
              <w:t> </w:t>
            </w:r>
            <w:r>
              <w:t>воспламенения».]</w:t>
            </w:r>
          </w:p>
        </w:tc>
        <w:tc>
          <w:tcPr>
            <w:tcW w:w="3401" w:type="dxa"/>
            <w:shd w:val="clear" w:color="auto" w:fill="auto"/>
          </w:tcPr>
          <w:p w14:paraId="66DDECC0" w14:textId="606C0DD8" w:rsidR="0082550C" w:rsidRPr="00092D98" w:rsidRDefault="0082550C" w:rsidP="00892E1A">
            <w:pPr>
              <w:spacing w:before="40" w:after="120"/>
              <w:ind w:left="170" w:right="170"/>
            </w:pPr>
            <w:r>
              <w:t xml:space="preserve">Было сочтено, что </w:t>
            </w:r>
            <w:r w:rsidR="00F23A96">
              <w:t>«</w:t>
            </w:r>
            <w:r>
              <w:t>возгорание</w:t>
            </w:r>
            <w:r w:rsidR="00F23A96">
              <w:t>»</w:t>
            </w:r>
            <w:r>
              <w:t xml:space="preserve"> </w:t>
            </w:r>
            <w:r w:rsidRPr="00016048">
              <w:t>уже подразумева</w:t>
            </w:r>
            <w:r w:rsidR="00016048">
              <w:t>ет</w:t>
            </w:r>
            <w:r>
              <w:t xml:space="preserve"> воспламенение. Предлагается исключить «,</w:t>
            </w:r>
            <w:r w:rsidR="00016048" w:rsidRPr="00D560E7">
              <w:rPr>
                <w:lang w:val="en-US"/>
              </w:rPr>
              <w:t> </w:t>
            </w:r>
            <w:r>
              <w:t>воспламенения» и убрать квадратные скобки.</w:t>
            </w:r>
          </w:p>
        </w:tc>
      </w:tr>
      <w:tr w:rsidR="0082550C" w:rsidRPr="00092D98" w14:paraId="7AD6D3F8" w14:textId="77777777" w:rsidTr="00016048">
        <w:tc>
          <w:tcPr>
            <w:tcW w:w="1134" w:type="dxa"/>
            <w:shd w:val="clear" w:color="auto" w:fill="auto"/>
          </w:tcPr>
          <w:p w14:paraId="5676201B" w14:textId="77777777" w:rsidR="0082550C" w:rsidRPr="00092D98" w:rsidRDefault="0082550C" w:rsidP="0066143D">
            <w:pPr>
              <w:spacing w:before="40" w:after="120"/>
              <w:ind w:right="113"/>
            </w:pPr>
            <w:r w:rsidRPr="00FC3A66">
              <w:t>9.2.4.2</w:t>
            </w:r>
          </w:p>
        </w:tc>
        <w:tc>
          <w:tcPr>
            <w:tcW w:w="3969" w:type="dxa"/>
            <w:shd w:val="clear" w:color="auto" w:fill="auto"/>
          </w:tcPr>
          <w:p w14:paraId="0CBA7E4F" w14:textId="70E6477A" w:rsidR="0082550C" w:rsidRPr="00092D98" w:rsidRDefault="0082550C" w:rsidP="00892E1A">
            <w:pPr>
              <w:spacing w:before="40" w:after="120"/>
              <w:ind w:left="170" w:right="170"/>
            </w:pPr>
            <w:r>
              <w:t>e)</w:t>
            </w:r>
            <w:r>
              <w:tab/>
              <w:t>Топливные баки и баллоны для водорода должны отвечать соответствующим требованиям Правил №</w:t>
            </w:r>
            <w:r w:rsidR="00892E1A" w:rsidRPr="00D560E7">
              <w:rPr>
                <w:lang w:val="en-US"/>
              </w:rPr>
              <w:t> </w:t>
            </w:r>
            <w:r>
              <w:t>134</w:t>
            </w:r>
            <w:r w:rsidRPr="00D4319E">
              <w:rPr>
                <w:vertAlign w:val="superscript"/>
              </w:rPr>
              <w:t>9</w:t>
            </w:r>
            <w:r>
              <w:t xml:space="preserve"> ООН с поправками не ниже серии</w:t>
            </w:r>
            <w:r w:rsidR="00A70CAF" w:rsidRPr="00D560E7">
              <w:rPr>
                <w:lang w:val="en-US"/>
              </w:rPr>
              <w:t> </w:t>
            </w:r>
            <w:r>
              <w:t xml:space="preserve">02, а резервуары для жидкого </w:t>
            </w:r>
            <w:r>
              <w:lastRenderedPageBreak/>
              <w:t>водорода —техническим положениям [Глобальных технических правил № 13</w:t>
            </w:r>
            <w:r>
              <w:rPr>
                <w:vertAlign w:val="superscript"/>
              </w:rPr>
              <w:t>10</w:t>
            </w:r>
            <w:r>
              <w:t xml:space="preserve"> ООН, этап 2, часть 7].</w:t>
            </w:r>
          </w:p>
        </w:tc>
        <w:tc>
          <w:tcPr>
            <w:tcW w:w="3401" w:type="dxa"/>
            <w:shd w:val="clear" w:color="auto" w:fill="auto"/>
          </w:tcPr>
          <w:p w14:paraId="698C4FA6" w14:textId="6F0CB135" w:rsidR="0082550C" w:rsidRPr="000E6350" w:rsidRDefault="0082550C" w:rsidP="00892E1A">
            <w:pPr>
              <w:spacing w:before="40" w:after="120"/>
              <w:ind w:left="170" w:right="170"/>
            </w:pPr>
            <w:r>
              <w:lastRenderedPageBreak/>
              <w:t xml:space="preserve">Ссылка была проверена, и правильнее было бы оформить ее следующим образом: </w:t>
            </w:r>
            <w:r w:rsidR="00F23A96">
              <w:t>«</w:t>
            </w:r>
            <w:r>
              <w:rPr>
                <w:i/>
                <w:iCs/>
              </w:rPr>
              <w:t>Поправка 1 к Глобальным техническим правилам, часть 7</w:t>
            </w:r>
            <w:r w:rsidR="00F23A96">
              <w:t>»</w:t>
            </w:r>
            <w:r>
              <w:t xml:space="preserve">. Часть 7 </w:t>
            </w:r>
            <w:r>
              <w:lastRenderedPageBreak/>
              <w:t>непосредственно касается резервуаров для жидкого водорода.</w:t>
            </w:r>
          </w:p>
          <w:p w14:paraId="46D880ED" w14:textId="77777777" w:rsidR="0082550C" w:rsidRPr="00092D98" w:rsidRDefault="0082550C" w:rsidP="00892E1A">
            <w:pPr>
              <w:spacing w:before="40" w:after="120"/>
              <w:ind w:left="170" w:right="170"/>
            </w:pPr>
            <w:r>
              <w:t>Предлагается изменить формулировку и убрать квадратные скобки.</w:t>
            </w:r>
          </w:p>
        </w:tc>
      </w:tr>
      <w:tr w:rsidR="0082550C" w:rsidRPr="00092D98" w14:paraId="0FC19574" w14:textId="77777777" w:rsidTr="00016048">
        <w:tc>
          <w:tcPr>
            <w:tcW w:w="1134" w:type="dxa"/>
            <w:shd w:val="clear" w:color="auto" w:fill="auto"/>
          </w:tcPr>
          <w:p w14:paraId="1E8EC310" w14:textId="77777777" w:rsidR="0082550C" w:rsidRPr="00092D98" w:rsidRDefault="0082550C" w:rsidP="0066143D">
            <w:pPr>
              <w:spacing w:before="40" w:after="120"/>
              <w:ind w:right="113"/>
            </w:pPr>
            <w:r>
              <w:lastRenderedPageBreak/>
              <w:t>9.2.4.3.1</w:t>
            </w:r>
          </w:p>
        </w:tc>
        <w:tc>
          <w:tcPr>
            <w:tcW w:w="3969" w:type="dxa"/>
            <w:shd w:val="clear" w:color="auto" w:fill="auto"/>
          </w:tcPr>
          <w:p w14:paraId="65DDFAED" w14:textId="34AFA9FC" w:rsidR="0082550C" w:rsidRPr="00092D98" w:rsidRDefault="0082550C" w:rsidP="00892E1A">
            <w:pPr>
              <w:spacing w:before="40" w:after="120"/>
              <w:ind w:left="170" w:right="170"/>
            </w:pPr>
            <w:r>
              <w:t>c)</w:t>
            </w:r>
            <w:r>
              <w:tab/>
            </w:r>
            <w:r w:rsidRPr="00FC3A66">
              <w:t>Правил</w:t>
            </w:r>
            <w:r>
              <w:t xml:space="preserve"> № 134</w:t>
            </w:r>
            <w:r w:rsidRPr="007C6490">
              <w:rPr>
                <w:vertAlign w:val="superscript"/>
              </w:rPr>
              <w:t>9</w:t>
            </w:r>
            <w:r>
              <w:t xml:space="preserve"> ООН для</w:t>
            </w:r>
            <w:r w:rsidRPr="00D560E7">
              <w:rPr>
                <w:lang w:val="en-US"/>
              </w:rPr>
              <w:t> </w:t>
            </w:r>
            <w:r>
              <w:t>сжатого водорода и [техническим положениям Глобальных технических правил № 13</w:t>
            </w:r>
            <w:r w:rsidRPr="007C6490">
              <w:rPr>
                <w:vertAlign w:val="superscript"/>
              </w:rPr>
              <w:t>10</w:t>
            </w:r>
            <w:r>
              <w:t>, этап 2] для жидкого водорода, в случае применимости.</w:t>
            </w:r>
          </w:p>
        </w:tc>
        <w:tc>
          <w:tcPr>
            <w:tcW w:w="3401" w:type="dxa"/>
            <w:shd w:val="clear" w:color="auto" w:fill="auto"/>
          </w:tcPr>
          <w:p w14:paraId="0FF04632" w14:textId="11D64A84" w:rsidR="0082550C" w:rsidRPr="00092D98" w:rsidRDefault="0082550C" w:rsidP="00892E1A">
            <w:pPr>
              <w:spacing w:before="40" w:after="120"/>
              <w:ind w:left="170" w:right="170"/>
            </w:pPr>
            <w:r>
              <w:t xml:space="preserve">Ссылка была проверена, и правильнее было бы оформить ее следующим образом: </w:t>
            </w:r>
            <w:r w:rsidR="00F23A96" w:rsidRPr="00F23A96">
              <w:t>«</w:t>
            </w:r>
            <w:r>
              <w:rPr>
                <w:i/>
                <w:iCs/>
              </w:rPr>
              <w:t>Поправка 1 к Глобальным техническим правилам</w:t>
            </w:r>
            <w:r w:rsidR="00F21487" w:rsidRPr="00F21487">
              <w:t>»</w:t>
            </w:r>
            <w:r>
              <w:t>. Предлагается изменить формулировку и убрать квадратные скобки.</w:t>
            </w:r>
          </w:p>
        </w:tc>
      </w:tr>
      <w:tr w:rsidR="0082550C" w:rsidRPr="00092D98" w14:paraId="44A1AA20" w14:textId="77777777" w:rsidTr="00016048">
        <w:tc>
          <w:tcPr>
            <w:tcW w:w="1134" w:type="dxa"/>
            <w:shd w:val="clear" w:color="auto" w:fill="auto"/>
          </w:tcPr>
          <w:p w14:paraId="108F39D7" w14:textId="77777777" w:rsidR="0082550C" w:rsidRPr="00092D98" w:rsidRDefault="0082550C" w:rsidP="0066143D">
            <w:pPr>
              <w:spacing w:before="40" w:after="120"/>
              <w:ind w:right="113"/>
            </w:pPr>
            <w:r>
              <w:t>9.2.4.4.2</w:t>
            </w:r>
          </w:p>
        </w:tc>
        <w:tc>
          <w:tcPr>
            <w:tcW w:w="3969" w:type="dxa"/>
            <w:shd w:val="clear" w:color="auto" w:fill="auto"/>
          </w:tcPr>
          <w:p w14:paraId="61AAB782" w14:textId="092E08DA" w:rsidR="0082550C" w:rsidRPr="00092D98" w:rsidRDefault="0082550C" w:rsidP="00892E1A">
            <w:pPr>
              <w:spacing w:before="40" w:after="120"/>
              <w:ind w:left="170" w:right="170"/>
            </w:pPr>
            <w:r>
              <w:t>ПСАЭЭ транспортных средств с электрическим приводом должны быть сконструированы и изготовлены с учетом результатов оценки  рисков в соответствии со стандартом ISO 6469-1:2019/</w:t>
            </w:r>
            <w:proofErr w:type="spellStart"/>
            <w:r>
              <w:t>Amd</w:t>
            </w:r>
            <w:proofErr w:type="spellEnd"/>
            <w:r>
              <w:t> 1:2022 для подтверждения безопасности в нормальных условиях эксплуатации. [Проверка должна проводиться технической службой (например, технической службой, ответственной за официальное утверждение транспортных средств в соответствии с Правилами №</w:t>
            </w:r>
            <w:r w:rsidRPr="00D560E7">
              <w:rPr>
                <w:lang w:val="en-US"/>
              </w:rPr>
              <w:t> </w:t>
            </w:r>
            <w:r>
              <w:t>100</w:t>
            </w:r>
            <w:r>
              <w:rPr>
                <w:vertAlign w:val="superscript"/>
              </w:rPr>
              <w:t>1</w:t>
            </w:r>
            <w:r>
              <w:t xml:space="preserve"> ООН </w:t>
            </w:r>
            <w:r w:rsidRPr="00FC3A66">
              <w:t>с</w:t>
            </w:r>
            <w:r w:rsidR="00892E1A" w:rsidRPr="00FC3A66">
              <w:rPr>
                <w:lang w:val="en-US"/>
              </w:rPr>
              <w:t> </w:t>
            </w:r>
            <w:r w:rsidRPr="00FC3A66">
              <w:t>поправками не</w:t>
            </w:r>
            <w:r w:rsidRPr="00FC3A66">
              <w:rPr>
                <w:lang w:val="en-US"/>
              </w:rPr>
              <w:t> </w:t>
            </w:r>
            <w:r w:rsidRPr="00FC3A66">
              <w:t>ниже серии 03)</w:t>
            </w:r>
            <w:r>
              <w:t>.]</w:t>
            </w:r>
          </w:p>
        </w:tc>
        <w:tc>
          <w:tcPr>
            <w:tcW w:w="3401" w:type="dxa"/>
            <w:shd w:val="clear" w:color="auto" w:fill="auto"/>
          </w:tcPr>
          <w:p w14:paraId="6D4EDE39" w14:textId="72A27138" w:rsidR="0082550C" w:rsidRPr="00277316" w:rsidRDefault="0082550C" w:rsidP="00892E1A">
            <w:pPr>
              <w:spacing w:before="40" w:after="120"/>
              <w:ind w:left="170" w:right="170"/>
            </w:pPr>
            <w:r>
              <w:t>Цель текста в квадратных скобках</w:t>
            </w:r>
            <w:r w:rsidR="00E065CE" w:rsidRPr="00D560E7">
              <w:rPr>
                <w:lang w:val="en-US"/>
              </w:rPr>
              <w:t> </w:t>
            </w:r>
            <w:r w:rsidR="00E065CE" w:rsidRPr="00E065CE">
              <w:t xml:space="preserve"> —</w:t>
            </w:r>
            <w:r>
              <w:t xml:space="preserve"> предусмотреть оценку работы, выполненной изготовителем, независимым органом с соответствующими квалификациями. Однако возник вопрос о том, должна ли это быть техническая служба для Правил №</w:t>
            </w:r>
            <w:r w:rsidR="00892E1A" w:rsidRPr="00D560E7">
              <w:rPr>
                <w:lang w:val="en-US"/>
              </w:rPr>
              <w:t> </w:t>
            </w:r>
            <w:r>
              <w:t xml:space="preserve">105 ООН или Правил № 100 ООН. </w:t>
            </w:r>
          </w:p>
          <w:p w14:paraId="05B03569" w14:textId="77777777" w:rsidR="0082550C" w:rsidRPr="00277316" w:rsidRDefault="0082550C" w:rsidP="00892E1A">
            <w:pPr>
              <w:spacing w:before="40" w:after="120"/>
              <w:ind w:left="170" w:right="170"/>
            </w:pPr>
            <w:r>
              <w:t>На момент составления настоящего документа консенсуса по этому вопросу достигнуто не было.</w:t>
            </w:r>
          </w:p>
          <w:p w14:paraId="53FDA4A1" w14:textId="1D5802CF" w:rsidR="0082550C" w:rsidRPr="00092D98" w:rsidRDefault="0082550C" w:rsidP="00892E1A">
            <w:pPr>
              <w:spacing w:before="40" w:after="120"/>
              <w:ind w:left="170" w:right="170"/>
            </w:pPr>
            <w:r>
              <w:t>Текст предлагается оставить в квадратных скобках для окончательной доработки на сто пятнадцатой сессии Рабочей группы.</w:t>
            </w:r>
          </w:p>
        </w:tc>
      </w:tr>
      <w:tr w:rsidR="0082550C" w:rsidRPr="00092D98" w14:paraId="08BD5F37" w14:textId="77777777" w:rsidTr="00016048">
        <w:tc>
          <w:tcPr>
            <w:tcW w:w="1134" w:type="dxa"/>
            <w:shd w:val="clear" w:color="auto" w:fill="auto"/>
          </w:tcPr>
          <w:p w14:paraId="09086E36" w14:textId="77777777" w:rsidR="0082550C" w:rsidRPr="00092D98" w:rsidRDefault="0082550C" w:rsidP="0066143D">
            <w:pPr>
              <w:spacing w:before="40" w:after="120"/>
              <w:ind w:right="113"/>
            </w:pPr>
            <w:r>
              <w:t>9.2.4.4.3</w:t>
            </w:r>
          </w:p>
        </w:tc>
        <w:tc>
          <w:tcPr>
            <w:tcW w:w="3969" w:type="dxa"/>
            <w:shd w:val="clear" w:color="auto" w:fill="auto"/>
          </w:tcPr>
          <w:p w14:paraId="2378C644" w14:textId="66EC6B28" w:rsidR="0082550C" w:rsidRPr="00092D98" w:rsidRDefault="0082550C" w:rsidP="00892E1A">
            <w:pPr>
              <w:spacing w:before="40" w:after="120"/>
              <w:ind w:left="170" w:right="170"/>
            </w:pPr>
            <w:r>
              <w:t xml:space="preserve">В случае ПСАЭЭ, содержащих элементы, для которых нельзя гарантировать, что тепловое распространение будет происходить только внутри ПСАЭЭ, надлежит принять меры в целях </w:t>
            </w:r>
            <w:r>
              <w:rPr>
                <w:strike/>
              </w:rPr>
              <w:t>предотвращения</w:t>
            </w:r>
            <w:r>
              <w:t xml:space="preserve"> </w:t>
            </w:r>
            <w:r w:rsidRPr="00A70CAF">
              <w:rPr>
                <w:u w:val="single"/>
              </w:rPr>
              <w:t>снижения любой опасности</w:t>
            </w:r>
            <w:r>
              <w:t xml:space="preserve"> для груза в результате нагрева или воспламенения. [Они должны быть сконструированы с учетом необходимости облегчить вмешательство аварийных служб для сдерживания последствий теплового распространения</w:t>
            </w:r>
            <w:r w:rsidR="00A70CAF" w:rsidRPr="00A70CAF">
              <w:t>.</w:t>
            </w:r>
            <w:r>
              <w:t>]</w:t>
            </w:r>
          </w:p>
        </w:tc>
        <w:tc>
          <w:tcPr>
            <w:tcW w:w="3401" w:type="dxa"/>
            <w:shd w:val="clear" w:color="auto" w:fill="auto"/>
          </w:tcPr>
          <w:p w14:paraId="6B5ADE77" w14:textId="7524AF47" w:rsidR="0082550C" w:rsidRPr="00277316" w:rsidRDefault="0082550C" w:rsidP="00892E1A">
            <w:pPr>
              <w:spacing w:before="40" w:after="120"/>
              <w:ind w:left="170" w:right="170"/>
            </w:pPr>
            <w:r>
              <w:t xml:space="preserve">Слово </w:t>
            </w:r>
            <w:r w:rsidR="00F21487" w:rsidRPr="00F21487">
              <w:t>«</w:t>
            </w:r>
            <w:r>
              <w:t>предотвращения</w:t>
            </w:r>
            <w:r w:rsidR="00F21487" w:rsidRPr="00F21487">
              <w:t>»</w:t>
            </w:r>
            <w:r>
              <w:t xml:space="preserve"> предлагается заменить на </w:t>
            </w:r>
            <w:r w:rsidR="00F21487" w:rsidRPr="00F21487">
              <w:t>«</w:t>
            </w:r>
            <w:r>
              <w:t>снижения</w:t>
            </w:r>
            <w:r w:rsidR="00F21487" w:rsidRPr="00F21487">
              <w:t>»</w:t>
            </w:r>
            <w:r>
              <w:t xml:space="preserve">, которое лучше сочетается с </w:t>
            </w:r>
            <w:r w:rsidR="00F21487" w:rsidRPr="00F21487">
              <w:t>«</w:t>
            </w:r>
            <w:r>
              <w:t>опасностью</w:t>
            </w:r>
            <w:r w:rsidR="00F21487" w:rsidRPr="00F21487">
              <w:t>»</w:t>
            </w:r>
            <w:r>
              <w:t xml:space="preserve">. </w:t>
            </w:r>
          </w:p>
          <w:p w14:paraId="18156B2D" w14:textId="77777777" w:rsidR="0082550C" w:rsidRPr="00092D98" w:rsidRDefault="0082550C" w:rsidP="00892E1A">
            <w:pPr>
              <w:spacing w:before="40" w:after="120"/>
              <w:ind w:left="170" w:right="170"/>
            </w:pPr>
            <w:r>
              <w:t xml:space="preserve">Положение в квадратных скобках призвано обеспечить, чтобы конструкция транспортного средства позволяла аварийным службам ликвидировать возгорание, распространившееся за пределы ПСАЭЭ. Однако, когда возгорание в ПСАЭЭ распространяется на весь автомобиль, аварийные службы не будут действовать иначе, чем в случае с грузовым транспортным средством, оснащенным ДВС, но будут принимать меры с безопасного расстояния. Поэтому положение о конструкции автомобиля, обеспечивающей возможность такого </w:t>
            </w:r>
            <w:r>
              <w:lastRenderedPageBreak/>
              <w:t>вмешательства, было сочтено излишним. Кроме того, ожидается, что пожарные бригады разработают методы реагирования, не зависящие от конструкции транспортных средств. Предлагается исключить предложение, заключенное в квадратные скобки.</w:t>
            </w:r>
          </w:p>
        </w:tc>
      </w:tr>
      <w:tr w:rsidR="0082550C" w:rsidRPr="00092D98" w14:paraId="32E9B6CF" w14:textId="77777777" w:rsidTr="00016048">
        <w:tc>
          <w:tcPr>
            <w:tcW w:w="1134" w:type="dxa"/>
            <w:shd w:val="clear" w:color="auto" w:fill="auto"/>
          </w:tcPr>
          <w:p w14:paraId="63FA677E" w14:textId="77777777" w:rsidR="0082550C" w:rsidRPr="00092D98" w:rsidRDefault="0082550C" w:rsidP="0066143D">
            <w:pPr>
              <w:spacing w:before="40" w:after="120"/>
              <w:ind w:right="113"/>
            </w:pPr>
            <w:r>
              <w:lastRenderedPageBreak/>
              <w:t>9.2.4.5.2</w:t>
            </w:r>
          </w:p>
        </w:tc>
        <w:tc>
          <w:tcPr>
            <w:tcW w:w="3969" w:type="dxa"/>
            <w:shd w:val="clear" w:color="auto" w:fill="auto"/>
          </w:tcPr>
          <w:p w14:paraId="1861348D" w14:textId="7C30A2E2" w:rsidR="0082550C" w:rsidRPr="00092D98" w:rsidRDefault="0082550C" w:rsidP="00892E1A">
            <w:pPr>
              <w:spacing w:before="40" w:after="120"/>
              <w:ind w:left="170" w:right="170"/>
            </w:pPr>
            <w:r>
              <w:t>Транспортные средства на водородных топливных элементах должны соответствовать Правилам №</w:t>
            </w:r>
            <w:r w:rsidRPr="00D560E7">
              <w:rPr>
                <w:lang w:val="en-US"/>
              </w:rPr>
              <w:t> </w:t>
            </w:r>
            <w:r>
              <w:t>134</w:t>
            </w:r>
            <w:r w:rsidRPr="00F76948">
              <w:rPr>
                <w:vertAlign w:val="superscript"/>
              </w:rPr>
              <w:t>9</w:t>
            </w:r>
            <w:r>
              <w:t xml:space="preserve"> ООН с</w:t>
            </w:r>
            <w:r w:rsidR="00892E1A" w:rsidRPr="00D560E7">
              <w:rPr>
                <w:lang w:val="en-US"/>
              </w:rPr>
              <w:t> </w:t>
            </w:r>
            <w:r>
              <w:t>поправками не</w:t>
            </w:r>
            <w:r w:rsidRPr="00D560E7">
              <w:rPr>
                <w:lang w:val="en-US"/>
              </w:rPr>
              <w:t> </w:t>
            </w:r>
            <w:r>
              <w:t>ниже серии 02. В случае транспортных средств, использующих жидкий водород, применяются технические требования [Глобальных технических правил № 13</w:t>
            </w:r>
            <w:r>
              <w:rPr>
                <w:vertAlign w:val="superscript"/>
              </w:rPr>
              <w:t>10</w:t>
            </w:r>
            <w:r>
              <w:t xml:space="preserve"> ООН, этап 2].</w:t>
            </w:r>
          </w:p>
        </w:tc>
        <w:tc>
          <w:tcPr>
            <w:tcW w:w="3401" w:type="dxa"/>
            <w:shd w:val="clear" w:color="auto" w:fill="auto"/>
          </w:tcPr>
          <w:p w14:paraId="6429CEA7" w14:textId="16D7D379" w:rsidR="0082550C" w:rsidRPr="00092D98" w:rsidRDefault="0082550C" w:rsidP="00892E1A">
            <w:pPr>
              <w:spacing w:before="40" w:after="120"/>
              <w:ind w:left="170" w:right="170"/>
            </w:pPr>
            <w:r>
              <w:t xml:space="preserve">Ссылка была проверена, и правильнее было бы оформить ее следующим образом: </w:t>
            </w:r>
            <w:r w:rsidR="00F21487" w:rsidRPr="00F21487">
              <w:t>«</w:t>
            </w:r>
            <w:r>
              <w:rPr>
                <w:i/>
                <w:iCs/>
              </w:rPr>
              <w:t>Поправка 1 к Глобальным техническим правилам №</w:t>
            </w:r>
            <w:r w:rsidR="00A70CAF" w:rsidRPr="00A70CAF">
              <w:rPr>
                <w:i/>
                <w:iCs/>
              </w:rPr>
              <w:t xml:space="preserve"> </w:t>
            </w:r>
            <w:r>
              <w:rPr>
                <w:i/>
                <w:iCs/>
              </w:rPr>
              <w:t>13</w:t>
            </w:r>
            <w:r w:rsidR="00F21487" w:rsidRPr="00F21487">
              <w:t>»</w:t>
            </w:r>
            <w:r>
              <w:t>. Предлагается изменить формулировку и убрать квадратные скобки.</w:t>
            </w:r>
          </w:p>
        </w:tc>
      </w:tr>
      <w:tr w:rsidR="0082550C" w:rsidRPr="00092D98" w14:paraId="1553FA4F" w14:textId="77777777" w:rsidTr="00BE0ADC">
        <w:tc>
          <w:tcPr>
            <w:tcW w:w="1134" w:type="dxa"/>
            <w:shd w:val="clear" w:color="auto" w:fill="auto"/>
          </w:tcPr>
          <w:p w14:paraId="4B16EA61" w14:textId="77777777" w:rsidR="0082550C" w:rsidRPr="00092D98" w:rsidRDefault="0082550C" w:rsidP="0066143D">
            <w:pPr>
              <w:spacing w:before="40" w:after="120"/>
              <w:ind w:right="113"/>
            </w:pPr>
            <w:r>
              <w:t>9.2.4.5.3</w:t>
            </w:r>
          </w:p>
        </w:tc>
        <w:tc>
          <w:tcPr>
            <w:tcW w:w="3969" w:type="dxa"/>
            <w:shd w:val="clear" w:color="auto" w:fill="auto"/>
          </w:tcPr>
          <w:p w14:paraId="492A7A82" w14:textId="29AF5056" w:rsidR="0082550C" w:rsidRPr="00092D98" w:rsidRDefault="0082550C" w:rsidP="00892E1A">
            <w:pPr>
              <w:spacing w:before="40" w:after="120"/>
              <w:ind w:left="170" w:right="170"/>
            </w:pPr>
            <w:r>
              <w:t>b)</w:t>
            </w:r>
            <w:r>
              <w:tab/>
              <w:t>при замедлении [3,25</w:t>
            </w:r>
            <w:r w:rsidRPr="00D560E7">
              <w:rPr>
                <w:lang w:val="en-US"/>
              </w:rPr>
              <w:t> </w:t>
            </w:r>
            <w:r>
              <w:t>м·с</w:t>
            </w:r>
            <w:r>
              <w:rPr>
                <w:vertAlign w:val="superscript"/>
              </w:rPr>
              <w:t>-2</w:t>
            </w:r>
            <w:r>
              <w:t xml:space="preserve"> в течение 0,7 с];</w:t>
            </w:r>
          </w:p>
        </w:tc>
        <w:tc>
          <w:tcPr>
            <w:tcW w:w="3401" w:type="dxa"/>
            <w:shd w:val="clear" w:color="auto" w:fill="auto"/>
          </w:tcPr>
          <w:p w14:paraId="7DAA9CF2" w14:textId="05172100" w:rsidR="0082550C" w:rsidRPr="00092D98" w:rsidRDefault="0082550C" w:rsidP="00892E1A">
            <w:pPr>
              <w:spacing w:before="40" w:after="120"/>
              <w:ind w:left="170" w:right="170"/>
            </w:pPr>
            <w:r>
              <w:t>Значение указано правильно (см.</w:t>
            </w:r>
            <w:r w:rsidR="00892E1A" w:rsidRPr="00D560E7">
              <w:rPr>
                <w:lang w:val="en-US"/>
              </w:rPr>
              <w:t> </w:t>
            </w:r>
            <w:r>
              <w:t>документ GRSG-126-02r1.</w:t>
            </w:r>
            <w:r w:rsidRPr="00FC3A66">
              <w:t>pdf</w:t>
            </w:r>
            <w:r>
              <w:t>, пункт 5.3.1.1). Предлагается снять квадратные скобки.</w:t>
            </w:r>
          </w:p>
        </w:tc>
      </w:tr>
      <w:tr w:rsidR="0082550C" w:rsidRPr="00092D98" w14:paraId="3AF62394" w14:textId="77777777" w:rsidTr="00BE0ADC">
        <w:tc>
          <w:tcPr>
            <w:tcW w:w="1134" w:type="dxa"/>
            <w:tcBorders>
              <w:bottom w:val="single" w:sz="12" w:space="0" w:color="auto"/>
            </w:tcBorders>
            <w:shd w:val="clear" w:color="auto" w:fill="auto"/>
          </w:tcPr>
          <w:p w14:paraId="51B66F0E" w14:textId="77777777" w:rsidR="0082550C" w:rsidRPr="00092D98" w:rsidRDefault="0082550C" w:rsidP="0066143D">
            <w:pPr>
              <w:spacing w:before="40" w:after="120"/>
              <w:ind w:right="113"/>
            </w:pPr>
            <w:r>
              <w:t>9.2.4</w:t>
            </w:r>
          </w:p>
        </w:tc>
        <w:tc>
          <w:tcPr>
            <w:tcW w:w="3969" w:type="dxa"/>
            <w:tcBorders>
              <w:bottom w:val="single" w:sz="12" w:space="0" w:color="auto"/>
            </w:tcBorders>
            <w:shd w:val="clear" w:color="auto" w:fill="auto"/>
          </w:tcPr>
          <w:p w14:paraId="5ECF5B6E" w14:textId="25AED75D" w:rsidR="0082550C" w:rsidRPr="00092D98" w:rsidRDefault="0082550C" w:rsidP="00892E1A">
            <w:pPr>
              <w:spacing w:before="40" w:after="120"/>
              <w:ind w:left="170" w:right="170"/>
            </w:pPr>
            <w:r>
              <w:t>[После «СПГ» добавить «и</w:t>
            </w:r>
            <w:r w:rsidRPr="00D560E7">
              <w:rPr>
                <w:lang w:val="en-US"/>
              </w:rPr>
              <w:t> </w:t>
            </w:r>
            <w:r>
              <w:t>жидком водороде»</w:t>
            </w:r>
            <w:r w:rsidR="00A70CAF" w:rsidRPr="00A70CAF">
              <w:t>.</w:t>
            </w:r>
            <w:r>
              <w:t>]</w:t>
            </w:r>
          </w:p>
        </w:tc>
        <w:tc>
          <w:tcPr>
            <w:tcW w:w="3401" w:type="dxa"/>
            <w:tcBorders>
              <w:bottom w:val="single" w:sz="12" w:space="0" w:color="auto"/>
            </w:tcBorders>
            <w:shd w:val="clear" w:color="auto" w:fill="auto"/>
          </w:tcPr>
          <w:p w14:paraId="53F361A7" w14:textId="0D8EEAEC" w:rsidR="0082550C" w:rsidRPr="00092D98" w:rsidRDefault="0082550C" w:rsidP="00892E1A">
            <w:pPr>
              <w:spacing w:before="40" w:after="120"/>
              <w:ind w:left="170" w:right="170"/>
            </w:pPr>
            <w:r>
              <w:t>Температура сжиженного газа может быть весьма низкой, что может сказаться на цистерне с грузом. СПГ и жидкий водород будут вести себя одинаково. Предлагается добавить «и жидком водороде» и убрать квадратные скобки.</w:t>
            </w:r>
          </w:p>
        </w:tc>
      </w:tr>
    </w:tbl>
    <w:p w14:paraId="0FBFAB6D" w14:textId="77777777" w:rsidR="0082550C" w:rsidRPr="00561B9D" w:rsidRDefault="0082550C" w:rsidP="00A70CAF">
      <w:pPr>
        <w:pStyle w:val="SingleTxtG"/>
        <w:spacing w:before="120" w:line="240" w:lineRule="auto"/>
        <w:rPr>
          <w:u w:val="single"/>
        </w:rPr>
      </w:pPr>
      <w:r>
        <w:t>6.</w:t>
      </w:r>
      <w:r>
        <w:tab/>
      </w:r>
      <w:r>
        <w:rPr>
          <w:u w:val="single"/>
        </w:rPr>
        <w:t>Раздел 2. Сопутствующие поправки</w:t>
      </w:r>
    </w:p>
    <w:p w14:paraId="47203316" w14:textId="77777777" w:rsidR="0082550C" w:rsidRPr="003459F9" w:rsidRDefault="0082550C" w:rsidP="00F21487">
      <w:pPr>
        <w:pStyle w:val="SingleTxtG"/>
        <w:tabs>
          <w:tab w:val="clear" w:pos="2268"/>
        </w:tabs>
        <w:spacing w:line="240" w:lineRule="auto"/>
        <w:ind w:left="2268" w:hanging="1134"/>
      </w:pPr>
      <w:r>
        <w:rPr>
          <w:b/>
          <w:bCs/>
        </w:rPr>
        <w:t>Глава 9.2</w:t>
      </w:r>
    </w:p>
    <w:p w14:paraId="53602110" w14:textId="77777777" w:rsidR="00F21487" w:rsidRDefault="0082550C" w:rsidP="00F21487">
      <w:pPr>
        <w:pStyle w:val="SingleTxtG"/>
        <w:tabs>
          <w:tab w:val="clear" w:pos="2268"/>
        </w:tabs>
        <w:spacing w:after="0" w:line="240" w:lineRule="auto"/>
        <w:ind w:left="2268" w:hanging="1134"/>
      </w:pPr>
      <w:r>
        <w:t>Пункт 9.2.5.1</w:t>
      </w:r>
      <w:r w:rsidR="00F21487">
        <w:tab/>
      </w:r>
      <w:r>
        <w:t>(нынешний 9.2.4.8.1</w:t>
      </w:r>
      <w:proofErr w:type="gramStart"/>
      <w:r>
        <w:t>)</w:t>
      </w:r>
      <w:proofErr w:type="gramEnd"/>
      <w:r>
        <w:t xml:space="preserve"> Заменить </w:t>
      </w:r>
      <w:r w:rsidR="00F21487" w:rsidRPr="00F21487">
        <w:t>«</w:t>
      </w:r>
      <w:r>
        <w:t>9.2.4.8.2</w:t>
      </w:r>
      <w:r w:rsidR="00F21487" w:rsidRPr="00F21487">
        <w:t>–</w:t>
      </w:r>
      <w:r>
        <w:t>9.2.4.8.6</w:t>
      </w:r>
      <w:r w:rsidR="00F21487" w:rsidRPr="00F21487">
        <w:t>»</w:t>
      </w:r>
    </w:p>
    <w:p w14:paraId="3954BF90" w14:textId="4F74882C" w:rsidR="0082550C" w:rsidRPr="003459F9" w:rsidRDefault="00F21487" w:rsidP="00F21487">
      <w:pPr>
        <w:pStyle w:val="SingleTxtG"/>
        <w:tabs>
          <w:tab w:val="clear" w:pos="2268"/>
        </w:tabs>
        <w:spacing w:after="0" w:line="240" w:lineRule="auto"/>
        <w:ind w:left="2268" w:hanging="1134"/>
      </w:pPr>
      <w:r>
        <w:tab/>
      </w:r>
      <w:r>
        <w:tab/>
      </w:r>
      <w:r>
        <w:tab/>
      </w:r>
      <w:r w:rsidR="0082550C">
        <w:t xml:space="preserve">на </w:t>
      </w:r>
      <w:r w:rsidRPr="00F21487">
        <w:t>«</w:t>
      </w:r>
      <w:r w:rsidR="0082550C">
        <w:t>9.2.5.2</w:t>
      </w:r>
      <w:r w:rsidRPr="00F21487">
        <w:t>–</w:t>
      </w:r>
      <w:r w:rsidR="0082550C">
        <w:t>9.2.5.6</w:t>
      </w:r>
      <w:r w:rsidRPr="00F21487">
        <w:t>»</w:t>
      </w:r>
      <w:r w:rsidR="0082550C">
        <w:t>.</w:t>
      </w:r>
    </w:p>
    <w:p w14:paraId="356DD665" w14:textId="77777777" w:rsidR="00F21487" w:rsidRDefault="0082550C" w:rsidP="00F21487">
      <w:pPr>
        <w:pStyle w:val="SingleTxtG"/>
        <w:tabs>
          <w:tab w:val="clear" w:pos="2268"/>
        </w:tabs>
        <w:spacing w:before="120" w:after="0" w:line="240" w:lineRule="auto"/>
        <w:ind w:left="2268" w:hanging="1134"/>
      </w:pPr>
      <w:r>
        <w:t>Пункт 9.2.5.2</w:t>
      </w:r>
      <w:r w:rsidR="00F21487">
        <w:tab/>
      </w:r>
      <w:r>
        <w:t>(нынешний 9.2.4.8.2</w:t>
      </w:r>
      <w:proofErr w:type="gramStart"/>
      <w:r>
        <w:t>)</w:t>
      </w:r>
      <w:proofErr w:type="gramEnd"/>
      <w:r>
        <w:t xml:space="preserve"> Заменить </w:t>
      </w:r>
      <w:r w:rsidR="00F21487" w:rsidRPr="00F21487">
        <w:t>«</w:t>
      </w:r>
      <w:r>
        <w:t>9.2.4.3 и 9.2.4.5</w:t>
      </w:r>
      <w:r w:rsidR="00F21487" w:rsidRPr="00F21487">
        <w:t>»</w:t>
      </w:r>
    </w:p>
    <w:p w14:paraId="0345D8B9" w14:textId="6A8411B1" w:rsidR="0082550C" w:rsidRPr="003459F9" w:rsidRDefault="00F21487" w:rsidP="00F21487">
      <w:pPr>
        <w:pStyle w:val="SingleTxtG"/>
        <w:tabs>
          <w:tab w:val="clear" w:pos="2268"/>
        </w:tabs>
        <w:spacing w:after="0" w:line="240" w:lineRule="auto"/>
        <w:ind w:left="2268" w:hanging="1134"/>
      </w:pPr>
      <w:r>
        <w:tab/>
      </w:r>
      <w:r>
        <w:tab/>
      </w:r>
      <w:r>
        <w:tab/>
      </w:r>
      <w:r w:rsidR="0082550C">
        <w:t xml:space="preserve">на </w:t>
      </w:r>
      <w:r w:rsidRPr="00F21487">
        <w:t>«</w:t>
      </w:r>
      <w:r w:rsidR="0082550C">
        <w:t>9.2.4.2 и 9.2.4.3.2</w:t>
      </w:r>
      <w:r w:rsidRPr="00F21487">
        <w:t>»</w:t>
      </w:r>
      <w:r w:rsidR="0082550C">
        <w:t>.</w:t>
      </w:r>
    </w:p>
    <w:p w14:paraId="2997E9C8" w14:textId="745D83B6" w:rsidR="0082550C" w:rsidRPr="003459F9" w:rsidRDefault="0082550C" w:rsidP="009779A8">
      <w:pPr>
        <w:pStyle w:val="SingleTxtG"/>
        <w:tabs>
          <w:tab w:val="clear" w:pos="2268"/>
        </w:tabs>
        <w:spacing w:before="120" w:after="0" w:line="240" w:lineRule="auto"/>
        <w:ind w:left="2829" w:hanging="1695"/>
      </w:pPr>
      <w:r>
        <w:t>Пункт 9.2.5.4</w:t>
      </w:r>
      <w:r w:rsidR="00F21487">
        <w:tab/>
      </w:r>
      <w:r>
        <w:t xml:space="preserve">(нынешний 9.2.4.8.4) В первом предложении заменить </w:t>
      </w:r>
      <w:r w:rsidR="00F21487" w:rsidRPr="00F21487">
        <w:t>«</w:t>
      </w:r>
      <w:r>
        <w:t>9.2.4.8.3 b) и c)</w:t>
      </w:r>
      <w:r w:rsidR="00F21487" w:rsidRPr="00F21487">
        <w:t>»</w:t>
      </w:r>
      <w:r>
        <w:t xml:space="preserve"> на </w:t>
      </w:r>
      <w:r w:rsidR="00F21487" w:rsidRPr="00F21487">
        <w:t>«</w:t>
      </w:r>
      <w:r>
        <w:t>9.2.5.3 b) и c)</w:t>
      </w:r>
      <w:r w:rsidR="00F21487" w:rsidRPr="00F21487">
        <w:t>»</w:t>
      </w:r>
      <w:r>
        <w:t>.</w:t>
      </w:r>
    </w:p>
    <w:p w14:paraId="43F05674" w14:textId="77777777" w:rsidR="0082550C" w:rsidRPr="003459F9" w:rsidRDefault="0082550C" w:rsidP="00FC3A66">
      <w:pPr>
        <w:pStyle w:val="SingleTxtG"/>
        <w:tabs>
          <w:tab w:val="clear" w:pos="1701"/>
          <w:tab w:val="clear" w:pos="2268"/>
        </w:tabs>
        <w:spacing w:before="60" w:line="240" w:lineRule="auto"/>
        <w:ind w:left="2268" w:hanging="1134"/>
        <w:rPr>
          <w:b/>
          <w:bCs/>
        </w:rPr>
      </w:pPr>
      <w:r>
        <w:rPr>
          <w:b/>
          <w:bCs/>
        </w:rPr>
        <w:t>Глава 9.3</w:t>
      </w:r>
    </w:p>
    <w:p w14:paraId="43718ACE" w14:textId="77777777" w:rsidR="00EE65C6" w:rsidRDefault="0082550C" w:rsidP="00EE65C6">
      <w:pPr>
        <w:pStyle w:val="SingleTxtG"/>
        <w:tabs>
          <w:tab w:val="clear" w:pos="1701"/>
          <w:tab w:val="clear" w:pos="2268"/>
        </w:tabs>
        <w:spacing w:after="0" w:line="240" w:lineRule="auto"/>
        <w:ind w:left="2268" w:hanging="1134"/>
      </w:pPr>
      <w:r>
        <w:t>Пункт 9.3.2.2</w:t>
      </w:r>
      <w:r w:rsidR="00F21487">
        <w:tab/>
      </w:r>
      <w:r>
        <w:t xml:space="preserve">Заменить </w:t>
      </w:r>
      <w:r w:rsidR="00F21487" w:rsidRPr="00F21487">
        <w:t>«</w:t>
      </w:r>
      <w:r>
        <w:t>9.2.4.8.1, 9.2.4.8.2, 9.2.4.8.5 и 9.2.4.8.6</w:t>
      </w:r>
      <w:r w:rsidR="00F21487" w:rsidRPr="00F21487">
        <w:t>»</w:t>
      </w:r>
    </w:p>
    <w:p w14:paraId="763184D7" w14:textId="55AD0D72" w:rsidR="0082550C" w:rsidRPr="003459F9" w:rsidRDefault="00EE65C6" w:rsidP="00FC3A66">
      <w:pPr>
        <w:pStyle w:val="SingleTxtG"/>
        <w:tabs>
          <w:tab w:val="clear" w:pos="1701"/>
          <w:tab w:val="clear" w:pos="2268"/>
        </w:tabs>
        <w:spacing w:after="60" w:line="240" w:lineRule="auto"/>
        <w:ind w:left="2268" w:hanging="1134"/>
      </w:pPr>
      <w:r>
        <w:tab/>
      </w:r>
      <w:r>
        <w:tab/>
      </w:r>
      <w:r w:rsidR="0082550C">
        <w:t xml:space="preserve">на </w:t>
      </w:r>
      <w:r w:rsidR="00F21487" w:rsidRPr="00F21487">
        <w:t>«</w:t>
      </w:r>
      <w:r w:rsidR="0082550C">
        <w:t>9.2.5.1, 9.2.5.2, 9.2.5.5 и 9.2.5.6</w:t>
      </w:r>
      <w:r w:rsidR="00F21487" w:rsidRPr="00F21487">
        <w:t>»</w:t>
      </w:r>
      <w:r w:rsidR="0082550C">
        <w:t>.</w:t>
      </w:r>
    </w:p>
    <w:p w14:paraId="64C2311A" w14:textId="77777777" w:rsidR="0082550C" w:rsidRPr="003459F9" w:rsidRDefault="0082550C" w:rsidP="00F21487">
      <w:pPr>
        <w:pStyle w:val="SingleTxtG"/>
        <w:tabs>
          <w:tab w:val="clear" w:pos="1701"/>
          <w:tab w:val="clear" w:pos="2268"/>
        </w:tabs>
        <w:spacing w:after="0" w:line="240" w:lineRule="auto"/>
        <w:ind w:left="2268" w:hanging="1134"/>
        <w:rPr>
          <w:b/>
          <w:bCs/>
        </w:rPr>
      </w:pPr>
      <w:r>
        <w:rPr>
          <w:b/>
          <w:bCs/>
        </w:rPr>
        <w:t>Глава 9.7</w:t>
      </w:r>
    </w:p>
    <w:p w14:paraId="08E29C2C" w14:textId="152296E7" w:rsidR="0082550C" w:rsidRPr="003459F9" w:rsidRDefault="0082550C" w:rsidP="00EE65C6">
      <w:pPr>
        <w:pStyle w:val="SingleTxtG"/>
        <w:tabs>
          <w:tab w:val="clear" w:pos="1701"/>
          <w:tab w:val="clear" w:pos="2268"/>
        </w:tabs>
        <w:spacing w:before="120" w:line="240" w:lineRule="auto"/>
        <w:ind w:left="2829" w:hanging="1695"/>
      </w:pPr>
      <w:r>
        <w:t>Пункт 9.7.7.1</w:t>
      </w:r>
      <w:r w:rsidR="00F21487">
        <w:tab/>
      </w:r>
      <w:r>
        <w:t xml:space="preserve">В первом абзаце заменить </w:t>
      </w:r>
      <w:r w:rsidR="00F21487" w:rsidRPr="00F21487">
        <w:t>«</w:t>
      </w:r>
      <w:r>
        <w:t>9.2.4.8.1, 9.2.4.8.2, 9.2.4.8.5</w:t>
      </w:r>
      <w:r w:rsidR="00F21487" w:rsidRPr="00F21487">
        <w:t>»</w:t>
      </w:r>
      <w:r>
        <w:t xml:space="preserve"> на</w:t>
      </w:r>
      <w:r w:rsidR="00EE65C6" w:rsidRPr="00D560E7">
        <w:rPr>
          <w:lang w:val="en-US"/>
        </w:rPr>
        <w:t> </w:t>
      </w:r>
      <w:r w:rsidR="00EE65C6" w:rsidRPr="00F21487">
        <w:t xml:space="preserve"> </w:t>
      </w:r>
      <w:r w:rsidR="00F21487" w:rsidRPr="00F21487">
        <w:t>«</w:t>
      </w:r>
      <w:r>
        <w:t>9.2.5.1, 9.2.5.2, 9.2.5.5</w:t>
      </w:r>
      <w:r w:rsidR="00F21487" w:rsidRPr="00F21487">
        <w:t>»</w:t>
      </w:r>
      <w:r>
        <w:t>.</w:t>
      </w:r>
    </w:p>
    <w:p w14:paraId="7F83885A" w14:textId="77777777" w:rsidR="00EE65C6" w:rsidRDefault="00EE65C6" w:rsidP="00F21487">
      <w:pPr>
        <w:pStyle w:val="SingleTxtG"/>
        <w:tabs>
          <w:tab w:val="clear" w:pos="1701"/>
          <w:tab w:val="clear" w:pos="2268"/>
        </w:tabs>
        <w:spacing w:after="0" w:line="240" w:lineRule="auto"/>
        <w:ind w:left="2268"/>
      </w:pPr>
      <w:r>
        <w:tab/>
      </w:r>
      <w:r w:rsidR="0082550C">
        <w:t xml:space="preserve">Во втором абзаце заменить </w:t>
      </w:r>
      <w:r w:rsidR="00F21487" w:rsidRPr="00F21487">
        <w:t>«</w:t>
      </w:r>
      <w:r w:rsidR="0082550C">
        <w:t>9.2.4.8.3 и 9.2.4.8.4</w:t>
      </w:r>
      <w:r w:rsidR="00F21487" w:rsidRPr="00F21487">
        <w:t>»</w:t>
      </w:r>
    </w:p>
    <w:p w14:paraId="788E02C5" w14:textId="1309A722" w:rsidR="0082550C" w:rsidRPr="003459F9" w:rsidRDefault="00EE65C6" w:rsidP="00F21487">
      <w:pPr>
        <w:pStyle w:val="SingleTxtG"/>
        <w:tabs>
          <w:tab w:val="clear" w:pos="1701"/>
          <w:tab w:val="clear" w:pos="2268"/>
        </w:tabs>
        <w:spacing w:after="0" w:line="240" w:lineRule="auto"/>
        <w:ind w:left="2268"/>
      </w:pPr>
      <w:r>
        <w:tab/>
      </w:r>
      <w:r w:rsidR="0082550C">
        <w:t xml:space="preserve">на </w:t>
      </w:r>
      <w:r w:rsidR="00F21487" w:rsidRPr="00F21487">
        <w:t>«</w:t>
      </w:r>
      <w:r w:rsidR="0082550C">
        <w:t>9.2.5.3 и 9.2.5.4</w:t>
      </w:r>
      <w:r w:rsidR="00F21487" w:rsidRPr="00F21487">
        <w:t>»</w:t>
      </w:r>
      <w:r w:rsidR="0082550C">
        <w:t>.</w:t>
      </w:r>
    </w:p>
    <w:p w14:paraId="7B0D4802" w14:textId="77777777" w:rsidR="0082550C" w:rsidRPr="003459F9" w:rsidRDefault="0082550C" w:rsidP="00FC3A66">
      <w:pPr>
        <w:pStyle w:val="SingleTxtG"/>
        <w:tabs>
          <w:tab w:val="clear" w:pos="1701"/>
          <w:tab w:val="clear" w:pos="2268"/>
        </w:tabs>
        <w:spacing w:before="60" w:after="0" w:line="240" w:lineRule="auto"/>
        <w:ind w:left="2268" w:hanging="1134"/>
        <w:rPr>
          <w:b/>
          <w:bCs/>
        </w:rPr>
      </w:pPr>
      <w:r>
        <w:rPr>
          <w:b/>
          <w:bCs/>
        </w:rPr>
        <w:t>Глава 9.8</w:t>
      </w:r>
    </w:p>
    <w:p w14:paraId="176C82AC" w14:textId="77777777" w:rsidR="00EE65C6" w:rsidRDefault="0082550C" w:rsidP="00F21487">
      <w:pPr>
        <w:pStyle w:val="SingleTxtG"/>
        <w:spacing w:before="120" w:after="0" w:line="240" w:lineRule="auto"/>
      </w:pPr>
      <w:r>
        <w:t>Пункт 9.8.6.1</w:t>
      </w:r>
      <w:r w:rsidR="00F21487">
        <w:tab/>
      </w:r>
      <w:r>
        <w:t xml:space="preserve">Заменить </w:t>
      </w:r>
      <w:r w:rsidR="00F21487" w:rsidRPr="00EE65C6">
        <w:t>«</w:t>
      </w:r>
      <w:r>
        <w:t>9.2.4.8.1, 9.2.4.8.2, 9.2.4.8.5, 9.2.4.8.6</w:t>
      </w:r>
      <w:r w:rsidR="00F21487" w:rsidRPr="00EE65C6">
        <w:t>»</w:t>
      </w:r>
    </w:p>
    <w:p w14:paraId="47906C16" w14:textId="605E12CB" w:rsidR="0082550C" w:rsidRDefault="00EE65C6" w:rsidP="00FC3A66">
      <w:pPr>
        <w:pStyle w:val="SingleTxtG"/>
        <w:spacing w:after="60" w:line="240" w:lineRule="auto"/>
      </w:pPr>
      <w:r>
        <w:tab/>
      </w:r>
      <w:r>
        <w:tab/>
      </w:r>
      <w:r>
        <w:tab/>
      </w:r>
      <w:r w:rsidR="0082550C">
        <w:t xml:space="preserve">на </w:t>
      </w:r>
      <w:r w:rsidR="00F21487" w:rsidRPr="00EE65C6">
        <w:t>«</w:t>
      </w:r>
      <w:r w:rsidR="0082550C">
        <w:t>9.2.5.1, 9.2.5.2, 9.2.5.5, 9.2.5.6</w:t>
      </w:r>
      <w:r w:rsidR="00F21487" w:rsidRPr="00EE65C6">
        <w:t>»</w:t>
      </w:r>
      <w:r w:rsidR="0082550C">
        <w:t>.</w:t>
      </w:r>
    </w:p>
    <w:p w14:paraId="0A8F6F79" w14:textId="77777777" w:rsidR="0082550C" w:rsidRPr="00CE5EF1" w:rsidRDefault="0082550C" w:rsidP="00EE65C6">
      <w:pPr>
        <w:spacing w:line="240" w:lineRule="auto"/>
        <w:jc w:val="center"/>
        <w:rPr>
          <w:u w:val="single"/>
        </w:rPr>
      </w:pPr>
      <w:r>
        <w:rPr>
          <w:u w:val="single"/>
        </w:rPr>
        <w:tab/>
      </w:r>
      <w:r>
        <w:rPr>
          <w:u w:val="single"/>
        </w:rPr>
        <w:tab/>
      </w:r>
      <w:r>
        <w:rPr>
          <w:u w:val="single"/>
        </w:rPr>
        <w:tab/>
      </w:r>
    </w:p>
    <w:sectPr w:rsidR="0082550C" w:rsidRPr="00CE5EF1" w:rsidSect="0082550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F80B" w14:textId="77777777" w:rsidR="00EC6836" w:rsidRPr="00A312BC" w:rsidRDefault="00EC6836" w:rsidP="00A312BC"/>
  </w:endnote>
  <w:endnote w:type="continuationSeparator" w:id="0">
    <w:p w14:paraId="46CEB72C" w14:textId="77777777" w:rsidR="00EC6836" w:rsidRPr="00A312BC" w:rsidRDefault="00EC683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8249" w14:textId="538A5301" w:rsidR="0082550C" w:rsidRPr="0082550C" w:rsidRDefault="0082550C">
    <w:pPr>
      <w:pStyle w:val="a8"/>
    </w:pPr>
    <w:r w:rsidRPr="0082550C">
      <w:rPr>
        <w:b/>
        <w:sz w:val="18"/>
      </w:rPr>
      <w:fldChar w:fldCharType="begin"/>
    </w:r>
    <w:r w:rsidRPr="0082550C">
      <w:rPr>
        <w:b/>
        <w:sz w:val="18"/>
      </w:rPr>
      <w:instrText xml:space="preserve"> PAGE  \* MERGEFORMAT </w:instrText>
    </w:r>
    <w:r w:rsidRPr="0082550C">
      <w:rPr>
        <w:b/>
        <w:sz w:val="18"/>
      </w:rPr>
      <w:fldChar w:fldCharType="separate"/>
    </w:r>
    <w:r w:rsidRPr="0082550C">
      <w:rPr>
        <w:b/>
        <w:noProof/>
        <w:sz w:val="18"/>
      </w:rPr>
      <w:t>2</w:t>
    </w:r>
    <w:r w:rsidRPr="0082550C">
      <w:rPr>
        <w:b/>
        <w:sz w:val="18"/>
      </w:rPr>
      <w:fldChar w:fldCharType="end"/>
    </w:r>
    <w:r>
      <w:rPr>
        <w:b/>
        <w:sz w:val="18"/>
      </w:rPr>
      <w:tab/>
    </w:r>
    <w:r>
      <w:t>GE.24-00634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EC92" w14:textId="51E53AD3" w:rsidR="0082550C" w:rsidRPr="0082550C" w:rsidRDefault="0082550C" w:rsidP="0082550C">
    <w:pPr>
      <w:pStyle w:val="a8"/>
      <w:tabs>
        <w:tab w:val="clear" w:pos="9639"/>
        <w:tab w:val="right" w:pos="9638"/>
      </w:tabs>
      <w:rPr>
        <w:b/>
        <w:sz w:val="18"/>
      </w:rPr>
    </w:pPr>
    <w:r>
      <w:t>GE.24-00634</w:t>
    </w:r>
    <w:r>
      <w:tab/>
    </w:r>
    <w:r w:rsidRPr="0082550C">
      <w:rPr>
        <w:b/>
        <w:sz w:val="18"/>
      </w:rPr>
      <w:fldChar w:fldCharType="begin"/>
    </w:r>
    <w:r w:rsidRPr="0082550C">
      <w:rPr>
        <w:b/>
        <w:sz w:val="18"/>
      </w:rPr>
      <w:instrText xml:space="preserve"> PAGE  \* MERGEFORMAT </w:instrText>
    </w:r>
    <w:r w:rsidRPr="0082550C">
      <w:rPr>
        <w:b/>
        <w:sz w:val="18"/>
      </w:rPr>
      <w:fldChar w:fldCharType="separate"/>
    </w:r>
    <w:r w:rsidRPr="0082550C">
      <w:rPr>
        <w:b/>
        <w:noProof/>
        <w:sz w:val="18"/>
      </w:rPr>
      <w:t>3</w:t>
    </w:r>
    <w:r w:rsidRPr="008255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EE23" w14:textId="1B9A5ED4" w:rsidR="00042B72" w:rsidRPr="0082550C" w:rsidRDefault="0082550C" w:rsidP="0082550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AD7C4CB" wp14:editId="32C1944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24-00634  (R)</w:t>
    </w:r>
    <w:r>
      <w:rPr>
        <w:noProof/>
      </w:rPr>
      <w:drawing>
        <wp:anchor distT="0" distB="0" distL="114300" distR="114300" simplePos="0" relativeHeight="251659264" behindDoc="0" locked="0" layoutInCell="1" allowOverlap="1" wp14:anchorId="1F372782" wp14:editId="476C97A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130224  1</w:t>
    </w:r>
    <w:r w:rsidR="00A56331">
      <w:rPr>
        <w:lang w:val="en-US"/>
      </w:rPr>
      <w:t>4</w:t>
    </w:r>
    <w:r>
      <w:rPr>
        <w:lang w:val="en-US"/>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D07C" w14:textId="77777777" w:rsidR="00EC6836" w:rsidRPr="001075E9" w:rsidRDefault="00EC6836" w:rsidP="001075E9">
      <w:pPr>
        <w:tabs>
          <w:tab w:val="right" w:pos="2155"/>
        </w:tabs>
        <w:spacing w:after="80" w:line="240" w:lineRule="auto"/>
        <w:ind w:left="680"/>
        <w:rPr>
          <w:u w:val="single"/>
        </w:rPr>
      </w:pPr>
      <w:r>
        <w:rPr>
          <w:u w:val="single"/>
        </w:rPr>
        <w:tab/>
      </w:r>
    </w:p>
  </w:footnote>
  <w:footnote w:type="continuationSeparator" w:id="0">
    <w:p w14:paraId="00773D31" w14:textId="77777777" w:rsidR="00EC6836" w:rsidRDefault="00EC6836" w:rsidP="00407B78">
      <w:pPr>
        <w:tabs>
          <w:tab w:val="right" w:pos="2155"/>
        </w:tabs>
        <w:spacing w:after="80"/>
        <w:ind w:left="680"/>
        <w:rPr>
          <w:u w:val="single"/>
        </w:rPr>
      </w:pPr>
      <w:r>
        <w:rPr>
          <w:u w:val="single"/>
        </w:rPr>
        <w:tab/>
      </w:r>
    </w:p>
  </w:footnote>
  <w:footnote w:id="1">
    <w:p w14:paraId="3BB42284" w14:textId="77777777" w:rsidR="0082550C" w:rsidRPr="00763EB1" w:rsidRDefault="0082550C" w:rsidP="0082550C">
      <w:pPr>
        <w:pStyle w:val="ad"/>
      </w:pPr>
      <w:r>
        <w:tab/>
      </w:r>
      <w:r w:rsidRPr="0082550C">
        <w:t>*</w:t>
      </w:r>
      <w:r>
        <w:tab/>
      </w:r>
      <w:r>
        <w:tab/>
        <w:t>A/78/6 (разд. 20), таблица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8D81" w14:textId="2F288D77" w:rsidR="0082550C" w:rsidRPr="0082550C" w:rsidRDefault="00A56331">
    <w:pPr>
      <w:pStyle w:val="a5"/>
    </w:pPr>
    <w:fldSimple w:instr=" TITLE  \* MERGEFORMAT ">
      <w:r w:rsidR="00DC3079">
        <w:t>ECE/TRANS/WP.15/2024/8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4AD4" w14:textId="2944D892" w:rsidR="0082550C" w:rsidRPr="0082550C" w:rsidRDefault="00A56331" w:rsidP="0082550C">
    <w:pPr>
      <w:pStyle w:val="a5"/>
      <w:jc w:val="right"/>
    </w:pPr>
    <w:fldSimple w:instr=" TITLE  \* MERGEFORMAT ">
      <w:r w:rsidR="00DC3079">
        <w:t>ECE/TRANS/WP.15/2024/8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36"/>
    <w:rsid w:val="00016048"/>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50C"/>
    <w:rsid w:val="00825F8D"/>
    <w:rsid w:val="00834B71"/>
    <w:rsid w:val="0086445C"/>
    <w:rsid w:val="00892E1A"/>
    <w:rsid w:val="00894693"/>
    <w:rsid w:val="008A08D7"/>
    <w:rsid w:val="008A37C8"/>
    <w:rsid w:val="008B6909"/>
    <w:rsid w:val="008D53B6"/>
    <w:rsid w:val="008F7609"/>
    <w:rsid w:val="00906890"/>
    <w:rsid w:val="00911BE4"/>
    <w:rsid w:val="00951972"/>
    <w:rsid w:val="009608F3"/>
    <w:rsid w:val="009779A8"/>
    <w:rsid w:val="009A24AC"/>
    <w:rsid w:val="009C59D7"/>
    <w:rsid w:val="009C6FE6"/>
    <w:rsid w:val="009D7E7D"/>
    <w:rsid w:val="00A14DA8"/>
    <w:rsid w:val="00A312BC"/>
    <w:rsid w:val="00A56331"/>
    <w:rsid w:val="00A70CAF"/>
    <w:rsid w:val="00A84021"/>
    <w:rsid w:val="00A84D35"/>
    <w:rsid w:val="00A917B3"/>
    <w:rsid w:val="00AB4B51"/>
    <w:rsid w:val="00B10CC7"/>
    <w:rsid w:val="00B36DF7"/>
    <w:rsid w:val="00B539E7"/>
    <w:rsid w:val="00B62458"/>
    <w:rsid w:val="00BC18B2"/>
    <w:rsid w:val="00BD33EE"/>
    <w:rsid w:val="00BE0ADC"/>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3079"/>
    <w:rsid w:val="00DD78D1"/>
    <w:rsid w:val="00DE32CD"/>
    <w:rsid w:val="00DF5767"/>
    <w:rsid w:val="00DF71B9"/>
    <w:rsid w:val="00E065CE"/>
    <w:rsid w:val="00E12C5F"/>
    <w:rsid w:val="00E73F76"/>
    <w:rsid w:val="00E91A4A"/>
    <w:rsid w:val="00EA2C9F"/>
    <w:rsid w:val="00EA420E"/>
    <w:rsid w:val="00EC3542"/>
    <w:rsid w:val="00EC6836"/>
    <w:rsid w:val="00ED0BDA"/>
    <w:rsid w:val="00EE142A"/>
    <w:rsid w:val="00EE65C6"/>
    <w:rsid w:val="00EF1360"/>
    <w:rsid w:val="00EF3220"/>
    <w:rsid w:val="00F21487"/>
    <w:rsid w:val="00F23A96"/>
    <w:rsid w:val="00F2523A"/>
    <w:rsid w:val="00F43903"/>
    <w:rsid w:val="00F73C9D"/>
    <w:rsid w:val="00F94155"/>
    <w:rsid w:val="00F9783F"/>
    <w:rsid w:val="00FC3A6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ACAF"/>
  <w15:docId w15:val="{03272F03-2205-47CE-A829-18EF1C11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82550C"/>
    <w:rPr>
      <w:lang w:val="ru-RU" w:eastAsia="en-US"/>
    </w:rPr>
  </w:style>
  <w:style w:type="character" w:customStyle="1" w:styleId="HChGChar">
    <w:name w:val="_ H _Ch_G Char"/>
    <w:link w:val="HChG"/>
    <w:rsid w:val="0082550C"/>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1DB5F-6B76-4D83-BA6E-237DB6CBF101}">
  <ds:schemaRefs>
    <ds:schemaRef ds:uri="http://schemas.openxmlformats.org/officeDocument/2006/bibliography"/>
  </ds:schemaRefs>
</ds:datastoreItem>
</file>

<file path=customXml/itemProps2.xml><?xml version="1.0" encoding="utf-8"?>
<ds:datastoreItem xmlns:ds="http://schemas.openxmlformats.org/officeDocument/2006/customXml" ds:itemID="{E5EB1EFE-0042-4CA4-97BD-A1BCCD3A4A7C}"/>
</file>

<file path=customXml/itemProps3.xml><?xml version="1.0" encoding="utf-8"?>
<ds:datastoreItem xmlns:ds="http://schemas.openxmlformats.org/officeDocument/2006/customXml" ds:itemID="{3E8B6ED7-A69E-4038-B94D-701443BFFFF2}"/>
</file>

<file path=docProps/app.xml><?xml version="1.0" encoding="utf-8"?>
<Properties xmlns="http://schemas.openxmlformats.org/officeDocument/2006/extended-properties" xmlns:vt="http://schemas.openxmlformats.org/officeDocument/2006/docPropsVTypes">
  <Template>ECE.dotm</Template>
  <TotalTime>0</TotalTime>
  <Pages>4</Pages>
  <Words>1320</Words>
  <Characters>7530</Characters>
  <Application>Microsoft Office Word</Application>
  <DocSecurity>0</DocSecurity>
  <Lines>62</Lines>
  <Paragraphs>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ECE/TRANS/WP.15/2024/8</vt:lpstr>
      <vt:lpstr>A/</vt:lpstr>
      <vt:lpstr>A/</vt:lpstr>
    </vt:vector>
  </TitlesOfParts>
  <Company>DCM</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ECE/TRANS/WP.15/2024/8</dc:title>
  <dc:subject/>
  <dc:creator>Tatiana CHVETS</dc:creator>
  <cp:keywords/>
  <cp:lastModifiedBy>Tatiana Chvets</cp:lastModifiedBy>
  <cp:revision>3</cp:revision>
  <cp:lastPrinted>2024-02-14T08:43:00Z</cp:lastPrinted>
  <dcterms:created xsi:type="dcterms:W3CDTF">2024-02-14T08:43:00Z</dcterms:created>
  <dcterms:modified xsi:type="dcterms:W3CDTF">2024-02-14T08:43:00Z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