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9D3D95F" w14:textId="77777777" w:rsidTr="00B20551">
        <w:trPr>
          <w:cantSplit/>
          <w:trHeight w:hRule="exact" w:val="851"/>
        </w:trPr>
        <w:tc>
          <w:tcPr>
            <w:tcW w:w="1276" w:type="dxa"/>
            <w:tcBorders>
              <w:bottom w:val="single" w:sz="4" w:space="0" w:color="auto"/>
            </w:tcBorders>
            <w:vAlign w:val="bottom"/>
          </w:tcPr>
          <w:p w14:paraId="1CA395AD" w14:textId="77777777" w:rsidR="009E6CB7" w:rsidRDefault="009E6CB7" w:rsidP="00B20551">
            <w:pPr>
              <w:spacing w:after="80"/>
            </w:pPr>
          </w:p>
        </w:tc>
        <w:tc>
          <w:tcPr>
            <w:tcW w:w="2268" w:type="dxa"/>
            <w:tcBorders>
              <w:bottom w:val="single" w:sz="4" w:space="0" w:color="auto"/>
            </w:tcBorders>
            <w:vAlign w:val="bottom"/>
          </w:tcPr>
          <w:p w14:paraId="4AB1C5E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101B6F0" w14:textId="31BC59AE" w:rsidR="009E6CB7" w:rsidRPr="00D47EEA" w:rsidRDefault="00C47C2A" w:rsidP="00C47C2A">
            <w:pPr>
              <w:jc w:val="right"/>
            </w:pPr>
            <w:r w:rsidRPr="00C47C2A">
              <w:rPr>
                <w:sz w:val="40"/>
              </w:rPr>
              <w:t>ECE</w:t>
            </w:r>
            <w:r>
              <w:t>/TRANS/WP.15/2024/7</w:t>
            </w:r>
          </w:p>
        </w:tc>
      </w:tr>
      <w:tr w:rsidR="009E6CB7" w14:paraId="4C5322C6" w14:textId="77777777" w:rsidTr="00B20551">
        <w:trPr>
          <w:cantSplit/>
          <w:trHeight w:hRule="exact" w:val="2835"/>
        </w:trPr>
        <w:tc>
          <w:tcPr>
            <w:tcW w:w="1276" w:type="dxa"/>
            <w:tcBorders>
              <w:top w:val="single" w:sz="4" w:space="0" w:color="auto"/>
              <w:bottom w:val="single" w:sz="12" w:space="0" w:color="auto"/>
            </w:tcBorders>
          </w:tcPr>
          <w:p w14:paraId="2F46F697" w14:textId="77777777" w:rsidR="009E6CB7" w:rsidRDefault="00686A48" w:rsidP="00B20551">
            <w:pPr>
              <w:spacing w:before="120"/>
            </w:pPr>
            <w:r>
              <w:rPr>
                <w:noProof/>
                <w:lang w:val="fr-CH" w:eastAsia="fr-CH"/>
              </w:rPr>
              <w:drawing>
                <wp:inline distT="0" distB="0" distL="0" distR="0" wp14:anchorId="73F1234A" wp14:editId="04E3BB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6ED9F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2E87F9B" w14:textId="77777777" w:rsidR="009E6CB7" w:rsidRDefault="00C47C2A" w:rsidP="00C47C2A">
            <w:pPr>
              <w:spacing w:before="240" w:line="240" w:lineRule="exact"/>
            </w:pPr>
            <w:r>
              <w:t>Distr.: General</w:t>
            </w:r>
          </w:p>
          <w:p w14:paraId="11039C1A" w14:textId="03B20532" w:rsidR="00C47C2A" w:rsidRDefault="00185D8B" w:rsidP="00C47C2A">
            <w:pPr>
              <w:spacing w:line="240" w:lineRule="exact"/>
            </w:pPr>
            <w:r>
              <w:t>1</w:t>
            </w:r>
            <w:r w:rsidR="00F93E39">
              <w:t>5</w:t>
            </w:r>
            <w:r>
              <w:t xml:space="preserve"> </w:t>
            </w:r>
            <w:r w:rsidR="00C47C2A">
              <w:t>January 2024</w:t>
            </w:r>
          </w:p>
          <w:p w14:paraId="4F75B2AB" w14:textId="77777777" w:rsidR="00C47C2A" w:rsidRDefault="00C47C2A" w:rsidP="00C47C2A">
            <w:pPr>
              <w:spacing w:line="240" w:lineRule="exact"/>
            </w:pPr>
          </w:p>
          <w:p w14:paraId="47ACD423" w14:textId="71541712" w:rsidR="00C47C2A" w:rsidRDefault="00C47C2A" w:rsidP="00C47C2A">
            <w:pPr>
              <w:spacing w:line="240" w:lineRule="exact"/>
            </w:pPr>
            <w:r>
              <w:t>Original: English</w:t>
            </w:r>
          </w:p>
        </w:tc>
      </w:tr>
    </w:tbl>
    <w:p w14:paraId="72AFA5BD" w14:textId="77777777" w:rsidR="00DA270E" w:rsidRDefault="00DA270E" w:rsidP="00C411EB">
      <w:pPr>
        <w:spacing w:before="120"/>
        <w:rPr>
          <w:b/>
          <w:sz w:val="28"/>
          <w:szCs w:val="28"/>
        </w:rPr>
      </w:pPr>
      <w:r>
        <w:rPr>
          <w:b/>
          <w:sz w:val="28"/>
          <w:szCs w:val="28"/>
        </w:rPr>
        <w:t>Economic Commission for Europe</w:t>
      </w:r>
    </w:p>
    <w:p w14:paraId="5776345A" w14:textId="77777777" w:rsidR="00DA270E" w:rsidRDefault="00DA270E" w:rsidP="00C411EB">
      <w:pPr>
        <w:spacing w:before="120"/>
        <w:rPr>
          <w:sz w:val="28"/>
          <w:szCs w:val="28"/>
        </w:rPr>
      </w:pPr>
      <w:r>
        <w:rPr>
          <w:sz w:val="28"/>
          <w:szCs w:val="28"/>
        </w:rPr>
        <w:t>Inland Transport Committee</w:t>
      </w:r>
    </w:p>
    <w:p w14:paraId="6CC341BA" w14:textId="77777777" w:rsidR="00DA270E" w:rsidRPr="001330DE" w:rsidRDefault="00DA270E" w:rsidP="00C411EB">
      <w:pPr>
        <w:spacing w:before="120"/>
        <w:rPr>
          <w:b/>
          <w:sz w:val="24"/>
          <w:szCs w:val="24"/>
        </w:rPr>
      </w:pPr>
      <w:r>
        <w:rPr>
          <w:b/>
          <w:sz w:val="24"/>
          <w:szCs w:val="24"/>
        </w:rPr>
        <w:t xml:space="preserve">Working Party on the Transport </w:t>
      </w:r>
      <w:r w:rsidRPr="001330DE">
        <w:rPr>
          <w:b/>
          <w:sz w:val="24"/>
          <w:szCs w:val="24"/>
        </w:rPr>
        <w:t>of Dangerous Goods</w:t>
      </w:r>
    </w:p>
    <w:p w14:paraId="19BD5F07" w14:textId="62CDB2A1" w:rsidR="00DA270E" w:rsidRPr="001330DE" w:rsidRDefault="00DA270E" w:rsidP="00C411EB">
      <w:pPr>
        <w:spacing w:before="120"/>
        <w:rPr>
          <w:rFonts w:eastAsia="SimSun"/>
          <w:b/>
        </w:rPr>
      </w:pPr>
      <w:r>
        <w:rPr>
          <w:rFonts w:eastAsia="SimSun"/>
          <w:b/>
        </w:rPr>
        <w:t>115</w:t>
      </w:r>
      <w:r w:rsidRPr="00DA270E">
        <w:rPr>
          <w:rFonts w:eastAsia="SimSun"/>
          <w:b/>
          <w:vertAlign w:val="superscript"/>
        </w:rPr>
        <w:t>th</w:t>
      </w:r>
      <w:r>
        <w:rPr>
          <w:rFonts w:eastAsia="SimSun"/>
          <w:b/>
        </w:rPr>
        <w:t xml:space="preserve"> </w:t>
      </w:r>
      <w:r w:rsidRPr="001330DE">
        <w:rPr>
          <w:rFonts w:eastAsia="SimSun"/>
          <w:b/>
        </w:rPr>
        <w:t xml:space="preserve">session </w:t>
      </w:r>
    </w:p>
    <w:p w14:paraId="10F35D19" w14:textId="353751D5" w:rsidR="00DA270E" w:rsidRPr="00BA64A8" w:rsidRDefault="00DA270E" w:rsidP="00C411EB">
      <w:pPr>
        <w:rPr>
          <w:rFonts w:eastAsia="SimSun"/>
        </w:rPr>
      </w:pPr>
      <w:r w:rsidRPr="00BA64A8">
        <w:rPr>
          <w:rFonts w:eastAsia="SimSun"/>
        </w:rPr>
        <w:t>Geneva,</w:t>
      </w:r>
      <w:r>
        <w:rPr>
          <w:rFonts w:eastAsia="SimSun"/>
        </w:rPr>
        <w:t xml:space="preserve"> 2-5 April 2024</w:t>
      </w:r>
    </w:p>
    <w:p w14:paraId="63473B7B" w14:textId="33C9C641" w:rsidR="00DA270E" w:rsidRPr="00C521A6" w:rsidRDefault="00DA270E" w:rsidP="00C411EB">
      <w:pPr>
        <w:autoSpaceDE w:val="0"/>
        <w:autoSpaceDN w:val="0"/>
        <w:adjustRightInd w:val="0"/>
      </w:pPr>
      <w:r>
        <w:t xml:space="preserve">Item </w:t>
      </w:r>
      <w:r w:rsidR="00AE1528">
        <w:t>5 (a)</w:t>
      </w:r>
      <w:r>
        <w:t xml:space="preserve"> of the provisional agenda</w:t>
      </w:r>
    </w:p>
    <w:p w14:paraId="521C5F62" w14:textId="77777777" w:rsidR="00B7008C" w:rsidRDefault="00B7008C" w:rsidP="00B7008C">
      <w:pPr>
        <w:autoSpaceDE w:val="0"/>
        <w:autoSpaceDN w:val="0"/>
        <w:adjustRightInd w:val="0"/>
      </w:pPr>
      <w:r w:rsidRPr="001B1CA1">
        <w:rPr>
          <w:b/>
          <w:bCs/>
        </w:rPr>
        <w:t>Proposals for amendments to annexes A and B of ADR</w:t>
      </w:r>
      <w:r>
        <w:t>:</w:t>
      </w:r>
    </w:p>
    <w:p w14:paraId="1775FB1A" w14:textId="75ECA9AD" w:rsidR="001C6663" w:rsidRDefault="00B7008C" w:rsidP="00B7008C">
      <w:pPr>
        <w:rPr>
          <w:b/>
          <w:bCs/>
        </w:rPr>
      </w:pPr>
      <w:r>
        <w:rPr>
          <w:b/>
          <w:bCs/>
        </w:rPr>
        <w:t>Construction and approval of vehicles</w:t>
      </w:r>
    </w:p>
    <w:p w14:paraId="5970A099" w14:textId="658FAD0F" w:rsidR="00B13AD8" w:rsidRDefault="00B13AD8" w:rsidP="00B13AD8">
      <w:pPr>
        <w:pStyle w:val="HChG"/>
        <w:rPr>
          <w:bCs/>
          <w:sz w:val="24"/>
          <w:szCs w:val="24"/>
        </w:rPr>
      </w:pPr>
      <w:r>
        <w:tab/>
      </w:r>
      <w:r>
        <w:tab/>
        <w:t xml:space="preserve">Table </w:t>
      </w:r>
      <w:r w:rsidR="005F39DD">
        <w:t>in</w:t>
      </w:r>
      <w:r>
        <w:t xml:space="preserve"> 9.2.1.1</w:t>
      </w:r>
    </w:p>
    <w:p w14:paraId="50CDEFD0" w14:textId="29D080C7" w:rsidR="00B13AD8" w:rsidRDefault="00B13AD8" w:rsidP="00B13AD8">
      <w:pPr>
        <w:pStyle w:val="H1G"/>
        <w:rPr>
          <w:szCs w:val="24"/>
        </w:rPr>
      </w:pPr>
      <w:r>
        <w:tab/>
      </w:r>
      <w:r>
        <w:tab/>
      </w:r>
      <w:r w:rsidRPr="003912CD">
        <w:t xml:space="preserve">Transmitted by </w:t>
      </w:r>
      <w:r>
        <w:t>the Government of the Netherlands</w:t>
      </w:r>
      <w:r w:rsidRPr="0080676B">
        <w:rPr>
          <w:rStyle w:val="FootnoteReference"/>
          <w:sz w:val="20"/>
        </w:rPr>
        <w:footnoteReference w:customMarkFollows="1" w:id="2"/>
        <w:t>*</w:t>
      </w:r>
    </w:p>
    <w:p w14:paraId="0775DD6D" w14:textId="6EAFC568" w:rsidR="00B13AD8" w:rsidRDefault="00091506" w:rsidP="009A0DAE">
      <w:pPr>
        <w:pStyle w:val="HChG"/>
      </w:pPr>
      <w:r>
        <w:tab/>
        <w:t>I.</w:t>
      </w:r>
      <w:r>
        <w:tab/>
      </w:r>
      <w:r w:rsidR="00B13AD8" w:rsidRPr="0056018A">
        <w:t>Introduction</w:t>
      </w:r>
    </w:p>
    <w:p w14:paraId="4FBC506D" w14:textId="4FE98600" w:rsidR="00B13AD8" w:rsidRDefault="009A0DAE" w:rsidP="00091506">
      <w:pPr>
        <w:pStyle w:val="SingleTxtG"/>
      </w:pPr>
      <w:r>
        <w:t>1.</w:t>
      </w:r>
      <w:r>
        <w:tab/>
      </w:r>
      <w:r w:rsidR="00727166">
        <w:rPr>
          <w:lang w:val="en-US"/>
        </w:rPr>
        <w:t>Informal document INF.10 of the 114</w:t>
      </w:r>
      <w:r w:rsidR="00727166">
        <w:rPr>
          <w:vertAlign w:val="superscript"/>
          <w:lang w:val="en-US"/>
        </w:rPr>
        <w:t>th</w:t>
      </w:r>
      <w:r w:rsidR="00727166">
        <w:rPr>
          <w:lang w:val="en-US"/>
        </w:rPr>
        <w:t xml:space="preserve"> session mentioned the possible problems of interpretation in cases where the application of the requirements of Chapter 9.2 was dealt with only on the basis of the table in 9.2.1.1.</w:t>
      </w:r>
    </w:p>
    <w:p w14:paraId="1A68EB33" w14:textId="346D8602" w:rsidR="00B13AD8" w:rsidRDefault="009A0DAE" w:rsidP="00091506">
      <w:pPr>
        <w:pStyle w:val="SingleTxtG"/>
      </w:pPr>
      <w:r>
        <w:t>2.</w:t>
      </w:r>
      <w:r>
        <w:tab/>
      </w:r>
      <w:r w:rsidR="00B13AD8">
        <w:t>In ADR 2017 new requirements were introduced in Chapter 9.2 for alternative fuels such as natural gas and LPG. The newly introduced requirements contained references to general UN vehicle regulations concerning safety of fuel tanks and fuel systems on engines. Where crosses appear</w:t>
      </w:r>
      <w:r w:rsidR="005F39DD">
        <w:t xml:space="preserve"> in the table in 9.2.1.1</w:t>
      </w:r>
      <w:r w:rsidR="00B13AD8">
        <w:t xml:space="preserve">, these requirements apply. Where no crosses appear, depending on the legal system, the interpretation could be that </w:t>
      </w:r>
      <w:r w:rsidR="00AD4F76">
        <w:t>the equipment</w:t>
      </w:r>
      <w:r w:rsidR="00B13AD8">
        <w:t xml:space="preserve"> is then prohibited (no cross </w:t>
      </w:r>
      <w:r w:rsidR="00C3535D">
        <w:t>would mean</w:t>
      </w:r>
      <w:r w:rsidR="00B13AD8">
        <w:t xml:space="preserve"> no internal combustion engine allowed). As </w:t>
      </w:r>
      <w:r w:rsidR="00065239">
        <w:t xml:space="preserve">Chapter </w:t>
      </w:r>
      <w:r w:rsidR="00B13AD8">
        <w:t xml:space="preserve">9.2 adds </w:t>
      </w:r>
      <w:r w:rsidR="00065239">
        <w:t xml:space="preserve">to </w:t>
      </w:r>
      <w:r w:rsidR="00B13AD8">
        <w:t>or modifies the general safety regulations of the country of registration this is of course not the case.</w:t>
      </w:r>
    </w:p>
    <w:p w14:paraId="00267319" w14:textId="4F8CC4B0" w:rsidR="00B13AD8" w:rsidRDefault="00091506" w:rsidP="00091506">
      <w:pPr>
        <w:pStyle w:val="SingleTxtG"/>
      </w:pPr>
      <w:r>
        <w:t>3</w:t>
      </w:r>
      <w:r w:rsidR="009A0DAE">
        <w:t>.</w:t>
      </w:r>
      <w:r w:rsidR="009A0DAE">
        <w:tab/>
      </w:r>
      <w:r w:rsidR="00B13AD8">
        <w:t>Although in practice the system is well understood and applied, a solution needs to be found to prevent misinterpretation.</w:t>
      </w:r>
    </w:p>
    <w:p w14:paraId="5E1A24A7" w14:textId="71BFAFAF" w:rsidR="00B13AD8" w:rsidRDefault="00B13AD8" w:rsidP="00B13AD8">
      <w:pPr>
        <w:pStyle w:val="HChG"/>
      </w:pPr>
      <w:r>
        <w:tab/>
      </w:r>
      <w:r w:rsidR="00091506">
        <w:t>II.</w:t>
      </w:r>
      <w:r w:rsidR="00091506">
        <w:tab/>
      </w:r>
      <w:r w:rsidRPr="002D45F3">
        <w:t>Proposal</w:t>
      </w:r>
    </w:p>
    <w:p w14:paraId="2BFCF8B5" w14:textId="3C05BD15" w:rsidR="00B13AD8" w:rsidRDefault="009A0DAE" w:rsidP="00091506">
      <w:pPr>
        <w:pStyle w:val="SingleTxtG"/>
      </w:pPr>
      <w:r>
        <w:t>4.</w:t>
      </w:r>
      <w:r>
        <w:tab/>
      </w:r>
      <w:r w:rsidR="00B13AD8">
        <w:t xml:space="preserve">Amend the </w:t>
      </w:r>
      <w:r w:rsidR="00B13AD8" w:rsidRPr="00091506">
        <w:t>line</w:t>
      </w:r>
      <w:r w:rsidR="00B13AD8">
        <w:t xml:space="preserve"> in the table of 9.2.1.1 for the subsection 9.2.4.4 of ADR 2023 (or 9.2.4.3 for ADR 2025 as proposed in Annex III of the report of the 114</w:t>
      </w:r>
      <w:r w:rsidR="00B13AD8" w:rsidRPr="00CB27D1">
        <w:rPr>
          <w:vertAlign w:val="superscript"/>
        </w:rPr>
        <w:t>th</w:t>
      </w:r>
      <w:r w:rsidR="00B13AD8">
        <w:t xml:space="preserve"> session) to read:</w:t>
      </w:r>
    </w:p>
    <w:p w14:paraId="41849CEB" w14:textId="77777777" w:rsidR="00091506" w:rsidRDefault="00091506" w:rsidP="00091506">
      <w:pPr>
        <w:pStyle w:val="SingleTxtG"/>
      </w:pPr>
    </w:p>
    <w:tbl>
      <w:tblPr>
        <w:tblStyle w:val="TableGrid"/>
        <w:tblW w:w="8080" w:type="dxa"/>
        <w:tblInd w:w="1129" w:type="dxa"/>
        <w:tblLook w:val="04A0" w:firstRow="1" w:lastRow="0" w:firstColumn="1" w:lastColumn="0" w:noHBand="0" w:noVBand="1"/>
      </w:tblPr>
      <w:tblGrid>
        <w:gridCol w:w="851"/>
        <w:gridCol w:w="1843"/>
        <w:gridCol w:w="567"/>
        <w:gridCol w:w="567"/>
        <w:gridCol w:w="567"/>
        <w:gridCol w:w="567"/>
        <w:gridCol w:w="3118"/>
      </w:tblGrid>
      <w:tr w:rsidR="00B13AD8" w:rsidRPr="002D45F3" w14:paraId="16BFCDC8" w14:textId="77777777" w:rsidTr="00F12851">
        <w:tc>
          <w:tcPr>
            <w:tcW w:w="851" w:type="dxa"/>
          </w:tcPr>
          <w:p w14:paraId="388191FE" w14:textId="77777777" w:rsidR="00B13AD8" w:rsidRPr="002D45F3" w:rsidRDefault="00B13AD8" w:rsidP="00F12851">
            <w:pPr>
              <w:ind w:left="139"/>
              <w:rPr>
                <w:i/>
                <w:iCs/>
                <w:strike/>
                <w:sz w:val="18"/>
                <w:szCs w:val="18"/>
              </w:rPr>
            </w:pPr>
            <w:r w:rsidRPr="002D45F3">
              <w:rPr>
                <w:i/>
                <w:iCs/>
                <w:strike/>
                <w:sz w:val="18"/>
                <w:szCs w:val="18"/>
              </w:rPr>
              <w:t>9.2.4.4</w:t>
            </w:r>
          </w:p>
          <w:p w14:paraId="5DCA8880" w14:textId="77777777" w:rsidR="00B13AD8" w:rsidRPr="002D45F3" w:rsidRDefault="00B13AD8" w:rsidP="00F12851">
            <w:pPr>
              <w:ind w:left="139"/>
              <w:rPr>
                <w:i/>
                <w:iCs/>
                <w:sz w:val="18"/>
                <w:szCs w:val="18"/>
              </w:rPr>
            </w:pPr>
            <w:r w:rsidRPr="002D45F3">
              <w:rPr>
                <w:i/>
                <w:iCs/>
                <w:sz w:val="18"/>
                <w:szCs w:val="18"/>
              </w:rPr>
              <w:t>9.2.4.3</w:t>
            </w:r>
          </w:p>
        </w:tc>
        <w:tc>
          <w:tcPr>
            <w:tcW w:w="1843" w:type="dxa"/>
          </w:tcPr>
          <w:p w14:paraId="3DE37E6D" w14:textId="77777777" w:rsidR="00B13AD8" w:rsidRPr="002D45F3" w:rsidRDefault="00B13AD8" w:rsidP="00F12851">
            <w:pPr>
              <w:ind w:left="139"/>
              <w:rPr>
                <w:i/>
                <w:iCs/>
                <w:sz w:val="18"/>
                <w:szCs w:val="18"/>
              </w:rPr>
            </w:pPr>
            <w:r w:rsidRPr="002D45F3">
              <w:rPr>
                <w:i/>
                <w:iCs/>
                <w:strike/>
                <w:sz w:val="18"/>
                <w:szCs w:val="18"/>
              </w:rPr>
              <w:t>Engine</w:t>
            </w:r>
            <w:r w:rsidRPr="002D45F3">
              <w:rPr>
                <w:i/>
                <w:iCs/>
                <w:sz w:val="18"/>
                <w:szCs w:val="18"/>
              </w:rPr>
              <w:t xml:space="preserve"> Internal combustion engine</w:t>
            </w:r>
          </w:p>
        </w:tc>
        <w:tc>
          <w:tcPr>
            <w:tcW w:w="567" w:type="dxa"/>
          </w:tcPr>
          <w:p w14:paraId="5B75F2F6" w14:textId="77777777" w:rsidR="00B13AD8" w:rsidRPr="002D45F3" w:rsidRDefault="00B13AD8" w:rsidP="00F12851">
            <w:pPr>
              <w:ind w:left="139"/>
              <w:rPr>
                <w:sz w:val="18"/>
                <w:szCs w:val="18"/>
              </w:rPr>
            </w:pPr>
            <w:r w:rsidRPr="002D45F3">
              <w:rPr>
                <w:sz w:val="18"/>
                <w:szCs w:val="18"/>
              </w:rPr>
              <w:t>X</w:t>
            </w:r>
          </w:p>
        </w:tc>
        <w:tc>
          <w:tcPr>
            <w:tcW w:w="567" w:type="dxa"/>
          </w:tcPr>
          <w:p w14:paraId="56F6BFA0" w14:textId="77777777" w:rsidR="00B13AD8" w:rsidRPr="002D45F3" w:rsidRDefault="00B13AD8" w:rsidP="00F12851">
            <w:pPr>
              <w:ind w:left="139"/>
              <w:rPr>
                <w:sz w:val="18"/>
                <w:szCs w:val="18"/>
              </w:rPr>
            </w:pPr>
            <w:r w:rsidRPr="002D45F3">
              <w:rPr>
                <w:sz w:val="18"/>
                <w:szCs w:val="18"/>
              </w:rPr>
              <w:t>X</w:t>
            </w:r>
          </w:p>
        </w:tc>
        <w:tc>
          <w:tcPr>
            <w:tcW w:w="567" w:type="dxa"/>
          </w:tcPr>
          <w:p w14:paraId="53224B6B" w14:textId="77777777" w:rsidR="00B13AD8" w:rsidRPr="002D45F3" w:rsidRDefault="00B13AD8" w:rsidP="00F12851">
            <w:pPr>
              <w:ind w:left="139"/>
              <w:rPr>
                <w:sz w:val="18"/>
                <w:szCs w:val="18"/>
              </w:rPr>
            </w:pPr>
            <w:r w:rsidRPr="002D45F3">
              <w:rPr>
                <w:sz w:val="18"/>
                <w:szCs w:val="18"/>
              </w:rPr>
              <w:t>[</w:t>
            </w:r>
            <w:proofErr w:type="spellStart"/>
            <w:r w:rsidRPr="002D45F3">
              <w:rPr>
                <w:sz w:val="18"/>
                <w:szCs w:val="18"/>
              </w:rPr>
              <w:t>X</w:t>
            </w:r>
            <w:r w:rsidRPr="002D45F3">
              <w:rPr>
                <w:vertAlign w:val="superscript"/>
              </w:rPr>
              <w:t>k</w:t>
            </w:r>
            <w:proofErr w:type="spellEnd"/>
            <w:r w:rsidRPr="002D45F3">
              <w:t>]</w:t>
            </w:r>
          </w:p>
        </w:tc>
        <w:tc>
          <w:tcPr>
            <w:tcW w:w="567" w:type="dxa"/>
          </w:tcPr>
          <w:p w14:paraId="65B43018" w14:textId="77777777" w:rsidR="00B13AD8" w:rsidRPr="002D45F3" w:rsidRDefault="00B13AD8" w:rsidP="00F12851">
            <w:pPr>
              <w:ind w:left="139"/>
              <w:rPr>
                <w:sz w:val="18"/>
                <w:szCs w:val="18"/>
              </w:rPr>
            </w:pPr>
            <w:r w:rsidRPr="002D45F3">
              <w:rPr>
                <w:sz w:val="18"/>
                <w:szCs w:val="18"/>
              </w:rPr>
              <w:t>X</w:t>
            </w:r>
          </w:p>
        </w:tc>
        <w:tc>
          <w:tcPr>
            <w:tcW w:w="3118" w:type="dxa"/>
          </w:tcPr>
          <w:p w14:paraId="4CA5FBF5" w14:textId="77777777" w:rsidR="00B13AD8" w:rsidRPr="002D45F3" w:rsidRDefault="00B13AD8" w:rsidP="00F12851">
            <w:pPr>
              <w:ind w:left="139"/>
              <w:rPr>
                <w:i/>
                <w:iCs/>
                <w:sz w:val="18"/>
                <w:szCs w:val="18"/>
              </w:rPr>
            </w:pPr>
            <w:r w:rsidRPr="002D45F3">
              <w:t>[</w:t>
            </w:r>
            <w:r w:rsidRPr="002D45F3">
              <w:rPr>
                <w:vertAlign w:val="superscript"/>
              </w:rPr>
              <w:t xml:space="preserve">k </w:t>
            </w:r>
            <w:r w:rsidRPr="002D45F3">
              <w:t>Applicable to motor vehicles first registered after 31 March 2026]</w:t>
            </w:r>
          </w:p>
        </w:tc>
      </w:tr>
    </w:tbl>
    <w:p w14:paraId="57463B16" w14:textId="77777777" w:rsidR="00B13AD8" w:rsidRDefault="00B13AD8" w:rsidP="00B13AD8"/>
    <w:p w14:paraId="3C559522" w14:textId="3F4E5AFF" w:rsidR="00B13AD8" w:rsidRDefault="009A0DAE" w:rsidP="00091506">
      <w:pPr>
        <w:pStyle w:val="SingleTxtG"/>
      </w:pPr>
      <w:r>
        <w:t>5.</w:t>
      </w:r>
      <w:r>
        <w:tab/>
      </w:r>
      <w:r w:rsidR="00B13AD8">
        <w:t xml:space="preserve">Introduce a </w:t>
      </w:r>
      <w:r w:rsidR="00B13AD8" w:rsidRPr="00091506">
        <w:t>transitional</w:t>
      </w:r>
      <w:r w:rsidR="00B13AD8">
        <w:t xml:space="preserve"> measure to read:</w:t>
      </w:r>
    </w:p>
    <w:p w14:paraId="50EC50AD" w14:textId="77777777" w:rsidR="00B13AD8" w:rsidRPr="00091506" w:rsidRDefault="00B13AD8" w:rsidP="00091506">
      <w:pPr>
        <w:pStyle w:val="SingleTxtG"/>
        <w:ind w:left="1701"/>
        <w:rPr>
          <w:b/>
          <w:bCs/>
          <w:i/>
          <w:iCs/>
          <w:sz w:val="28"/>
          <w:szCs w:val="28"/>
        </w:rPr>
      </w:pPr>
      <w:r w:rsidRPr="00091506">
        <w:rPr>
          <w:i/>
          <w:iCs/>
        </w:rPr>
        <w:lastRenderedPageBreak/>
        <w:t>“1.6.5.yy</w:t>
      </w:r>
      <w:r w:rsidRPr="00091506">
        <w:rPr>
          <w:i/>
          <w:iCs/>
          <w:lang w:val="en-US"/>
        </w:rPr>
        <w:t xml:space="preserve"> Vehicles first registered (or which entered into service if registration is not mandatory) before [1 April 2026], approved as AT vehicle not in compliance with the provisions of 9.2.4.3 concerning fuel tanks may continue to be used.”</w:t>
      </w:r>
    </w:p>
    <w:p w14:paraId="68B7E111" w14:textId="6D271802" w:rsidR="00B13AD8" w:rsidRDefault="00091506" w:rsidP="00091506">
      <w:pPr>
        <w:pStyle w:val="HChG"/>
      </w:pPr>
      <w:r>
        <w:tab/>
        <w:t>III.</w:t>
      </w:r>
      <w:r>
        <w:tab/>
      </w:r>
      <w:r w:rsidR="00B13AD8" w:rsidRPr="00CA314F">
        <w:t>Justification</w:t>
      </w:r>
    </w:p>
    <w:p w14:paraId="1417A1AB" w14:textId="60BEC677" w:rsidR="00B13AD8" w:rsidRDefault="009A0DAE" w:rsidP="00091506">
      <w:pPr>
        <w:pStyle w:val="SingleTxtG"/>
      </w:pPr>
      <w:r>
        <w:t>6.</w:t>
      </w:r>
      <w:r>
        <w:tab/>
      </w:r>
      <w:r w:rsidR="001F0180">
        <w:t>T</w:t>
      </w:r>
      <w:r w:rsidR="00AF2848">
        <w:t>hree</w:t>
      </w:r>
      <w:r w:rsidR="00B13AD8">
        <w:t xml:space="preserve"> lines </w:t>
      </w:r>
      <w:r w:rsidR="001F0180">
        <w:t>in</w:t>
      </w:r>
      <w:r w:rsidR="00B13AD8">
        <w:t xml:space="preserve"> the table </w:t>
      </w:r>
      <w:r w:rsidR="001F0180">
        <w:t>in</w:t>
      </w:r>
      <w:r w:rsidR="00B13AD8">
        <w:t xml:space="preserve"> 9.2.1.1 </w:t>
      </w:r>
      <w:r w:rsidR="001F0180" w:rsidRPr="001F0180">
        <w:t>are likely to be misinterpreted</w:t>
      </w:r>
      <w:r w:rsidR="00B13AD8">
        <w:t>. The line for fuel tanks is already extended to the category “AT” vehicles in the new 9.2.4.2 (</w:t>
      </w:r>
      <w:r w:rsidR="001F0180">
        <w:t>s</w:t>
      </w:r>
      <w:r w:rsidR="00B13AD8">
        <w:t xml:space="preserve">ee annex III of </w:t>
      </w:r>
      <w:r w:rsidR="00780DBF">
        <w:t xml:space="preserve">document </w:t>
      </w:r>
      <w:r w:rsidR="00B13AD8">
        <w:t xml:space="preserve">ECE/TRANS/WP.15/264). Because the introduction of hydrogen fuel containers it was seen as essential to have the high level of safety in all cases. For the </w:t>
      </w:r>
      <w:r w:rsidR="00847F47">
        <w:t>e</w:t>
      </w:r>
      <w:r w:rsidR="00B13AD8">
        <w:t xml:space="preserve">lectric </w:t>
      </w:r>
      <w:r w:rsidR="00847F47">
        <w:t>p</w:t>
      </w:r>
      <w:r w:rsidR="00B13AD8">
        <w:t xml:space="preserve">ower </w:t>
      </w:r>
      <w:r w:rsidR="00847F47">
        <w:t>t</w:t>
      </w:r>
      <w:r w:rsidR="00B13AD8">
        <w:t xml:space="preserve">rain a proposal is included in the document by the </w:t>
      </w:r>
      <w:r w:rsidR="00AA56B1">
        <w:t>i</w:t>
      </w:r>
      <w:r w:rsidR="00B13AD8">
        <w:t xml:space="preserve">nformal </w:t>
      </w:r>
      <w:r w:rsidR="00AA56B1">
        <w:t>w</w:t>
      </w:r>
      <w:r w:rsidR="00B13AD8">
        <w:t xml:space="preserve">orking </w:t>
      </w:r>
      <w:r w:rsidR="00AA56B1">
        <w:t>g</w:t>
      </w:r>
      <w:r w:rsidR="00B13AD8">
        <w:t xml:space="preserve">roup on </w:t>
      </w:r>
      <w:r w:rsidR="00AA56B1">
        <w:t>e</w:t>
      </w:r>
      <w:r w:rsidR="00B13AD8">
        <w:t xml:space="preserve">lectrified </w:t>
      </w:r>
      <w:r w:rsidR="00AA56B1">
        <w:t>v</w:t>
      </w:r>
      <w:r w:rsidR="00B13AD8">
        <w:t>ehicles</w:t>
      </w:r>
      <w:r w:rsidR="0048582B">
        <w:t xml:space="preserve"> (see ECE/TRANS/WP.15</w:t>
      </w:r>
      <w:r w:rsidR="0045614D">
        <w:t>/2024/7</w:t>
      </w:r>
      <w:r w:rsidR="0048582B">
        <w:t>)</w:t>
      </w:r>
      <w:r w:rsidR="00B13AD8">
        <w:t xml:space="preserve">. In this case it needs to clarify that vehicles with an </w:t>
      </w:r>
      <w:r w:rsidR="00AA56B1">
        <w:t xml:space="preserve">electric power train </w:t>
      </w:r>
      <w:r w:rsidR="00B13AD8">
        <w:t>are prohibited for the category EX vehicles and in general a prohibition of electrified trailer, for the time being.</w:t>
      </w:r>
    </w:p>
    <w:p w14:paraId="7FF48D71" w14:textId="0AC1F1BE" w:rsidR="00B13AD8" w:rsidRDefault="009A0DAE" w:rsidP="00091506">
      <w:pPr>
        <w:pStyle w:val="SingleTxtG"/>
      </w:pPr>
      <w:r>
        <w:t>7.</w:t>
      </w:r>
      <w:r>
        <w:tab/>
      </w:r>
      <w:r w:rsidR="00B13AD8">
        <w:t>By including t</w:t>
      </w:r>
      <w:r w:rsidR="00AA56B1">
        <w:t>h</w:t>
      </w:r>
      <w:r w:rsidR="00B13AD8">
        <w:t xml:space="preserve">e category </w:t>
      </w:r>
      <w:r w:rsidR="00AA56B1">
        <w:t>“</w:t>
      </w:r>
      <w:r w:rsidR="00B13AD8">
        <w:t>AT</w:t>
      </w:r>
      <w:r w:rsidR="00AA56B1">
        <w:t>”</w:t>
      </w:r>
      <w:r w:rsidR="00B13AD8">
        <w:t xml:space="preserve"> in the line for </w:t>
      </w:r>
      <w:r w:rsidR="00AA56B1">
        <w:t>“</w:t>
      </w:r>
      <w:r w:rsidR="00B13AD8">
        <w:t xml:space="preserve">Internal </w:t>
      </w:r>
      <w:r w:rsidR="00AA56B1">
        <w:t>c</w:t>
      </w:r>
      <w:r w:rsidR="00B13AD8">
        <w:t xml:space="preserve">ombustion </w:t>
      </w:r>
      <w:r w:rsidR="00AA56B1">
        <w:t>e</w:t>
      </w:r>
      <w:r w:rsidR="00B13AD8">
        <w:t>ngine</w:t>
      </w:r>
      <w:r w:rsidR="00AA56B1">
        <w:t>”</w:t>
      </w:r>
      <w:r w:rsidR="00B13AD8">
        <w:t>, as proposed, the interpretation is no longer possible. A consequence is that the general safety provisions comply as well for the category “AT”. However, it may be questioned if these vehicles should not comply anyway. A transitional measure is foreseen for existing vehicles.</w:t>
      </w:r>
    </w:p>
    <w:p w14:paraId="2735A031" w14:textId="4AC6ED9F" w:rsidR="00B7008C" w:rsidRDefault="00091506" w:rsidP="00091506">
      <w:pPr>
        <w:pStyle w:val="SingleTxtG"/>
      </w:pPr>
      <w:r>
        <w:t>8.</w:t>
      </w:r>
      <w:r>
        <w:tab/>
      </w:r>
      <w:r w:rsidR="00B13AD8">
        <w:t xml:space="preserve">The aim of this document is to prevent misinterpretation of the table of 9.2.1.1 in ADR regarding the category </w:t>
      </w:r>
      <w:r w:rsidR="00AA56B1">
        <w:t>“</w:t>
      </w:r>
      <w:r w:rsidR="00B13AD8">
        <w:t>AT</w:t>
      </w:r>
      <w:r w:rsidR="00AA56B1">
        <w:t>”</w:t>
      </w:r>
      <w:r w:rsidR="00B13AD8">
        <w:t xml:space="preserve"> vehicles. Ensuring a more systematic approach and a better rationale in ADR helps to develop clearer legal texts and avoid different criteria among different Contracting Parties and inspection services, and thus helps to implement the United Nations Sustainable Development Goal number 16: Peace, justice and strong institutions.</w:t>
      </w:r>
    </w:p>
    <w:p w14:paraId="2FF61804" w14:textId="0F041531" w:rsidR="00B13AD8" w:rsidRPr="00B13AD8" w:rsidRDefault="00B13AD8" w:rsidP="00B13AD8">
      <w:pPr>
        <w:spacing w:before="240"/>
        <w:jc w:val="center"/>
        <w:rPr>
          <w:u w:val="single"/>
        </w:rPr>
      </w:pPr>
      <w:r>
        <w:rPr>
          <w:u w:val="single"/>
        </w:rPr>
        <w:tab/>
      </w:r>
      <w:r>
        <w:rPr>
          <w:u w:val="single"/>
        </w:rPr>
        <w:tab/>
      </w:r>
      <w:r>
        <w:rPr>
          <w:u w:val="single"/>
        </w:rPr>
        <w:tab/>
      </w:r>
    </w:p>
    <w:sectPr w:rsidR="00B13AD8" w:rsidRPr="00B13AD8" w:rsidSect="00C47C2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3DB1" w14:textId="77777777" w:rsidR="00261351" w:rsidRDefault="00261351"/>
  </w:endnote>
  <w:endnote w:type="continuationSeparator" w:id="0">
    <w:p w14:paraId="224831AA" w14:textId="77777777" w:rsidR="00261351" w:rsidRDefault="00261351"/>
  </w:endnote>
  <w:endnote w:type="continuationNotice" w:id="1">
    <w:p w14:paraId="6BFE791E" w14:textId="77777777" w:rsidR="00261351" w:rsidRDefault="00261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4082" w14:textId="355D7930" w:rsidR="00C47C2A" w:rsidRPr="00C47C2A" w:rsidRDefault="00C47C2A" w:rsidP="00C47C2A">
    <w:pPr>
      <w:pStyle w:val="Footer"/>
      <w:tabs>
        <w:tab w:val="right" w:pos="9638"/>
      </w:tabs>
      <w:rPr>
        <w:sz w:val="18"/>
      </w:rPr>
    </w:pPr>
    <w:r w:rsidRPr="00C47C2A">
      <w:rPr>
        <w:b/>
        <w:sz w:val="18"/>
      </w:rPr>
      <w:fldChar w:fldCharType="begin"/>
    </w:r>
    <w:r w:rsidRPr="00C47C2A">
      <w:rPr>
        <w:b/>
        <w:sz w:val="18"/>
      </w:rPr>
      <w:instrText xml:space="preserve"> PAGE  \* MERGEFORMAT </w:instrText>
    </w:r>
    <w:r w:rsidRPr="00C47C2A">
      <w:rPr>
        <w:b/>
        <w:sz w:val="18"/>
      </w:rPr>
      <w:fldChar w:fldCharType="separate"/>
    </w:r>
    <w:r w:rsidRPr="00C47C2A">
      <w:rPr>
        <w:b/>
        <w:noProof/>
        <w:sz w:val="18"/>
      </w:rPr>
      <w:t>2</w:t>
    </w:r>
    <w:r w:rsidRPr="00C47C2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9F63" w14:textId="03217B48" w:rsidR="00C47C2A" w:rsidRPr="00C47C2A" w:rsidRDefault="00C47C2A" w:rsidP="00C47C2A">
    <w:pPr>
      <w:pStyle w:val="Footer"/>
      <w:tabs>
        <w:tab w:val="right" w:pos="9638"/>
      </w:tabs>
      <w:rPr>
        <w:b/>
        <w:sz w:val="18"/>
      </w:rPr>
    </w:pPr>
    <w:r>
      <w:tab/>
    </w:r>
    <w:r w:rsidRPr="00C47C2A">
      <w:rPr>
        <w:b/>
        <w:sz w:val="18"/>
      </w:rPr>
      <w:fldChar w:fldCharType="begin"/>
    </w:r>
    <w:r w:rsidRPr="00C47C2A">
      <w:rPr>
        <w:b/>
        <w:sz w:val="18"/>
      </w:rPr>
      <w:instrText xml:space="preserve"> PAGE  \* MERGEFORMAT </w:instrText>
    </w:r>
    <w:r w:rsidRPr="00C47C2A">
      <w:rPr>
        <w:b/>
        <w:sz w:val="18"/>
      </w:rPr>
      <w:fldChar w:fldCharType="separate"/>
    </w:r>
    <w:r w:rsidRPr="00C47C2A">
      <w:rPr>
        <w:b/>
        <w:noProof/>
        <w:sz w:val="18"/>
      </w:rPr>
      <w:t>3</w:t>
    </w:r>
    <w:r w:rsidRPr="00C47C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5A0B" w14:textId="30E0D742" w:rsidR="00A62C11" w:rsidRDefault="00A62C11" w:rsidP="00A62C11">
    <w:pPr>
      <w:pStyle w:val="Footer"/>
    </w:pPr>
    <w:r w:rsidRPr="0027112F">
      <w:rPr>
        <w:noProof/>
        <w:lang w:val="en-US"/>
      </w:rPr>
      <w:drawing>
        <wp:anchor distT="0" distB="0" distL="114300" distR="114300" simplePos="0" relativeHeight="251659264" behindDoc="0" locked="1" layoutInCell="1" allowOverlap="1" wp14:anchorId="5663AF53" wp14:editId="4949D79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AECE2D" w14:textId="55B60181" w:rsidR="00A62C11" w:rsidRPr="00A62C11" w:rsidRDefault="00A62C11" w:rsidP="00A62C11">
    <w:pPr>
      <w:pStyle w:val="Footer"/>
      <w:ind w:right="1134"/>
      <w:rPr>
        <w:sz w:val="20"/>
      </w:rPr>
    </w:pPr>
    <w:r>
      <w:rPr>
        <w:sz w:val="20"/>
      </w:rPr>
      <w:t>GE.24-00632(E)</w:t>
    </w:r>
    <w:r>
      <w:rPr>
        <w:noProof/>
        <w:sz w:val="20"/>
      </w:rPr>
      <w:drawing>
        <wp:anchor distT="0" distB="0" distL="114300" distR="114300" simplePos="0" relativeHeight="251660288" behindDoc="0" locked="0" layoutInCell="1" allowOverlap="1" wp14:anchorId="14226EBA" wp14:editId="20D22322">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AA0C" w14:textId="77777777" w:rsidR="00261351" w:rsidRPr="000B175B" w:rsidRDefault="00261351" w:rsidP="000B175B">
      <w:pPr>
        <w:tabs>
          <w:tab w:val="right" w:pos="2155"/>
        </w:tabs>
        <w:spacing w:after="80"/>
        <w:ind w:left="680"/>
        <w:rPr>
          <w:u w:val="single"/>
        </w:rPr>
      </w:pPr>
      <w:r>
        <w:rPr>
          <w:u w:val="single"/>
        </w:rPr>
        <w:tab/>
      </w:r>
    </w:p>
  </w:footnote>
  <w:footnote w:type="continuationSeparator" w:id="0">
    <w:p w14:paraId="646D50D2" w14:textId="77777777" w:rsidR="00261351" w:rsidRPr="00FC68B7" w:rsidRDefault="00261351" w:rsidP="00FC68B7">
      <w:pPr>
        <w:tabs>
          <w:tab w:val="left" w:pos="2155"/>
        </w:tabs>
        <w:spacing w:after="80"/>
        <w:ind w:left="680"/>
        <w:rPr>
          <w:u w:val="single"/>
        </w:rPr>
      </w:pPr>
      <w:r>
        <w:rPr>
          <w:u w:val="single"/>
        </w:rPr>
        <w:tab/>
      </w:r>
    </w:p>
  </w:footnote>
  <w:footnote w:type="continuationNotice" w:id="1">
    <w:p w14:paraId="4EDBFF66" w14:textId="77777777" w:rsidR="00261351" w:rsidRDefault="00261351"/>
  </w:footnote>
  <w:footnote w:id="2">
    <w:p w14:paraId="3EE91102" w14:textId="76C95AF9" w:rsidR="00B13AD8" w:rsidRPr="00B13AD8" w:rsidRDefault="00B13AD8">
      <w:pPr>
        <w:pStyle w:val="FootnoteText"/>
        <w:rPr>
          <w:lang w:val="fr-CH"/>
        </w:rPr>
      </w:pPr>
      <w:r>
        <w:rPr>
          <w:rStyle w:val="FootnoteReference"/>
        </w:rPr>
        <w:tab/>
      </w:r>
      <w:r w:rsidRPr="0080676B">
        <w:rPr>
          <w:rStyle w:val="FootnoteReference"/>
          <w:b/>
          <w:sz w:val="20"/>
        </w:rPr>
        <w:t>*</w:t>
      </w:r>
      <w:r>
        <w:rPr>
          <w:rStyle w:val="FootnoteReference"/>
          <w:sz w:val="20"/>
          <w:vertAlign w:val="baseline"/>
        </w:rPr>
        <w:tab/>
      </w:r>
      <w:r w:rsidR="00EB4874" w:rsidRPr="000D104F">
        <w:t>A/78/6 (Sect. 20), table 20.5</w:t>
      </w:r>
      <w:r w:rsidR="00EB48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1E29" w14:textId="3604B656" w:rsidR="00C47C2A" w:rsidRPr="00C47C2A" w:rsidRDefault="00C47C2A" w:rsidP="00F3460C">
    <w:pPr>
      <w:pStyle w:val="Header"/>
    </w:pPr>
    <w:r>
      <w:t>ECE/TRANS/WP.15/2024/7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89FC" w14:textId="06BBB267" w:rsidR="00C47C2A" w:rsidRPr="00C47C2A" w:rsidRDefault="00EA4986" w:rsidP="00C47C2A">
    <w:pPr>
      <w:pStyle w:val="Header"/>
      <w:jc w:val="right"/>
    </w:pPr>
    <w:r>
      <w:fldChar w:fldCharType="begin"/>
    </w:r>
    <w:r>
      <w:instrText xml:space="preserve"> TITLE  \* MERGEFORMAT </w:instrText>
    </w:r>
    <w:r>
      <w:fldChar w:fldCharType="separate"/>
    </w:r>
    <w:r w:rsidR="00BE0166">
      <w:t>ECE/TRANS/WP.15/2024/7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DA5646"/>
    <w:multiLevelType w:val="hybridMultilevel"/>
    <w:tmpl w:val="B04AB41A"/>
    <w:lvl w:ilvl="0" w:tplc="1706BCDA">
      <w:start w:val="1"/>
      <w:numFmt w:val="upperRoman"/>
      <w:lvlText w:val="%1."/>
      <w:lvlJc w:val="left"/>
      <w:pPr>
        <w:ind w:left="1850" w:hanging="720"/>
      </w:pPr>
      <w:rPr>
        <w:rFonts w:hint="default"/>
      </w:rPr>
    </w:lvl>
    <w:lvl w:ilvl="1" w:tplc="100C0019" w:tentative="1">
      <w:start w:val="1"/>
      <w:numFmt w:val="lowerLetter"/>
      <w:lvlText w:val="%2."/>
      <w:lvlJc w:val="left"/>
      <w:pPr>
        <w:ind w:left="2210" w:hanging="360"/>
      </w:pPr>
    </w:lvl>
    <w:lvl w:ilvl="2" w:tplc="100C001B" w:tentative="1">
      <w:start w:val="1"/>
      <w:numFmt w:val="lowerRoman"/>
      <w:lvlText w:val="%3."/>
      <w:lvlJc w:val="right"/>
      <w:pPr>
        <w:ind w:left="2930" w:hanging="180"/>
      </w:pPr>
    </w:lvl>
    <w:lvl w:ilvl="3" w:tplc="100C000F" w:tentative="1">
      <w:start w:val="1"/>
      <w:numFmt w:val="decimal"/>
      <w:lvlText w:val="%4."/>
      <w:lvlJc w:val="left"/>
      <w:pPr>
        <w:ind w:left="3650" w:hanging="360"/>
      </w:pPr>
    </w:lvl>
    <w:lvl w:ilvl="4" w:tplc="100C0019" w:tentative="1">
      <w:start w:val="1"/>
      <w:numFmt w:val="lowerLetter"/>
      <w:lvlText w:val="%5."/>
      <w:lvlJc w:val="left"/>
      <w:pPr>
        <w:ind w:left="4370" w:hanging="360"/>
      </w:pPr>
    </w:lvl>
    <w:lvl w:ilvl="5" w:tplc="100C001B" w:tentative="1">
      <w:start w:val="1"/>
      <w:numFmt w:val="lowerRoman"/>
      <w:lvlText w:val="%6."/>
      <w:lvlJc w:val="right"/>
      <w:pPr>
        <w:ind w:left="5090" w:hanging="180"/>
      </w:pPr>
    </w:lvl>
    <w:lvl w:ilvl="6" w:tplc="100C000F" w:tentative="1">
      <w:start w:val="1"/>
      <w:numFmt w:val="decimal"/>
      <w:lvlText w:val="%7."/>
      <w:lvlJc w:val="left"/>
      <w:pPr>
        <w:ind w:left="5810" w:hanging="360"/>
      </w:pPr>
    </w:lvl>
    <w:lvl w:ilvl="7" w:tplc="100C0019" w:tentative="1">
      <w:start w:val="1"/>
      <w:numFmt w:val="lowerLetter"/>
      <w:lvlText w:val="%8."/>
      <w:lvlJc w:val="left"/>
      <w:pPr>
        <w:ind w:left="6530" w:hanging="360"/>
      </w:pPr>
    </w:lvl>
    <w:lvl w:ilvl="8" w:tplc="100C001B" w:tentative="1">
      <w:start w:val="1"/>
      <w:numFmt w:val="lowerRoman"/>
      <w:lvlText w:val="%9."/>
      <w:lvlJc w:val="right"/>
      <w:pPr>
        <w:ind w:left="725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233340B"/>
    <w:multiLevelType w:val="hybridMultilevel"/>
    <w:tmpl w:val="5764FE2A"/>
    <w:lvl w:ilvl="0" w:tplc="5C9E7606">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365B90"/>
    <w:multiLevelType w:val="hybridMultilevel"/>
    <w:tmpl w:val="C92E8C32"/>
    <w:lvl w:ilvl="0" w:tplc="D1ECEE40">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7E0A1E84"/>
    <w:multiLevelType w:val="hybridMultilevel"/>
    <w:tmpl w:val="FF96B53E"/>
    <w:lvl w:ilvl="0" w:tplc="56BCCF0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642319733">
    <w:abstractNumId w:val="1"/>
  </w:num>
  <w:num w:numId="2" w16cid:durableId="1023899615">
    <w:abstractNumId w:val="0"/>
  </w:num>
  <w:num w:numId="3" w16cid:durableId="1915624961">
    <w:abstractNumId w:val="2"/>
  </w:num>
  <w:num w:numId="4" w16cid:durableId="1225220399">
    <w:abstractNumId w:val="3"/>
  </w:num>
  <w:num w:numId="5" w16cid:durableId="1450007952">
    <w:abstractNumId w:val="8"/>
  </w:num>
  <w:num w:numId="6" w16cid:durableId="751926108">
    <w:abstractNumId w:val="9"/>
  </w:num>
  <w:num w:numId="7" w16cid:durableId="298922815">
    <w:abstractNumId w:val="7"/>
  </w:num>
  <w:num w:numId="8" w16cid:durableId="894389396">
    <w:abstractNumId w:val="6"/>
  </w:num>
  <w:num w:numId="9" w16cid:durableId="1973175251">
    <w:abstractNumId w:val="5"/>
  </w:num>
  <w:num w:numId="10" w16cid:durableId="87653211">
    <w:abstractNumId w:val="4"/>
  </w:num>
  <w:num w:numId="11" w16cid:durableId="354620483">
    <w:abstractNumId w:val="16"/>
  </w:num>
  <w:num w:numId="12" w16cid:durableId="454298495">
    <w:abstractNumId w:val="15"/>
  </w:num>
  <w:num w:numId="13" w16cid:durableId="465853440">
    <w:abstractNumId w:val="10"/>
  </w:num>
  <w:num w:numId="14" w16cid:durableId="121969814">
    <w:abstractNumId w:val="13"/>
  </w:num>
  <w:num w:numId="15" w16cid:durableId="1358501158">
    <w:abstractNumId w:val="17"/>
  </w:num>
  <w:num w:numId="16" w16cid:durableId="146947600">
    <w:abstractNumId w:val="14"/>
  </w:num>
  <w:num w:numId="17" w16cid:durableId="1984193702">
    <w:abstractNumId w:val="19"/>
  </w:num>
  <w:num w:numId="18" w16cid:durableId="708644458">
    <w:abstractNumId w:val="20"/>
  </w:num>
  <w:num w:numId="19" w16cid:durableId="228393976">
    <w:abstractNumId w:val="12"/>
  </w:num>
  <w:num w:numId="20" w16cid:durableId="1161778879">
    <w:abstractNumId w:val="12"/>
  </w:num>
  <w:num w:numId="21" w16cid:durableId="1147817870">
    <w:abstractNumId w:val="18"/>
  </w:num>
  <w:num w:numId="22" w16cid:durableId="629826189">
    <w:abstractNumId w:val="11"/>
  </w:num>
  <w:num w:numId="23" w16cid:durableId="1192835843">
    <w:abstractNumId w:val="22"/>
  </w:num>
  <w:num w:numId="24" w16cid:durableId="156317721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2A"/>
    <w:rsid w:val="00002A7D"/>
    <w:rsid w:val="000038A8"/>
    <w:rsid w:val="00006790"/>
    <w:rsid w:val="00027624"/>
    <w:rsid w:val="00050F6B"/>
    <w:rsid w:val="00065239"/>
    <w:rsid w:val="000678CD"/>
    <w:rsid w:val="00072C8C"/>
    <w:rsid w:val="00081CE0"/>
    <w:rsid w:val="00084D30"/>
    <w:rsid w:val="00090320"/>
    <w:rsid w:val="00091506"/>
    <w:rsid w:val="000931C0"/>
    <w:rsid w:val="0009732C"/>
    <w:rsid w:val="000A01F9"/>
    <w:rsid w:val="000A2E09"/>
    <w:rsid w:val="000B175B"/>
    <w:rsid w:val="000B3A0F"/>
    <w:rsid w:val="000E0415"/>
    <w:rsid w:val="000F7715"/>
    <w:rsid w:val="00142C5A"/>
    <w:rsid w:val="00156B99"/>
    <w:rsid w:val="00166124"/>
    <w:rsid w:val="00184DDA"/>
    <w:rsid w:val="00185D8B"/>
    <w:rsid w:val="001900CD"/>
    <w:rsid w:val="001A0452"/>
    <w:rsid w:val="001B4B04"/>
    <w:rsid w:val="001B5875"/>
    <w:rsid w:val="001C4B9C"/>
    <w:rsid w:val="001C6663"/>
    <w:rsid w:val="001C7895"/>
    <w:rsid w:val="001D26DF"/>
    <w:rsid w:val="001D5CE7"/>
    <w:rsid w:val="001E555D"/>
    <w:rsid w:val="001F0180"/>
    <w:rsid w:val="001F1599"/>
    <w:rsid w:val="001F19C4"/>
    <w:rsid w:val="002043F0"/>
    <w:rsid w:val="00211E0B"/>
    <w:rsid w:val="00232575"/>
    <w:rsid w:val="00247258"/>
    <w:rsid w:val="00257CAC"/>
    <w:rsid w:val="00261351"/>
    <w:rsid w:val="00264441"/>
    <w:rsid w:val="0027237A"/>
    <w:rsid w:val="002974E9"/>
    <w:rsid w:val="002A7F94"/>
    <w:rsid w:val="002B109A"/>
    <w:rsid w:val="002C6D45"/>
    <w:rsid w:val="002D6E53"/>
    <w:rsid w:val="002E0761"/>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0D57"/>
    <w:rsid w:val="004325CB"/>
    <w:rsid w:val="00440A07"/>
    <w:rsid w:val="0045614D"/>
    <w:rsid w:val="00462880"/>
    <w:rsid w:val="00476B72"/>
    <w:rsid w:val="00476F24"/>
    <w:rsid w:val="0048582B"/>
    <w:rsid w:val="004C55B0"/>
    <w:rsid w:val="004F6BA0"/>
    <w:rsid w:val="00503BEA"/>
    <w:rsid w:val="00513882"/>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9DD"/>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73E0"/>
    <w:rsid w:val="0072632A"/>
    <w:rsid w:val="00727166"/>
    <w:rsid w:val="007358E8"/>
    <w:rsid w:val="00736ECE"/>
    <w:rsid w:val="0074533B"/>
    <w:rsid w:val="007643BC"/>
    <w:rsid w:val="007801C5"/>
    <w:rsid w:val="00780C68"/>
    <w:rsid w:val="00780DBF"/>
    <w:rsid w:val="007959FE"/>
    <w:rsid w:val="007A0CF1"/>
    <w:rsid w:val="007A478E"/>
    <w:rsid w:val="007B6BA5"/>
    <w:rsid w:val="007C3390"/>
    <w:rsid w:val="007C42D8"/>
    <w:rsid w:val="007C4F4B"/>
    <w:rsid w:val="007D7362"/>
    <w:rsid w:val="007F5CE2"/>
    <w:rsid w:val="007F6611"/>
    <w:rsid w:val="00800522"/>
    <w:rsid w:val="0080676B"/>
    <w:rsid w:val="00810BAC"/>
    <w:rsid w:val="008175E9"/>
    <w:rsid w:val="008242D7"/>
    <w:rsid w:val="0082577B"/>
    <w:rsid w:val="008272DD"/>
    <w:rsid w:val="00847F47"/>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0DAE"/>
    <w:rsid w:val="009A7B81"/>
    <w:rsid w:val="009D01C0"/>
    <w:rsid w:val="009D6A08"/>
    <w:rsid w:val="009E0A16"/>
    <w:rsid w:val="009E6CB7"/>
    <w:rsid w:val="009E7970"/>
    <w:rsid w:val="009F2EAC"/>
    <w:rsid w:val="009F57E3"/>
    <w:rsid w:val="00A10F4F"/>
    <w:rsid w:val="00A11067"/>
    <w:rsid w:val="00A1704A"/>
    <w:rsid w:val="00A425EB"/>
    <w:rsid w:val="00A62C11"/>
    <w:rsid w:val="00A72F22"/>
    <w:rsid w:val="00A733BC"/>
    <w:rsid w:val="00A748A6"/>
    <w:rsid w:val="00A76A69"/>
    <w:rsid w:val="00A879A4"/>
    <w:rsid w:val="00AA0FF8"/>
    <w:rsid w:val="00AA56B1"/>
    <w:rsid w:val="00AC0F2C"/>
    <w:rsid w:val="00AC502A"/>
    <w:rsid w:val="00AD4F76"/>
    <w:rsid w:val="00AE1528"/>
    <w:rsid w:val="00AF2848"/>
    <w:rsid w:val="00AF58C1"/>
    <w:rsid w:val="00B04A3F"/>
    <w:rsid w:val="00B06643"/>
    <w:rsid w:val="00B13AD8"/>
    <w:rsid w:val="00B15055"/>
    <w:rsid w:val="00B20551"/>
    <w:rsid w:val="00B23D55"/>
    <w:rsid w:val="00B30179"/>
    <w:rsid w:val="00B33FC7"/>
    <w:rsid w:val="00B37B15"/>
    <w:rsid w:val="00B45C02"/>
    <w:rsid w:val="00B7008C"/>
    <w:rsid w:val="00B70B63"/>
    <w:rsid w:val="00B72A1E"/>
    <w:rsid w:val="00B81E12"/>
    <w:rsid w:val="00BA339B"/>
    <w:rsid w:val="00BB23CC"/>
    <w:rsid w:val="00BC1E7E"/>
    <w:rsid w:val="00BC74E9"/>
    <w:rsid w:val="00BE0166"/>
    <w:rsid w:val="00BE36A9"/>
    <w:rsid w:val="00BE618E"/>
    <w:rsid w:val="00BE7BEC"/>
    <w:rsid w:val="00BF0A5A"/>
    <w:rsid w:val="00BF0E63"/>
    <w:rsid w:val="00BF12A3"/>
    <w:rsid w:val="00BF16D7"/>
    <w:rsid w:val="00BF2373"/>
    <w:rsid w:val="00C0294F"/>
    <w:rsid w:val="00C044E2"/>
    <w:rsid w:val="00C048CB"/>
    <w:rsid w:val="00C066F3"/>
    <w:rsid w:val="00C3535D"/>
    <w:rsid w:val="00C408B7"/>
    <w:rsid w:val="00C411EB"/>
    <w:rsid w:val="00C463DD"/>
    <w:rsid w:val="00C47C2A"/>
    <w:rsid w:val="00C47DE8"/>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270E"/>
    <w:rsid w:val="00DA357F"/>
    <w:rsid w:val="00DA3E12"/>
    <w:rsid w:val="00DB6908"/>
    <w:rsid w:val="00DC18AD"/>
    <w:rsid w:val="00DF7CAE"/>
    <w:rsid w:val="00E423C0"/>
    <w:rsid w:val="00E6414C"/>
    <w:rsid w:val="00E7260F"/>
    <w:rsid w:val="00E8702D"/>
    <w:rsid w:val="00E905F4"/>
    <w:rsid w:val="00E916A9"/>
    <w:rsid w:val="00E916DE"/>
    <w:rsid w:val="00E925AD"/>
    <w:rsid w:val="00E96630"/>
    <w:rsid w:val="00EA4986"/>
    <w:rsid w:val="00EB4874"/>
    <w:rsid w:val="00ED18DC"/>
    <w:rsid w:val="00ED6201"/>
    <w:rsid w:val="00ED7A2A"/>
    <w:rsid w:val="00EF1D7F"/>
    <w:rsid w:val="00F0137E"/>
    <w:rsid w:val="00F21786"/>
    <w:rsid w:val="00F3460C"/>
    <w:rsid w:val="00F3742B"/>
    <w:rsid w:val="00F41FDB"/>
    <w:rsid w:val="00F50596"/>
    <w:rsid w:val="00F56D63"/>
    <w:rsid w:val="00F609A9"/>
    <w:rsid w:val="00F60DA6"/>
    <w:rsid w:val="00F80C99"/>
    <w:rsid w:val="00F867EC"/>
    <w:rsid w:val="00F91B2B"/>
    <w:rsid w:val="00F93E39"/>
    <w:rsid w:val="00FB270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A06C8"/>
  <w15:docId w15:val="{E568AFE6-E523-4DA4-A45A-423E1192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rsid w:val="00B13AD8"/>
    <w:rPr>
      <w:b/>
      <w:sz w:val="28"/>
      <w:lang w:val="en-GB"/>
    </w:rPr>
  </w:style>
  <w:style w:type="paragraph" w:styleId="ListParagraph">
    <w:name w:val="List Paragraph"/>
    <w:basedOn w:val="Normal"/>
    <w:uiPriority w:val="34"/>
    <w:semiHidden/>
    <w:qFormat/>
    <w:rsid w:val="00B13AD8"/>
    <w:pPr>
      <w:ind w:left="720"/>
      <w:contextualSpacing/>
    </w:pPr>
  </w:style>
  <w:style w:type="paragraph" w:styleId="Revision">
    <w:name w:val="Revision"/>
    <w:hidden/>
    <w:uiPriority w:val="99"/>
    <w:semiHidden/>
    <w:rsid w:val="00780DBF"/>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884EDEBB-5706-40F5-A03E-7D47B03F2246}"/>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2</Pages>
  <Words>571</Words>
  <Characters>3015</Characters>
  <Application>Microsoft Office Word</Application>
  <DocSecurity>0</DocSecurity>
  <Lines>71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ECE/TRANS/WP.15/2024/7</vt:lpstr>
      <vt:lpstr/>
    </vt:vector>
  </TitlesOfParts>
  <Company>CSD</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ECE/TRANS/WP.15/2024/7</dc:title>
  <dc:subject>2400632</dc:subject>
  <dc:creator>Alicia DORCA-GARCIA</dc:creator>
  <cp:keywords/>
  <dc:description/>
  <cp:lastModifiedBy>Ma. Cristina Brigoli</cp:lastModifiedBy>
  <cp:revision>3</cp:revision>
  <cp:lastPrinted>2024-01-15T15:47:00Z</cp:lastPrinted>
  <dcterms:created xsi:type="dcterms:W3CDTF">2024-01-15T15:46:00Z</dcterms:created>
  <dcterms:modified xsi:type="dcterms:W3CDTF">2024-01-15T15:47:00Z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