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A17B79" w14:textId="77777777" w:rsidTr="00C97039">
        <w:trPr>
          <w:trHeight w:hRule="exact" w:val="851"/>
        </w:trPr>
        <w:tc>
          <w:tcPr>
            <w:tcW w:w="1276" w:type="dxa"/>
            <w:tcBorders>
              <w:bottom w:val="single" w:sz="4" w:space="0" w:color="auto"/>
            </w:tcBorders>
          </w:tcPr>
          <w:p w14:paraId="166AC379" w14:textId="77777777" w:rsidR="00F35BAF" w:rsidRPr="00DB58B5" w:rsidRDefault="00F35BAF" w:rsidP="00E33EB9"/>
        </w:tc>
        <w:tc>
          <w:tcPr>
            <w:tcW w:w="2268" w:type="dxa"/>
            <w:tcBorders>
              <w:bottom w:val="single" w:sz="4" w:space="0" w:color="auto"/>
            </w:tcBorders>
            <w:vAlign w:val="bottom"/>
          </w:tcPr>
          <w:p w14:paraId="18D9A80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0F57A0" w14:textId="6FC1C241" w:rsidR="00F35BAF" w:rsidRPr="00DB58B5" w:rsidRDefault="00E33EB9" w:rsidP="00E33EB9">
            <w:pPr>
              <w:jc w:val="right"/>
            </w:pPr>
            <w:r w:rsidRPr="00E33EB9">
              <w:rPr>
                <w:sz w:val="40"/>
              </w:rPr>
              <w:t>ECE</w:t>
            </w:r>
            <w:r>
              <w:t>/TRANS/WP.29/GRSG/2024/6</w:t>
            </w:r>
          </w:p>
        </w:tc>
      </w:tr>
      <w:tr w:rsidR="00F35BAF" w:rsidRPr="00DB58B5" w14:paraId="15F3B024" w14:textId="77777777" w:rsidTr="00C97039">
        <w:trPr>
          <w:trHeight w:hRule="exact" w:val="2835"/>
        </w:trPr>
        <w:tc>
          <w:tcPr>
            <w:tcW w:w="1276" w:type="dxa"/>
            <w:tcBorders>
              <w:top w:val="single" w:sz="4" w:space="0" w:color="auto"/>
              <w:bottom w:val="single" w:sz="12" w:space="0" w:color="auto"/>
            </w:tcBorders>
          </w:tcPr>
          <w:p w14:paraId="720AD5F4" w14:textId="77777777" w:rsidR="00F35BAF" w:rsidRPr="00DB58B5" w:rsidRDefault="00F35BAF" w:rsidP="00C97039">
            <w:pPr>
              <w:spacing w:before="120"/>
              <w:jc w:val="center"/>
            </w:pPr>
            <w:r>
              <w:rPr>
                <w:noProof/>
                <w:lang w:eastAsia="fr-CH"/>
              </w:rPr>
              <w:drawing>
                <wp:inline distT="0" distB="0" distL="0" distR="0" wp14:anchorId="38453AE9" wp14:editId="52F1C7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BEDB5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40014D" w14:textId="77777777" w:rsidR="00F35BAF" w:rsidRDefault="00E33EB9" w:rsidP="00C97039">
            <w:pPr>
              <w:spacing w:before="240"/>
            </w:pPr>
            <w:r>
              <w:t>Distr. générale</w:t>
            </w:r>
          </w:p>
          <w:p w14:paraId="4AA4BA58" w14:textId="77777777" w:rsidR="00E33EB9" w:rsidRDefault="00E33EB9" w:rsidP="00E33EB9">
            <w:pPr>
              <w:spacing w:line="240" w:lineRule="exact"/>
            </w:pPr>
            <w:r>
              <w:t>26 janvier 2023</w:t>
            </w:r>
          </w:p>
          <w:p w14:paraId="3AA0BB26" w14:textId="77777777" w:rsidR="00E33EB9" w:rsidRDefault="00E33EB9" w:rsidP="00E33EB9">
            <w:pPr>
              <w:spacing w:line="240" w:lineRule="exact"/>
            </w:pPr>
            <w:r>
              <w:t>Français</w:t>
            </w:r>
          </w:p>
          <w:p w14:paraId="48F26403" w14:textId="6658F98C" w:rsidR="00E33EB9" w:rsidRPr="00DB58B5" w:rsidRDefault="00E33EB9" w:rsidP="00E33EB9">
            <w:pPr>
              <w:spacing w:line="240" w:lineRule="exact"/>
            </w:pPr>
            <w:r>
              <w:t>Original : anglais</w:t>
            </w:r>
          </w:p>
        </w:tc>
      </w:tr>
    </w:tbl>
    <w:p w14:paraId="40B921E1" w14:textId="77777777" w:rsidR="007F20FA" w:rsidRPr="000312C0" w:rsidRDefault="007F20FA" w:rsidP="007F20FA">
      <w:pPr>
        <w:spacing w:before="120"/>
        <w:rPr>
          <w:b/>
          <w:sz w:val="28"/>
          <w:szCs w:val="28"/>
        </w:rPr>
      </w:pPr>
      <w:r w:rsidRPr="000312C0">
        <w:rPr>
          <w:b/>
          <w:sz w:val="28"/>
          <w:szCs w:val="28"/>
        </w:rPr>
        <w:t>Commission économique pour l’Europe</w:t>
      </w:r>
    </w:p>
    <w:p w14:paraId="1955958C" w14:textId="77777777" w:rsidR="007F20FA" w:rsidRDefault="007F20FA" w:rsidP="007F20FA">
      <w:pPr>
        <w:spacing w:before="120"/>
        <w:rPr>
          <w:sz w:val="28"/>
          <w:szCs w:val="28"/>
        </w:rPr>
      </w:pPr>
      <w:r w:rsidRPr="00685843">
        <w:rPr>
          <w:sz w:val="28"/>
          <w:szCs w:val="28"/>
        </w:rPr>
        <w:t>Comité des transports intérieurs</w:t>
      </w:r>
    </w:p>
    <w:p w14:paraId="4D325B65" w14:textId="47904A31" w:rsidR="00F226FB" w:rsidRPr="000A335F" w:rsidRDefault="00F226FB" w:rsidP="00F226FB">
      <w:pPr>
        <w:spacing w:before="120"/>
        <w:rPr>
          <w:b/>
          <w:sz w:val="32"/>
          <w:szCs w:val="32"/>
        </w:rPr>
      </w:pPr>
      <w:r w:rsidRPr="000A335F">
        <w:rPr>
          <w:b/>
          <w:bCs/>
          <w:sz w:val="24"/>
          <w:szCs w:val="24"/>
          <w:lang w:val="fr-FR"/>
        </w:rPr>
        <w:t xml:space="preserve">Forum mondial de l’harmonisation des Règlements </w:t>
      </w:r>
      <w:r w:rsidR="000A335F">
        <w:rPr>
          <w:b/>
          <w:bCs/>
          <w:sz w:val="24"/>
          <w:szCs w:val="24"/>
          <w:lang w:val="fr-FR"/>
        </w:rPr>
        <w:br/>
      </w:r>
      <w:r w:rsidRPr="000A335F">
        <w:rPr>
          <w:b/>
          <w:bCs/>
          <w:sz w:val="24"/>
          <w:szCs w:val="24"/>
          <w:lang w:val="fr-FR"/>
        </w:rPr>
        <w:t>concernant les véhicules</w:t>
      </w:r>
    </w:p>
    <w:p w14:paraId="1FE90F5B" w14:textId="77777777" w:rsidR="00F226FB" w:rsidRPr="000A335F" w:rsidRDefault="00F226FB" w:rsidP="00F226FB">
      <w:pPr>
        <w:spacing w:before="120"/>
        <w:rPr>
          <w:b/>
        </w:rPr>
      </w:pPr>
      <w:r w:rsidRPr="000A335F">
        <w:rPr>
          <w:b/>
          <w:bCs/>
          <w:lang w:val="fr-FR"/>
        </w:rPr>
        <w:t>Groupe de travail des dispositions générales de sécurité</w:t>
      </w:r>
    </w:p>
    <w:p w14:paraId="4AFECB7B" w14:textId="77777777" w:rsidR="00F226FB" w:rsidRPr="000A335F" w:rsidRDefault="00F226FB" w:rsidP="00F226FB">
      <w:pPr>
        <w:spacing w:before="120"/>
        <w:rPr>
          <w:b/>
        </w:rPr>
      </w:pPr>
      <w:r w:rsidRPr="000A335F">
        <w:rPr>
          <w:b/>
          <w:bCs/>
          <w:lang w:val="fr-FR"/>
        </w:rPr>
        <w:t>127</w:t>
      </w:r>
      <w:r w:rsidRPr="000A335F">
        <w:rPr>
          <w:b/>
          <w:bCs/>
          <w:vertAlign w:val="superscript"/>
          <w:lang w:val="fr-FR"/>
        </w:rPr>
        <w:t>e</w:t>
      </w:r>
      <w:r w:rsidRPr="000A335F">
        <w:rPr>
          <w:b/>
          <w:bCs/>
          <w:lang w:val="fr-FR"/>
        </w:rPr>
        <w:t xml:space="preserve"> session</w:t>
      </w:r>
    </w:p>
    <w:p w14:paraId="2BD11B15" w14:textId="77777777" w:rsidR="00F226FB" w:rsidRPr="000A335F" w:rsidRDefault="00F226FB" w:rsidP="00F226FB">
      <w:r w:rsidRPr="000A335F">
        <w:rPr>
          <w:lang w:val="fr-FR"/>
        </w:rPr>
        <w:t>Genève, 15-19 avril 2024</w:t>
      </w:r>
    </w:p>
    <w:p w14:paraId="1008AF9A" w14:textId="77777777" w:rsidR="00F226FB" w:rsidRPr="000A335F" w:rsidRDefault="00F226FB" w:rsidP="00F226FB">
      <w:r w:rsidRPr="000A335F">
        <w:rPr>
          <w:lang w:val="fr-FR"/>
        </w:rPr>
        <w:t>Point 4 e) de l’ordre du jour provisoire</w:t>
      </w:r>
    </w:p>
    <w:p w14:paraId="3845588C" w14:textId="76C3A3AE" w:rsidR="00F226FB" w:rsidRPr="000A335F" w:rsidRDefault="00F226FB" w:rsidP="00F226FB">
      <w:r w:rsidRPr="000A335F">
        <w:rPr>
          <w:b/>
          <w:bCs/>
          <w:lang w:val="fr-FR"/>
        </w:rPr>
        <w:t xml:space="preserve">Perception de la présence d’usagers de la route vulnérables </w:t>
      </w:r>
      <w:r w:rsidR="000A335F">
        <w:rPr>
          <w:b/>
          <w:bCs/>
          <w:lang w:val="fr-FR"/>
        </w:rPr>
        <w:br/>
      </w:r>
      <w:r w:rsidRPr="000A335F">
        <w:rPr>
          <w:b/>
          <w:bCs/>
          <w:lang w:val="fr-FR"/>
        </w:rPr>
        <w:t>à proximité du véhicule</w:t>
      </w:r>
      <w:r w:rsidR="000A335F">
        <w:rPr>
          <w:b/>
          <w:bCs/>
          <w:lang w:val="fr-FR"/>
        </w:rPr>
        <w:t> </w:t>
      </w:r>
      <w:r w:rsidRPr="000A335F">
        <w:rPr>
          <w:b/>
          <w:bCs/>
          <w:lang w:val="fr-FR"/>
        </w:rPr>
        <w:t>: Règlement ONU n</w:t>
      </w:r>
      <w:r w:rsidRPr="000A335F">
        <w:rPr>
          <w:b/>
          <w:bCs/>
          <w:vertAlign w:val="superscript"/>
          <w:lang w:val="fr-FR"/>
        </w:rPr>
        <w:t>o</w:t>
      </w:r>
      <w:r w:rsidR="000A335F">
        <w:rPr>
          <w:b/>
          <w:bCs/>
          <w:lang w:val="fr-FR"/>
        </w:rPr>
        <w:t> </w:t>
      </w:r>
      <w:r w:rsidRPr="000A335F">
        <w:rPr>
          <w:b/>
          <w:bCs/>
          <w:lang w:val="fr-FR"/>
        </w:rPr>
        <w:t>167</w:t>
      </w:r>
      <w:r w:rsidRPr="000A335F">
        <w:rPr>
          <w:lang w:val="fr-FR"/>
        </w:rPr>
        <w:t xml:space="preserve"> </w:t>
      </w:r>
      <w:r w:rsidR="000A335F">
        <w:rPr>
          <w:lang w:val="fr-FR"/>
        </w:rPr>
        <w:br/>
      </w:r>
      <w:r w:rsidRPr="000A335F">
        <w:rPr>
          <w:lang w:val="fr-FR"/>
        </w:rPr>
        <w:t>(Vision directe des usagers de la route vulnérables)</w:t>
      </w:r>
    </w:p>
    <w:p w14:paraId="5762D623" w14:textId="6C1D500D" w:rsidR="00F226FB" w:rsidRPr="00F149AE" w:rsidRDefault="000A335F" w:rsidP="000A335F">
      <w:pPr>
        <w:pStyle w:val="HChG"/>
      </w:pPr>
      <w:r>
        <w:rPr>
          <w:lang w:val="fr-FR"/>
        </w:rPr>
        <w:tab/>
      </w:r>
      <w:r>
        <w:rPr>
          <w:lang w:val="fr-FR"/>
        </w:rPr>
        <w:tab/>
      </w:r>
      <w:r w:rsidR="00F226FB">
        <w:rPr>
          <w:lang w:val="fr-FR"/>
        </w:rPr>
        <w:t xml:space="preserve">Proposition de série 01 d’amendements à la version </w:t>
      </w:r>
      <w:r>
        <w:rPr>
          <w:lang w:val="fr-FR"/>
        </w:rPr>
        <w:br/>
      </w:r>
      <w:r w:rsidR="00F226FB">
        <w:rPr>
          <w:lang w:val="fr-FR"/>
        </w:rPr>
        <w:t xml:space="preserve">originale du Règlement ONU </w:t>
      </w:r>
      <w:r w:rsidR="00F226FB" w:rsidRPr="00F149AE">
        <w:rPr>
          <w:lang w:val="fr-FR"/>
        </w:rPr>
        <w:t>n</w:t>
      </w:r>
      <w:r w:rsidR="00F226FB" w:rsidRPr="00F149AE">
        <w:rPr>
          <w:vertAlign w:val="superscript"/>
          <w:lang w:val="fr-FR"/>
        </w:rPr>
        <w:t>o</w:t>
      </w:r>
      <w:r w:rsidR="00F226FB">
        <w:rPr>
          <w:vertAlign w:val="superscript"/>
          <w:lang w:val="fr-FR"/>
        </w:rPr>
        <w:t> </w:t>
      </w:r>
      <w:r w:rsidR="00F226FB">
        <w:rPr>
          <w:lang w:val="fr-FR"/>
        </w:rPr>
        <w:t xml:space="preserve">167 (Vision directe </w:t>
      </w:r>
      <w:r>
        <w:rPr>
          <w:lang w:val="fr-FR"/>
        </w:rPr>
        <w:br/>
      </w:r>
      <w:r w:rsidR="00F226FB">
        <w:rPr>
          <w:lang w:val="fr-FR"/>
        </w:rPr>
        <w:t xml:space="preserve">des usagers de la route vulnérables) </w:t>
      </w:r>
    </w:p>
    <w:p w14:paraId="05BDF068" w14:textId="6906BBCC" w:rsidR="00F226FB" w:rsidRPr="00F149AE" w:rsidRDefault="00F226FB" w:rsidP="000A335F">
      <w:pPr>
        <w:pStyle w:val="H1G"/>
        <w:rPr>
          <w:szCs w:val="24"/>
        </w:rPr>
      </w:pPr>
      <w:r>
        <w:rPr>
          <w:lang w:val="fr-FR"/>
        </w:rPr>
        <w:tab/>
      </w:r>
      <w:r>
        <w:rPr>
          <w:lang w:val="fr-FR"/>
        </w:rPr>
        <w:tab/>
        <w:t xml:space="preserve">Communication de l’expert du Royaume-Uni </w:t>
      </w:r>
      <w:r w:rsidR="000A335F">
        <w:rPr>
          <w:lang w:val="fr-FR"/>
        </w:rPr>
        <w:br/>
      </w:r>
      <w:r>
        <w:rPr>
          <w:lang w:val="fr-FR"/>
        </w:rPr>
        <w:t>de Grande-Bretagne et d’Irlande du Nord</w:t>
      </w:r>
      <w:r w:rsidRPr="000A335F">
        <w:rPr>
          <w:b w:val="0"/>
          <w:bCs/>
          <w:sz w:val="20"/>
          <w:szCs w:val="16"/>
          <w:lang w:val="fr-FR"/>
        </w:rPr>
        <w:t>*</w:t>
      </w:r>
    </w:p>
    <w:p w14:paraId="62BC8AA3" w14:textId="0298B959" w:rsidR="00F226FB" w:rsidRPr="008D0F03" w:rsidRDefault="00F226FB" w:rsidP="000A335F">
      <w:pPr>
        <w:pStyle w:val="SingleTxtG"/>
        <w:ind w:firstLine="567"/>
        <w:rPr>
          <w:lang w:val="fr-FR"/>
        </w:rPr>
      </w:pPr>
      <w:r>
        <w:rPr>
          <w:lang w:val="fr-FR"/>
        </w:rPr>
        <w:footnoteReference w:customMarkFollows="1" w:id="2"/>
        <w:t xml:space="preserve">Le texte ci-après, établi par l’expert du Royaume-Uni, vise à modifier le Règlement ONU </w:t>
      </w:r>
      <w:r w:rsidRPr="00F149AE">
        <w:rPr>
          <w:lang w:val="fr-FR"/>
        </w:rPr>
        <w:t>n</w:t>
      </w:r>
      <w:r w:rsidRPr="00F149AE">
        <w:rPr>
          <w:vertAlign w:val="superscript"/>
          <w:lang w:val="fr-FR"/>
        </w:rPr>
        <w:t>o</w:t>
      </w:r>
      <w:r>
        <w:rPr>
          <w:vertAlign w:val="superscript"/>
          <w:lang w:val="fr-FR"/>
        </w:rPr>
        <w:t> </w:t>
      </w:r>
      <w:r>
        <w:rPr>
          <w:lang w:val="fr-FR"/>
        </w:rPr>
        <w:t>167 (Vision directe des usagers de la route vulnérables), tel qu’adopté à la 188</w:t>
      </w:r>
      <w:r w:rsidRPr="00F149AE">
        <w:rPr>
          <w:vertAlign w:val="superscript"/>
          <w:lang w:val="fr-FR"/>
        </w:rPr>
        <w:t>e</w:t>
      </w:r>
      <w:r w:rsidR="000A335F">
        <w:rPr>
          <w:lang w:val="fr-FR"/>
        </w:rPr>
        <w:t> </w:t>
      </w:r>
      <w:r>
        <w:rPr>
          <w:lang w:val="fr-FR"/>
        </w:rPr>
        <w:t>session du Forum mondial de l’harmonisation des Règlements concernant les véhicules (WP.29) et contenu dans le document ECE/TRANS/WP.29/2022/140/Rev.1. Les modifications qu’il est proposé d’apporter au texte actuel du Règlement ONU figurent en caractères gras pour les ajouts et biffés pour les suppressions.</w:t>
      </w:r>
    </w:p>
    <w:p w14:paraId="761F8CA4" w14:textId="77777777" w:rsidR="00F226FB" w:rsidRPr="00F149AE" w:rsidRDefault="00F226FB" w:rsidP="00F226FB">
      <w:r w:rsidRPr="00F149AE">
        <w:br w:type="page"/>
      </w:r>
    </w:p>
    <w:p w14:paraId="33637254" w14:textId="77777777" w:rsidR="00F226FB" w:rsidRPr="00F149AE" w:rsidRDefault="00F226FB" w:rsidP="000A335F">
      <w:pPr>
        <w:pStyle w:val="HChG"/>
      </w:pPr>
      <w:r>
        <w:rPr>
          <w:lang w:val="fr-FR"/>
        </w:rPr>
        <w:lastRenderedPageBreak/>
        <w:tab/>
        <w:t>I.</w:t>
      </w:r>
      <w:r>
        <w:rPr>
          <w:lang w:val="fr-FR"/>
        </w:rPr>
        <w:tab/>
        <w:t>Proposition</w:t>
      </w:r>
    </w:p>
    <w:p w14:paraId="0925D902" w14:textId="639AD080" w:rsidR="00F226FB" w:rsidRDefault="00F226FB" w:rsidP="000A335F">
      <w:pPr>
        <w:pStyle w:val="SingleTxtG"/>
      </w:pPr>
      <w:r>
        <w:rPr>
          <w:lang w:val="fr-FR"/>
        </w:rPr>
        <w:tab/>
      </w:r>
      <w:r w:rsidRPr="000A335F">
        <w:rPr>
          <w:i/>
          <w:iCs/>
          <w:lang w:val="fr-FR"/>
        </w:rPr>
        <w:t>Ajouter le nouveau paragraphe 2.9.4</w:t>
      </w:r>
      <w:r>
        <w:rPr>
          <w:lang w:val="fr-FR"/>
        </w:rPr>
        <w:t>, libellé comme suit</w:t>
      </w:r>
      <w:r w:rsidR="000A335F">
        <w:rPr>
          <w:lang w:val="fr-FR"/>
        </w:rPr>
        <w:t> </w:t>
      </w:r>
      <w:r>
        <w:rPr>
          <w:lang w:val="fr-FR"/>
        </w:rPr>
        <w:t>:</w:t>
      </w:r>
    </w:p>
    <w:p w14:paraId="0C02E910" w14:textId="453D9A23" w:rsidR="00F226FB" w:rsidRPr="00F149AE" w:rsidRDefault="00F226FB" w:rsidP="00F226FB">
      <w:pPr>
        <w:pStyle w:val="SingleTxtG"/>
        <w:ind w:left="2250" w:hanging="1116"/>
      </w:pPr>
      <w:r>
        <w:rPr>
          <w:lang w:val="fr-FR"/>
        </w:rPr>
        <w:t>« </w:t>
      </w:r>
      <w:r>
        <w:rPr>
          <w:b/>
          <w:bCs/>
          <w:lang w:val="fr-FR"/>
        </w:rPr>
        <w:t>2.9.4</w:t>
      </w:r>
      <w:r>
        <w:rPr>
          <w:lang w:val="fr-FR"/>
        </w:rPr>
        <w:tab/>
      </w:r>
      <w:r>
        <w:rPr>
          <w:b/>
          <w:bCs/>
          <w:lang w:val="fr-FR"/>
        </w:rPr>
        <w:t>“</w:t>
      </w:r>
      <w:r>
        <w:rPr>
          <w:b/>
          <w:bCs/>
          <w:i/>
          <w:iCs/>
          <w:lang w:val="fr-FR"/>
        </w:rPr>
        <w:t>Volume partiel visible vers l’avant” (SFVV)</w:t>
      </w:r>
      <w:r>
        <w:rPr>
          <w:b/>
          <w:bCs/>
          <w:lang w:val="fr-FR"/>
        </w:rPr>
        <w:t>, la partie du volume d’évaluation située directement devant le véhicule, entre le plan longitudinal du côté conducteur et le plan longitudinal du côté passager. </w:t>
      </w:r>
      <w:r w:rsidRPr="000A335F">
        <w:rPr>
          <w:lang w:val="fr-FR"/>
        </w:rPr>
        <w:t>».</w:t>
      </w:r>
    </w:p>
    <w:p w14:paraId="66B3BB4A" w14:textId="2BEE5304" w:rsidR="00F226FB" w:rsidRPr="00F149AE" w:rsidRDefault="00F226FB" w:rsidP="000A335F">
      <w:pPr>
        <w:pStyle w:val="SingleTxtG"/>
      </w:pPr>
      <w:r>
        <w:rPr>
          <w:lang w:val="fr-FR"/>
        </w:rPr>
        <w:t>« </w:t>
      </w:r>
      <w:r w:rsidRPr="000A335F">
        <w:rPr>
          <w:i/>
          <w:iCs/>
          <w:lang w:val="fr-FR"/>
        </w:rPr>
        <w:t>Tableau 1</w:t>
      </w:r>
      <w:r>
        <w:rPr>
          <w:lang w:val="fr-FR"/>
        </w:rPr>
        <w:t>, lire</w:t>
      </w:r>
      <w:r w:rsidR="000A335F">
        <w:rPr>
          <w:lang w:val="fr-FR"/>
        </w:rPr>
        <w:t> </w:t>
      </w:r>
      <w:r>
        <w:rPr>
          <w:lang w:val="fr-FR"/>
        </w:rPr>
        <w:t>:</w:t>
      </w:r>
    </w:p>
    <w:p w14:paraId="1824F3BB" w14:textId="77777777" w:rsidR="00F226FB" w:rsidRPr="00F149AE" w:rsidRDefault="00F226FB" w:rsidP="00F226FB">
      <w:pPr>
        <w:pStyle w:val="SingleTxtG"/>
        <w:spacing w:before="120" w:after="0"/>
        <w:ind w:left="1138" w:right="1138"/>
      </w:pPr>
      <w:bookmarkStart w:id="0" w:name="_Ref82094650"/>
      <w:r>
        <w:rPr>
          <w:lang w:val="fr-FR"/>
        </w:rPr>
        <w:t>Tableau 1</w:t>
      </w:r>
      <w:bookmarkEnd w:id="0"/>
    </w:p>
    <w:p w14:paraId="5CA70B59" w14:textId="77777777" w:rsidR="00F226FB" w:rsidRPr="00F149AE" w:rsidRDefault="00F226FB" w:rsidP="00F226FB">
      <w:pPr>
        <w:pStyle w:val="SingleTxtG"/>
        <w:rPr>
          <w:b/>
          <w:bCs/>
        </w:rPr>
      </w:pPr>
      <w:r>
        <w:rPr>
          <w:lang w:val="fr-FR"/>
        </w:rPr>
        <w:tab/>
      </w:r>
      <w:r>
        <w:rPr>
          <w:b/>
          <w:bCs/>
          <w:lang w:val="fr-FR"/>
        </w:rPr>
        <w:t>Valeurs minimales du volume visible</w:t>
      </w:r>
    </w:p>
    <w:tbl>
      <w:tblPr>
        <w:tblW w:w="8368" w:type="dxa"/>
        <w:tblInd w:w="567" w:type="dxa"/>
        <w:tblLayout w:type="fixed"/>
        <w:tblCellMar>
          <w:left w:w="85" w:type="dxa"/>
          <w:right w:w="85" w:type="dxa"/>
        </w:tblCellMar>
        <w:tblLook w:val="04A0" w:firstRow="1" w:lastRow="0" w:firstColumn="1" w:lastColumn="0" w:noHBand="0" w:noVBand="1"/>
      </w:tblPr>
      <w:tblGrid>
        <w:gridCol w:w="2126"/>
        <w:gridCol w:w="1059"/>
        <w:gridCol w:w="1351"/>
        <w:gridCol w:w="1126"/>
        <w:gridCol w:w="1400"/>
        <w:gridCol w:w="1306"/>
      </w:tblGrid>
      <w:tr w:rsidR="00F226FB" w:rsidRPr="008D0F03" w14:paraId="5730B74B" w14:textId="77777777" w:rsidTr="007150A8">
        <w:trPr>
          <w:tblHeader/>
        </w:trPr>
        <w:tc>
          <w:tcPr>
            <w:tcW w:w="2126" w:type="dxa"/>
            <w:vMerge w:val="restart"/>
            <w:tcBorders>
              <w:top w:val="single" w:sz="6" w:space="0" w:color="auto"/>
              <w:bottom w:val="single" w:sz="4" w:space="0" w:color="auto"/>
            </w:tcBorders>
            <w:shd w:val="clear" w:color="auto" w:fill="auto"/>
            <w:vAlign w:val="bottom"/>
          </w:tcPr>
          <w:p w14:paraId="0F6B3AF0" w14:textId="77777777" w:rsidR="00F226FB" w:rsidRPr="00F149AE" w:rsidRDefault="00F226FB" w:rsidP="00165161">
            <w:pPr>
              <w:spacing w:before="80" w:after="80" w:line="200" w:lineRule="exact"/>
              <w:ind w:right="113"/>
              <w:rPr>
                <w:i/>
                <w:sz w:val="16"/>
                <w:lang w:eastAsia="ar-SA"/>
              </w:rPr>
            </w:pPr>
          </w:p>
        </w:tc>
        <w:tc>
          <w:tcPr>
            <w:tcW w:w="1059" w:type="dxa"/>
            <w:tcBorders>
              <w:top w:val="single" w:sz="6" w:space="0" w:color="auto"/>
              <w:left w:val="nil"/>
            </w:tcBorders>
          </w:tcPr>
          <w:p w14:paraId="1FC0C85B" w14:textId="77777777" w:rsidR="00F226FB" w:rsidRPr="00F149AE" w:rsidRDefault="00F226FB" w:rsidP="00165161">
            <w:pPr>
              <w:spacing w:before="80" w:after="80" w:line="200" w:lineRule="exact"/>
              <w:ind w:right="113"/>
              <w:rPr>
                <w:i/>
                <w:sz w:val="16"/>
                <w:lang w:eastAsia="ar-SA"/>
              </w:rPr>
            </w:pPr>
          </w:p>
        </w:tc>
        <w:tc>
          <w:tcPr>
            <w:tcW w:w="5183" w:type="dxa"/>
            <w:gridSpan w:val="4"/>
            <w:tcBorders>
              <w:top w:val="single" w:sz="6" w:space="0" w:color="auto"/>
              <w:bottom w:val="single" w:sz="12" w:space="0" w:color="auto"/>
            </w:tcBorders>
          </w:tcPr>
          <w:p w14:paraId="41D30341" w14:textId="77777777" w:rsidR="00F226FB" w:rsidRPr="00F149AE" w:rsidRDefault="00F226FB" w:rsidP="000A335F">
            <w:pPr>
              <w:spacing w:before="80" w:after="80" w:line="200" w:lineRule="exact"/>
              <w:ind w:right="113"/>
              <w:jc w:val="center"/>
              <w:rPr>
                <w:i/>
                <w:sz w:val="16"/>
              </w:rPr>
            </w:pPr>
            <w:r w:rsidRPr="000A335F">
              <w:rPr>
                <w:i/>
                <w:iCs/>
                <w:sz w:val="16"/>
                <w:szCs w:val="16"/>
                <w:lang w:val="fr-FR"/>
              </w:rPr>
              <w:t>Volume minimal (m3) de visibilité directe</w:t>
            </w:r>
          </w:p>
        </w:tc>
      </w:tr>
      <w:tr w:rsidR="00F226FB" w:rsidRPr="008D0F03" w14:paraId="3EFAD586" w14:textId="77777777" w:rsidTr="007150A8">
        <w:trPr>
          <w:gridAfter w:val="2"/>
          <w:wAfter w:w="2706" w:type="dxa"/>
          <w:trHeight w:hRule="exact" w:val="113"/>
          <w:tblHeader/>
        </w:trPr>
        <w:tc>
          <w:tcPr>
            <w:tcW w:w="2126" w:type="dxa"/>
            <w:vMerge/>
            <w:tcBorders>
              <w:top w:val="single" w:sz="12" w:space="0" w:color="auto"/>
              <w:bottom w:val="single" w:sz="4" w:space="0" w:color="auto"/>
            </w:tcBorders>
            <w:shd w:val="clear" w:color="auto" w:fill="auto"/>
          </w:tcPr>
          <w:p w14:paraId="02F49A8E" w14:textId="77777777" w:rsidR="00F226FB" w:rsidRPr="00F149AE" w:rsidRDefault="00F226FB" w:rsidP="00165161">
            <w:pPr>
              <w:spacing w:before="40" w:after="120"/>
              <w:ind w:right="113"/>
              <w:rPr>
                <w:lang w:eastAsia="ar-SA"/>
              </w:rPr>
            </w:pPr>
          </w:p>
        </w:tc>
        <w:tc>
          <w:tcPr>
            <w:tcW w:w="1059" w:type="dxa"/>
            <w:tcBorders>
              <w:left w:val="nil"/>
            </w:tcBorders>
          </w:tcPr>
          <w:p w14:paraId="7CD9F90C" w14:textId="77777777" w:rsidR="00F226FB" w:rsidRPr="00F149AE" w:rsidRDefault="00F226FB" w:rsidP="00165161">
            <w:pPr>
              <w:spacing w:before="40" w:after="120"/>
              <w:ind w:right="113"/>
              <w:rPr>
                <w:lang w:eastAsia="ar-SA"/>
              </w:rPr>
            </w:pPr>
          </w:p>
        </w:tc>
        <w:tc>
          <w:tcPr>
            <w:tcW w:w="1351" w:type="dxa"/>
            <w:tcBorders>
              <w:top w:val="single" w:sz="12" w:space="0" w:color="auto"/>
            </w:tcBorders>
            <w:shd w:val="clear" w:color="auto" w:fill="auto"/>
          </w:tcPr>
          <w:p w14:paraId="51343BCB" w14:textId="77777777" w:rsidR="00F226FB" w:rsidRPr="00F149AE" w:rsidRDefault="00F226FB" w:rsidP="00165161">
            <w:pPr>
              <w:spacing w:before="40" w:after="120"/>
              <w:ind w:right="113"/>
              <w:rPr>
                <w:lang w:eastAsia="ar-SA"/>
              </w:rPr>
            </w:pPr>
          </w:p>
        </w:tc>
        <w:tc>
          <w:tcPr>
            <w:tcW w:w="1126" w:type="dxa"/>
            <w:tcBorders>
              <w:top w:val="single" w:sz="12" w:space="0" w:color="auto"/>
            </w:tcBorders>
          </w:tcPr>
          <w:p w14:paraId="5BE6C405" w14:textId="77777777" w:rsidR="00F226FB" w:rsidRPr="00F149AE" w:rsidRDefault="00F226FB" w:rsidP="00165161">
            <w:pPr>
              <w:spacing w:before="40" w:after="120"/>
              <w:ind w:right="113"/>
              <w:rPr>
                <w:lang w:eastAsia="ar-SA"/>
              </w:rPr>
            </w:pPr>
          </w:p>
        </w:tc>
      </w:tr>
      <w:tr w:rsidR="00F226FB" w:rsidRPr="00196902" w14:paraId="6F6AB10E" w14:textId="77777777" w:rsidTr="007150A8">
        <w:trPr>
          <w:tblHeader/>
        </w:trPr>
        <w:tc>
          <w:tcPr>
            <w:tcW w:w="2126" w:type="dxa"/>
            <w:vMerge/>
            <w:tcBorders>
              <w:bottom w:val="single" w:sz="4" w:space="0" w:color="auto"/>
            </w:tcBorders>
            <w:shd w:val="clear" w:color="auto" w:fill="auto"/>
          </w:tcPr>
          <w:p w14:paraId="37DE4A20" w14:textId="77777777" w:rsidR="00F226FB" w:rsidRPr="00F149AE" w:rsidRDefault="00F226FB" w:rsidP="00165161">
            <w:pPr>
              <w:spacing w:before="40" w:after="120"/>
              <w:ind w:right="113"/>
              <w:rPr>
                <w:lang w:eastAsia="ar-SA"/>
              </w:rPr>
            </w:pPr>
          </w:p>
        </w:tc>
        <w:tc>
          <w:tcPr>
            <w:tcW w:w="1059" w:type="dxa"/>
            <w:tcBorders>
              <w:left w:val="nil"/>
              <w:bottom w:val="single" w:sz="4" w:space="0" w:color="auto"/>
              <w:right w:val="single" w:sz="4" w:space="0" w:color="auto"/>
            </w:tcBorders>
          </w:tcPr>
          <w:p w14:paraId="65CE7C4C" w14:textId="77777777" w:rsidR="00F226FB" w:rsidRPr="007150A8" w:rsidRDefault="00F226FB" w:rsidP="007150A8">
            <w:pPr>
              <w:spacing w:before="40" w:after="120" w:line="220" w:lineRule="atLeast"/>
              <w:jc w:val="center"/>
              <w:rPr>
                <w:sz w:val="18"/>
                <w:szCs w:val="18"/>
                <w:lang w:eastAsia="ar-SA"/>
              </w:rPr>
            </w:pPr>
          </w:p>
        </w:tc>
        <w:tc>
          <w:tcPr>
            <w:tcW w:w="1351" w:type="dxa"/>
            <w:tcBorders>
              <w:left w:val="single" w:sz="4" w:space="0" w:color="auto"/>
              <w:bottom w:val="single" w:sz="4" w:space="0" w:color="auto"/>
              <w:right w:val="single" w:sz="4" w:space="0" w:color="auto"/>
            </w:tcBorders>
            <w:shd w:val="clear" w:color="auto" w:fill="auto"/>
          </w:tcPr>
          <w:p w14:paraId="3D83652C" w14:textId="77777777" w:rsidR="00F226FB" w:rsidRPr="007150A8" w:rsidRDefault="00F226FB" w:rsidP="007150A8">
            <w:pPr>
              <w:spacing w:before="40" w:after="120" w:line="220" w:lineRule="atLeast"/>
              <w:jc w:val="center"/>
              <w:rPr>
                <w:sz w:val="18"/>
                <w:szCs w:val="18"/>
              </w:rPr>
            </w:pPr>
            <w:r w:rsidRPr="007150A8">
              <w:rPr>
                <w:sz w:val="18"/>
                <w:szCs w:val="18"/>
                <w:lang w:val="fr-FR"/>
              </w:rPr>
              <w:t>Niveau 1</w:t>
            </w:r>
          </w:p>
        </w:tc>
        <w:tc>
          <w:tcPr>
            <w:tcW w:w="1126" w:type="dxa"/>
            <w:tcBorders>
              <w:left w:val="single" w:sz="4" w:space="0" w:color="auto"/>
              <w:right w:val="single" w:sz="4" w:space="0" w:color="auto"/>
            </w:tcBorders>
          </w:tcPr>
          <w:p w14:paraId="74CD2299" w14:textId="77777777" w:rsidR="00F226FB" w:rsidRPr="007150A8" w:rsidRDefault="00F226FB" w:rsidP="007150A8">
            <w:pPr>
              <w:spacing w:before="40" w:after="120" w:line="220" w:lineRule="atLeast"/>
              <w:ind w:right="-5"/>
              <w:jc w:val="center"/>
              <w:rPr>
                <w:sz w:val="18"/>
                <w:szCs w:val="18"/>
                <w:lang w:eastAsia="ar-SA"/>
              </w:rPr>
            </w:pPr>
          </w:p>
        </w:tc>
        <w:tc>
          <w:tcPr>
            <w:tcW w:w="1400" w:type="dxa"/>
            <w:tcBorders>
              <w:left w:val="single" w:sz="4" w:space="0" w:color="auto"/>
              <w:bottom w:val="single" w:sz="4" w:space="0" w:color="auto"/>
              <w:right w:val="single" w:sz="4" w:space="0" w:color="auto"/>
            </w:tcBorders>
            <w:shd w:val="clear" w:color="auto" w:fill="auto"/>
          </w:tcPr>
          <w:p w14:paraId="7CB52AB5" w14:textId="77777777" w:rsidR="00F226FB" w:rsidRPr="007150A8" w:rsidRDefault="00F226FB" w:rsidP="007150A8">
            <w:pPr>
              <w:spacing w:before="40" w:after="120" w:line="220" w:lineRule="atLeast"/>
              <w:ind w:right="-5"/>
              <w:jc w:val="center"/>
              <w:rPr>
                <w:sz w:val="18"/>
                <w:szCs w:val="18"/>
              </w:rPr>
            </w:pPr>
            <w:r w:rsidRPr="007150A8">
              <w:rPr>
                <w:sz w:val="18"/>
                <w:szCs w:val="18"/>
                <w:lang w:val="fr-FR"/>
              </w:rPr>
              <w:t>Niveau 2</w:t>
            </w:r>
          </w:p>
        </w:tc>
        <w:tc>
          <w:tcPr>
            <w:tcW w:w="1306" w:type="dxa"/>
            <w:tcBorders>
              <w:left w:val="single" w:sz="4" w:space="0" w:color="auto"/>
              <w:bottom w:val="single" w:sz="4" w:space="0" w:color="auto"/>
            </w:tcBorders>
            <w:shd w:val="clear" w:color="auto" w:fill="auto"/>
          </w:tcPr>
          <w:p w14:paraId="4D346DF2"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Niveau 3</w:t>
            </w:r>
          </w:p>
        </w:tc>
      </w:tr>
      <w:tr w:rsidR="00F226FB" w:rsidRPr="00196902" w14:paraId="74AC0E2F" w14:textId="77777777" w:rsidTr="007150A8">
        <w:tc>
          <w:tcPr>
            <w:tcW w:w="3185" w:type="dxa"/>
            <w:gridSpan w:val="2"/>
            <w:tcBorders>
              <w:top w:val="single" w:sz="4" w:space="0" w:color="auto"/>
              <w:bottom w:val="single" w:sz="4" w:space="0" w:color="auto"/>
              <w:right w:val="single" w:sz="4" w:space="0" w:color="auto"/>
            </w:tcBorders>
            <w:shd w:val="clear" w:color="auto" w:fill="auto"/>
          </w:tcPr>
          <w:p w14:paraId="6B17659D" w14:textId="77777777" w:rsidR="00F226FB" w:rsidRPr="007150A8" w:rsidRDefault="00F226FB" w:rsidP="007150A8">
            <w:pPr>
              <w:spacing w:before="40" w:after="120" w:line="220" w:lineRule="atLeast"/>
              <w:rPr>
                <w:sz w:val="18"/>
                <w:szCs w:val="18"/>
              </w:rPr>
            </w:pPr>
            <w:r w:rsidRPr="007150A8">
              <w:rPr>
                <w:sz w:val="18"/>
                <w:szCs w:val="18"/>
                <w:lang w:val="fr-FR"/>
              </w:rPr>
              <w:t xml:space="preserve">Volume visible du côté passager </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BA217DD" w14:textId="77777777" w:rsidR="00F226FB" w:rsidRPr="007150A8" w:rsidRDefault="00F226FB" w:rsidP="007150A8">
            <w:pPr>
              <w:spacing w:before="40" w:after="120" w:line="220" w:lineRule="atLeast"/>
              <w:jc w:val="center"/>
              <w:rPr>
                <w:sz w:val="18"/>
                <w:szCs w:val="18"/>
              </w:rPr>
            </w:pPr>
            <w:r w:rsidRPr="007150A8">
              <w:rPr>
                <w:sz w:val="18"/>
                <w:szCs w:val="18"/>
                <w:lang w:val="fr-FR"/>
              </w:rPr>
              <w:t>3,4</w:t>
            </w:r>
          </w:p>
        </w:tc>
        <w:tc>
          <w:tcPr>
            <w:tcW w:w="1126" w:type="dxa"/>
            <w:tcBorders>
              <w:left w:val="single" w:sz="4" w:space="0" w:color="auto"/>
              <w:bottom w:val="single" w:sz="4" w:space="0" w:color="auto"/>
              <w:right w:val="single" w:sz="4" w:space="0" w:color="auto"/>
            </w:tcBorders>
          </w:tcPr>
          <w:p w14:paraId="147A85C7" w14:textId="77777777" w:rsidR="00F226FB" w:rsidRPr="007150A8" w:rsidRDefault="00F226FB" w:rsidP="007150A8">
            <w:pPr>
              <w:spacing w:before="40" w:after="120" w:line="220" w:lineRule="atLeast"/>
              <w:ind w:right="-5"/>
              <w:jc w:val="center"/>
              <w:rPr>
                <w:sz w:val="18"/>
                <w:szCs w:val="18"/>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B6AECF3" w14:textId="77777777" w:rsidR="00F226FB" w:rsidRPr="007150A8" w:rsidRDefault="00F226FB" w:rsidP="007150A8">
            <w:pPr>
              <w:spacing w:before="40" w:after="120" w:line="220" w:lineRule="atLeast"/>
              <w:ind w:right="-5"/>
              <w:jc w:val="center"/>
              <w:rPr>
                <w:sz w:val="18"/>
                <w:szCs w:val="18"/>
              </w:rPr>
            </w:pPr>
            <w:r w:rsidRPr="007150A8">
              <w:rPr>
                <w:sz w:val="18"/>
                <w:szCs w:val="18"/>
                <w:lang w:val="fr-FR"/>
              </w:rPr>
              <w:t>Non déterminé</w:t>
            </w:r>
          </w:p>
        </w:tc>
        <w:tc>
          <w:tcPr>
            <w:tcW w:w="1306" w:type="dxa"/>
            <w:tcBorders>
              <w:top w:val="single" w:sz="4" w:space="0" w:color="auto"/>
              <w:left w:val="single" w:sz="4" w:space="0" w:color="auto"/>
              <w:bottom w:val="single" w:sz="4" w:space="0" w:color="auto"/>
            </w:tcBorders>
            <w:shd w:val="clear" w:color="auto" w:fill="auto"/>
          </w:tcPr>
          <w:p w14:paraId="1010EEF6"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Non déterminé</w:t>
            </w:r>
          </w:p>
        </w:tc>
      </w:tr>
      <w:tr w:rsidR="00F226FB" w:rsidRPr="00196902" w14:paraId="08B00250" w14:textId="77777777" w:rsidTr="007150A8">
        <w:tc>
          <w:tcPr>
            <w:tcW w:w="2126" w:type="dxa"/>
            <w:tcBorders>
              <w:top w:val="single" w:sz="4" w:space="0" w:color="auto"/>
              <w:right w:val="single" w:sz="4" w:space="0" w:color="auto"/>
            </w:tcBorders>
            <w:shd w:val="clear" w:color="auto" w:fill="auto"/>
          </w:tcPr>
          <w:p w14:paraId="07A91178" w14:textId="77777777" w:rsidR="00F226FB" w:rsidRPr="00196902" w:rsidRDefault="00F226FB" w:rsidP="007150A8">
            <w:pPr>
              <w:spacing w:before="40" w:after="120"/>
              <w:ind w:right="113"/>
            </w:pPr>
            <w:r>
              <w:rPr>
                <w:lang w:val="fr-FR"/>
              </w:rPr>
              <w:t xml:space="preserve">Volume visible vers l’avant </w:t>
            </w:r>
          </w:p>
        </w:tc>
        <w:tc>
          <w:tcPr>
            <w:tcW w:w="1059" w:type="dxa"/>
            <w:tcBorders>
              <w:top w:val="single" w:sz="4" w:space="0" w:color="auto"/>
              <w:left w:val="single" w:sz="4" w:space="0" w:color="auto"/>
              <w:bottom w:val="single" w:sz="4" w:space="0" w:color="auto"/>
              <w:right w:val="single" w:sz="4" w:space="0" w:color="auto"/>
            </w:tcBorders>
          </w:tcPr>
          <w:p w14:paraId="7C0FEDC0" w14:textId="77777777" w:rsidR="00F226FB" w:rsidRPr="007150A8" w:rsidRDefault="00F226FB" w:rsidP="007150A8">
            <w:pPr>
              <w:spacing w:before="40" w:after="120" w:line="220" w:lineRule="atLeast"/>
              <w:ind w:right="113"/>
              <w:jc w:val="center"/>
              <w:rPr>
                <w:b/>
                <w:bCs/>
                <w:sz w:val="18"/>
                <w:szCs w:val="18"/>
              </w:rPr>
            </w:pPr>
            <w:r w:rsidRPr="007150A8">
              <w:rPr>
                <w:b/>
                <w:bCs/>
                <w:sz w:val="18"/>
                <w:szCs w:val="18"/>
                <w:lang w:val="fr-FR"/>
              </w:rPr>
              <w:t>DEMA ≥</w:t>
            </w:r>
          </w:p>
          <w:p w14:paraId="0A20D1B2" w14:textId="54791793" w:rsidR="00F226FB" w:rsidRPr="007150A8" w:rsidRDefault="00F226FB" w:rsidP="007150A8">
            <w:pPr>
              <w:spacing w:before="40" w:after="120" w:line="220" w:lineRule="atLeast"/>
              <w:jc w:val="center"/>
              <w:rPr>
                <w:b/>
                <w:bCs/>
                <w:sz w:val="18"/>
                <w:szCs w:val="18"/>
              </w:rPr>
            </w:pPr>
            <w:r w:rsidRPr="007150A8">
              <w:rPr>
                <w:b/>
                <w:bCs/>
                <w:sz w:val="18"/>
                <w:szCs w:val="18"/>
                <w:lang w:val="fr-FR"/>
              </w:rPr>
              <w:t>[2</w:t>
            </w:r>
            <w:r w:rsidR="007150A8">
              <w:rPr>
                <w:b/>
                <w:bCs/>
                <w:sz w:val="18"/>
                <w:szCs w:val="18"/>
                <w:lang w:val="fr-FR"/>
              </w:rPr>
              <w:t> </w:t>
            </w:r>
            <w:r w:rsidRPr="007150A8">
              <w:rPr>
                <w:b/>
                <w:bCs/>
                <w:sz w:val="18"/>
                <w:szCs w:val="18"/>
                <w:lang w:val="fr-FR"/>
              </w:rPr>
              <w:t>156</w:t>
            </w:r>
            <w:r w:rsidR="007150A8">
              <w:rPr>
                <w:b/>
                <w:bCs/>
                <w:sz w:val="18"/>
                <w:szCs w:val="18"/>
                <w:lang w:val="fr-FR"/>
              </w:rPr>
              <w:t> </w:t>
            </w:r>
            <w:r w:rsidRPr="007150A8">
              <w:rPr>
                <w:b/>
                <w:bCs/>
                <w:sz w:val="18"/>
                <w:szCs w:val="18"/>
                <w:lang w:val="fr-FR"/>
              </w:rPr>
              <w:t>mm]</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8193F5B"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1,8</w:t>
            </w:r>
          </w:p>
        </w:tc>
        <w:tc>
          <w:tcPr>
            <w:tcW w:w="1126" w:type="dxa"/>
            <w:tcBorders>
              <w:top w:val="single" w:sz="4" w:space="0" w:color="auto"/>
              <w:left w:val="single" w:sz="4" w:space="0" w:color="auto"/>
              <w:bottom w:val="single" w:sz="4" w:space="0" w:color="auto"/>
              <w:right w:val="single" w:sz="4" w:space="0" w:color="auto"/>
            </w:tcBorders>
          </w:tcPr>
          <w:p w14:paraId="6BA0478B" w14:textId="77777777" w:rsidR="00F226FB" w:rsidRPr="007150A8" w:rsidRDefault="00F226FB" w:rsidP="007150A8">
            <w:pPr>
              <w:spacing w:before="40" w:after="120" w:line="220" w:lineRule="atLeast"/>
              <w:ind w:right="-5"/>
              <w:jc w:val="center"/>
              <w:rPr>
                <w:b/>
                <w:bCs/>
                <w:sz w:val="18"/>
                <w:szCs w:val="18"/>
              </w:rPr>
            </w:pPr>
            <w:r w:rsidRPr="007150A8">
              <w:rPr>
                <w:b/>
                <w:bCs/>
                <w:sz w:val="18"/>
                <w:szCs w:val="18"/>
                <w:lang w:val="fr-FR"/>
              </w:rPr>
              <w:t>DEMA ≥</w:t>
            </w:r>
          </w:p>
          <w:p w14:paraId="7EE59641" w14:textId="1279AC8D" w:rsidR="00F226FB" w:rsidRPr="007150A8" w:rsidRDefault="00F226FB" w:rsidP="007150A8">
            <w:pPr>
              <w:spacing w:before="40" w:after="120" w:line="220" w:lineRule="atLeast"/>
              <w:ind w:right="-5"/>
              <w:jc w:val="center"/>
              <w:rPr>
                <w:sz w:val="18"/>
                <w:szCs w:val="18"/>
              </w:rPr>
            </w:pPr>
            <w:r w:rsidRPr="007150A8">
              <w:rPr>
                <w:b/>
                <w:bCs/>
                <w:sz w:val="18"/>
                <w:szCs w:val="18"/>
                <w:lang w:val="fr-FR"/>
              </w:rPr>
              <w:t>[2</w:t>
            </w:r>
            <w:r w:rsidR="000A335F" w:rsidRPr="007150A8">
              <w:rPr>
                <w:b/>
                <w:bCs/>
                <w:sz w:val="18"/>
                <w:szCs w:val="18"/>
                <w:lang w:val="fr-FR"/>
              </w:rPr>
              <w:t> </w:t>
            </w:r>
            <w:r w:rsidRPr="007150A8">
              <w:rPr>
                <w:b/>
                <w:bCs/>
                <w:sz w:val="18"/>
                <w:szCs w:val="18"/>
                <w:lang w:val="fr-FR"/>
              </w:rPr>
              <w:t>154 mm]</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8C23812" w14:textId="77777777" w:rsidR="00F226FB" w:rsidRPr="007150A8" w:rsidRDefault="00F226FB" w:rsidP="007150A8">
            <w:pPr>
              <w:spacing w:before="40" w:after="120" w:line="220" w:lineRule="atLeast"/>
              <w:ind w:right="-5"/>
              <w:jc w:val="center"/>
              <w:rPr>
                <w:sz w:val="18"/>
                <w:szCs w:val="18"/>
              </w:rPr>
            </w:pPr>
            <w:r w:rsidRPr="007150A8">
              <w:rPr>
                <w:sz w:val="18"/>
                <w:szCs w:val="18"/>
                <w:lang w:val="fr-FR"/>
              </w:rPr>
              <w:t>1,0</w:t>
            </w:r>
          </w:p>
        </w:tc>
        <w:tc>
          <w:tcPr>
            <w:tcW w:w="1306" w:type="dxa"/>
            <w:tcBorders>
              <w:top w:val="single" w:sz="4" w:space="0" w:color="auto"/>
              <w:left w:val="single" w:sz="4" w:space="0" w:color="auto"/>
              <w:bottom w:val="single" w:sz="4" w:space="0" w:color="auto"/>
            </w:tcBorders>
            <w:shd w:val="clear" w:color="auto" w:fill="auto"/>
          </w:tcPr>
          <w:p w14:paraId="5DEDD923"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1,0</w:t>
            </w:r>
          </w:p>
        </w:tc>
      </w:tr>
      <w:tr w:rsidR="00F226FB" w:rsidRPr="00196902" w14:paraId="1D129CCC" w14:textId="77777777" w:rsidTr="007150A8">
        <w:tc>
          <w:tcPr>
            <w:tcW w:w="2126" w:type="dxa"/>
            <w:tcBorders>
              <w:bottom w:val="single" w:sz="4" w:space="0" w:color="auto"/>
              <w:right w:val="single" w:sz="4" w:space="0" w:color="auto"/>
            </w:tcBorders>
            <w:shd w:val="clear" w:color="auto" w:fill="auto"/>
          </w:tcPr>
          <w:p w14:paraId="63556E6F" w14:textId="77777777" w:rsidR="00F226FB" w:rsidRPr="00196902" w:rsidRDefault="00F226FB" w:rsidP="007150A8">
            <w:pPr>
              <w:spacing w:before="40" w:after="120"/>
              <w:ind w:right="113"/>
              <w:rPr>
                <w:lang w:eastAsia="ar-SA"/>
              </w:rPr>
            </w:pPr>
          </w:p>
        </w:tc>
        <w:tc>
          <w:tcPr>
            <w:tcW w:w="1059" w:type="dxa"/>
            <w:tcBorders>
              <w:top w:val="single" w:sz="4" w:space="0" w:color="auto"/>
              <w:left w:val="single" w:sz="4" w:space="0" w:color="auto"/>
              <w:bottom w:val="single" w:sz="4" w:space="0" w:color="auto"/>
              <w:right w:val="single" w:sz="4" w:space="0" w:color="auto"/>
            </w:tcBorders>
          </w:tcPr>
          <w:p w14:paraId="5F7A7B14" w14:textId="77777777" w:rsidR="00F226FB" w:rsidRPr="007150A8" w:rsidRDefault="00F226FB" w:rsidP="007150A8">
            <w:pPr>
              <w:spacing w:before="40" w:after="120" w:line="220" w:lineRule="atLeast"/>
              <w:ind w:right="113"/>
              <w:jc w:val="center"/>
              <w:rPr>
                <w:b/>
                <w:bCs/>
                <w:sz w:val="18"/>
                <w:szCs w:val="18"/>
              </w:rPr>
            </w:pPr>
            <w:r w:rsidRPr="007150A8">
              <w:rPr>
                <w:b/>
                <w:bCs/>
                <w:sz w:val="18"/>
                <w:szCs w:val="18"/>
                <w:lang w:val="fr-FR"/>
              </w:rPr>
              <w:t>DEMA&lt;</w:t>
            </w:r>
          </w:p>
          <w:p w14:paraId="78D09789" w14:textId="1DE1B2D8" w:rsidR="00F226FB" w:rsidRPr="007150A8" w:rsidRDefault="00F226FB" w:rsidP="007150A8">
            <w:pPr>
              <w:spacing w:before="40" w:after="120" w:line="220" w:lineRule="atLeast"/>
              <w:ind w:right="-8"/>
              <w:jc w:val="center"/>
              <w:rPr>
                <w:sz w:val="18"/>
                <w:szCs w:val="18"/>
              </w:rPr>
            </w:pPr>
            <w:r w:rsidRPr="007150A8">
              <w:rPr>
                <w:b/>
                <w:bCs/>
                <w:sz w:val="18"/>
                <w:szCs w:val="18"/>
                <w:lang w:val="fr-FR"/>
              </w:rPr>
              <w:t>[2</w:t>
            </w:r>
            <w:r w:rsidR="000A335F" w:rsidRPr="007150A8">
              <w:rPr>
                <w:b/>
                <w:bCs/>
                <w:sz w:val="18"/>
                <w:szCs w:val="18"/>
                <w:lang w:val="fr-FR"/>
              </w:rPr>
              <w:t> </w:t>
            </w:r>
            <w:r w:rsidRPr="007150A8">
              <w:rPr>
                <w:b/>
                <w:bCs/>
                <w:sz w:val="18"/>
                <w:szCs w:val="18"/>
                <w:lang w:val="fr-FR"/>
              </w:rPr>
              <w:t>156 mm]</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5526AD6" w14:textId="77777777" w:rsidR="00F226FB" w:rsidRPr="007150A8" w:rsidRDefault="00F226FB" w:rsidP="007150A8">
            <w:pPr>
              <w:spacing w:before="40" w:after="120" w:line="220" w:lineRule="atLeast"/>
              <w:ind w:right="-2"/>
              <w:jc w:val="center"/>
              <w:rPr>
                <w:b/>
                <w:bCs/>
                <w:sz w:val="18"/>
                <w:szCs w:val="18"/>
              </w:rPr>
            </w:pPr>
            <w:r w:rsidRPr="007150A8">
              <w:rPr>
                <w:b/>
                <w:bCs/>
                <w:sz w:val="18"/>
                <w:szCs w:val="18"/>
                <w:lang w:val="fr-FR"/>
              </w:rPr>
              <w:t>Voir par. 5.3</w:t>
            </w:r>
          </w:p>
        </w:tc>
        <w:tc>
          <w:tcPr>
            <w:tcW w:w="1126" w:type="dxa"/>
            <w:tcBorders>
              <w:top w:val="single" w:sz="4" w:space="0" w:color="auto"/>
              <w:left w:val="single" w:sz="4" w:space="0" w:color="auto"/>
              <w:bottom w:val="single" w:sz="4" w:space="0" w:color="auto"/>
              <w:right w:val="single" w:sz="4" w:space="0" w:color="auto"/>
            </w:tcBorders>
          </w:tcPr>
          <w:p w14:paraId="75D98E8C" w14:textId="77777777" w:rsidR="00F226FB" w:rsidRPr="007150A8" w:rsidRDefault="00F226FB" w:rsidP="007150A8">
            <w:pPr>
              <w:spacing w:before="40" w:after="120" w:line="220" w:lineRule="atLeast"/>
              <w:ind w:right="-5"/>
              <w:jc w:val="center"/>
              <w:rPr>
                <w:b/>
                <w:bCs/>
                <w:sz w:val="18"/>
                <w:szCs w:val="18"/>
              </w:rPr>
            </w:pPr>
            <w:r w:rsidRPr="007150A8">
              <w:rPr>
                <w:b/>
                <w:bCs/>
                <w:sz w:val="18"/>
                <w:szCs w:val="18"/>
                <w:lang w:val="fr-FR"/>
              </w:rPr>
              <w:t>DEMA&lt;</w:t>
            </w:r>
          </w:p>
          <w:p w14:paraId="363E85F9" w14:textId="14976C55" w:rsidR="00F226FB" w:rsidRPr="007150A8" w:rsidRDefault="00F226FB" w:rsidP="007150A8">
            <w:pPr>
              <w:spacing w:before="40" w:after="120" w:line="220" w:lineRule="atLeast"/>
              <w:ind w:right="-5"/>
              <w:jc w:val="center"/>
              <w:rPr>
                <w:b/>
                <w:bCs/>
                <w:sz w:val="18"/>
                <w:szCs w:val="18"/>
              </w:rPr>
            </w:pPr>
            <w:r w:rsidRPr="007150A8">
              <w:rPr>
                <w:b/>
                <w:bCs/>
                <w:sz w:val="18"/>
                <w:szCs w:val="18"/>
                <w:lang w:val="fr-FR"/>
              </w:rPr>
              <w:t>[2</w:t>
            </w:r>
            <w:r w:rsidR="000A335F" w:rsidRPr="007150A8">
              <w:rPr>
                <w:b/>
                <w:bCs/>
                <w:sz w:val="18"/>
                <w:szCs w:val="18"/>
                <w:lang w:val="fr-FR"/>
              </w:rPr>
              <w:t> </w:t>
            </w:r>
            <w:r w:rsidRPr="007150A8">
              <w:rPr>
                <w:b/>
                <w:bCs/>
                <w:sz w:val="18"/>
                <w:szCs w:val="18"/>
                <w:lang w:val="fr-FR"/>
              </w:rPr>
              <w:t>154 mm]</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7A677B4" w14:textId="0A1B5B53" w:rsidR="00F226FB" w:rsidRPr="007150A8" w:rsidRDefault="00F226FB" w:rsidP="007150A8">
            <w:pPr>
              <w:spacing w:before="40" w:after="120" w:line="220" w:lineRule="atLeast"/>
              <w:ind w:right="-5"/>
              <w:jc w:val="center"/>
              <w:rPr>
                <w:sz w:val="18"/>
                <w:szCs w:val="18"/>
              </w:rPr>
            </w:pPr>
            <w:r w:rsidRPr="007150A8">
              <w:rPr>
                <w:b/>
                <w:bCs/>
                <w:sz w:val="18"/>
                <w:szCs w:val="18"/>
                <w:lang w:val="fr-FR"/>
              </w:rPr>
              <w:t>Voir par.</w:t>
            </w:r>
            <w:r w:rsidR="007150A8">
              <w:rPr>
                <w:b/>
                <w:bCs/>
                <w:sz w:val="18"/>
                <w:szCs w:val="18"/>
                <w:lang w:val="fr-FR"/>
              </w:rPr>
              <w:t> </w:t>
            </w:r>
            <w:r w:rsidRPr="007150A8">
              <w:rPr>
                <w:b/>
                <w:bCs/>
                <w:sz w:val="18"/>
                <w:szCs w:val="18"/>
                <w:lang w:val="fr-FR"/>
              </w:rPr>
              <w:t>5.3</w:t>
            </w:r>
          </w:p>
        </w:tc>
        <w:tc>
          <w:tcPr>
            <w:tcW w:w="1306" w:type="dxa"/>
            <w:tcBorders>
              <w:top w:val="single" w:sz="4" w:space="0" w:color="auto"/>
              <w:left w:val="single" w:sz="4" w:space="0" w:color="auto"/>
              <w:bottom w:val="single" w:sz="4" w:space="0" w:color="auto"/>
            </w:tcBorders>
            <w:shd w:val="clear" w:color="auto" w:fill="auto"/>
          </w:tcPr>
          <w:p w14:paraId="684AEA7D" w14:textId="45191F67" w:rsidR="00F226FB" w:rsidRPr="007150A8" w:rsidRDefault="00F226FB" w:rsidP="007150A8">
            <w:pPr>
              <w:spacing w:before="40" w:after="120" w:line="220" w:lineRule="atLeast"/>
              <w:ind w:right="2"/>
              <w:jc w:val="center"/>
              <w:rPr>
                <w:sz w:val="18"/>
                <w:szCs w:val="18"/>
              </w:rPr>
            </w:pPr>
            <w:r w:rsidRPr="007150A8">
              <w:rPr>
                <w:b/>
                <w:bCs/>
                <w:sz w:val="18"/>
                <w:szCs w:val="18"/>
                <w:lang w:val="fr-FR"/>
              </w:rPr>
              <w:t>Voir par.</w:t>
            </w:r>
            <w:r w:rsidR="000A335F" w:rsidRPr="007150A8">
              <w:rPr>
                <w:b/>
                <w:bCs/>
                <w:sz w:val="18"/>
                <w:szCs w:val="18"/>
                <w:lang w:val="fr-FR"/>
              </w:rPr>
              <w:t> </w:t>
            </w:r>
            <w:r w:rsidRPr="007150A8">
              <w:rPr>
                <w:b/>
                <w:bCs/>
                <w:sz w:val="18"/>
                <w:szCs w:val="18"/>
                <w:lang w:val="fr-FR"/>
              </w:rPr>
              <w:t>5.3</w:t>
            </w:r>
          </w:p>
        </w:tc>
      </w:tr>
      <w:tr w:rsidR="00F226FB" w:rsidRPr="00196902" w14:paraId="4913A921" w14:textId="77777777" w:rsidTr="007150A8">
        <w:tc>
          <w:tcPr>
            <w:tcW w:w="3185" w:type="dxa"/>
            <w:gridSpan w:val="2"/>
            <w:tcBorders>
              <w:top w:val="single" w:sz="4" w:space="0" w:color="auto"/>
              <w:bottom w:val="single" w:sz="4" w:space="0" w:color="auto"/>
              <w:right w:val="single" w:sz="4" w:space="0" w:color="auto"/>
            </w:tcBorders>
            <w:shd w:val="clear" w:color="auto" w:fill="auto"/>
          </w:tcPr>
          <w:p w14:paraId="6E15FA59" w14:textId="77777777" w:rsidR="00F226FB" w:rsidRPr="007150A8" w:rsidRDefault="00F226FB" w:rsidP="007150A8">
            <w:pPr>
              <w:spacing w:before="40" w:after="120" w:line="220" w:lineRule="atLeast"/>
              <w:ind w:right="113"/>
              <w:rPr>
                <w:b/>
                <w:bCs/>
                <w:sz w:val="18"/>
                <w:szCs w:val="18"/>
              </w:rPr>
            </w:pPr>
            <w:r w:rsidRPr="007150A8">
              <w:rPr>
                <w:b/>
                <w:bCs/>
                <w:sz w:val="18"/>
                <w:szCs w:val="18"/>
                <w:lang w:val="fr-FR"/>
              </w:rPr>
              <w:t>Volume partiel visible vers l’avant</w:t>
            </w:r>
          </w:p>
        </w:tc>
        <w:tc>
          <w:tcPr>
            <w:tcW w:w="1351" w:type="dxa"/>
            <w:tcBorders>
              <w:top w:val="single" w:sz="4" w:space="0" w:color="auto"/>
              <w:left w:val="single" w:sz="4" w:space="0" w:color="auto"/>
              <w:bottom w:val="single" w:sz="4" w:space="0" w:color="auto"/>
            </w:tcBorders>
            <w:shd w:val="clear" w:color="auto" w:fill="auto"/>
          </w:tcPr>
          <w:p w14:paraId="5C322A08" w14:textId="77777777" w:rsidR="00F226FB" w:rsidRPr="007150A8" w:rsidRDefault="00F226FB" w:rsidP="007150A8">
            <w:pPr>
              <w:spacing w:before="40" w:after="120" w:line="220" w:lineRule="atLeast"/>
              <w:jc w:val="center"/>
              <w:rPr>
                <w:b/>
                <w:bCs/>
                <w:sz w:val="18"/>
                <w:szCs w:val="18"/>
              </w:rPr>
            </w:pPr>
            <w:r w:rsidRPr="007150A8">
              <w:rPr>
                <w:b/>
                <w:bCs/>
                <w:sz w:val="18"/>
                <w:szCs w:val="18"/>
                <w:lang w:val="fr-FR"/>
              </w:rPr>
              <w:t>0,474</w:t>
            </w:r>
          </w:p>
        </w:tc>
        <w:tc>
          <w:tcPr>
            <w:tcW w:w="1126" w:type="dxa"/>
            <w:tcBorders>
              <w:top w:val="single" w:sz="4" w:space="0" w:color="auto"/>
              <w:left w:val="single" w:sz="4" w:space="0" w:color="auto"/>
            </w:tcBorders>
          </w:tcPr>
          <w:p w14:paraId="0B835EEF" w14:textId="77777777" w:rsidR="00F226FB" w:rsidRPr="007150A8" w:rsidRDefault="00F226FB" w:rsidP="007150A8">
            <w:pPr>
              <w:spacing w:before="40" w:after="120" w:line="220" w:lineRule="atLeast"/>
              <w:ind w:left="2" w:right="-5"/>
              <w:jc w:val="center"/>
              <w:rPr>
                <w:b/>
                <w:bCs/>
                <w:sz w:val="18"/>
                <w:szCs w:val="18"/>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9DDAB20" w14:textId="77777777" w:rsidR="00F226FB" w:rsidRPr="007150A8" w:rsidRDefault="00F226FB" w:rsidP="007150A8">
            <w:pPr>
              <w:spacing w:before="40" w:after="120" w:line="220" w:lineRule="atLeast"/>
              <w:ind w:left="2" w:right="-5"/>
              <w:jc w:val="center"/>
              <w:rPr>
                <w:b/>
                <w:bCs/>
                <w:sz w:val="18"/>
                <w:szCs w:val="18"/>
              </w:rPr>
            </w:pPr>
            <w:r w:rsidRPr="007150A8">
              <w:rPr>
                <w:b/>
                <w:bCs/>
                <w:sz w:val="18"/>
                <w:szCs w:val="18"/>
                <w:lang w:val="fr-FR"/>
              </w:rPr>
              <w:t>0,163</w:t>
            </w:r>
          </w:p>
        </w:tc>
        <w:tc>
          <w:tcPr>
            <w:tcW w:w="1306" w:type="dxa"/>
            <w:tcBorders>
              <w:top w:val="single" w:sz="4" w:space="0" w:color="auto"/>
              <w:left w:val="single" w:sz="4" w:space="0" w:color="auto"/>
              <w:bottom w:val="single" w:sz="4" w:space="0" w:color="auto"/>
            </w:tcBorders>
            <w:shd w:val="clear" w:color="auto" w:fill="auto"/>
          </w:tcPr>
          <w:p w14:paraId="57FABC39" w14:textId="77777777" w:rsidR="00F226FB" w:rsidRPr="007150A8" w:rsidRDefault="00F226FB" w:rsidP="007150A8">
            <w:pPr>
              <w:spacing w:before="40" w:after="120" w:line="220" w:lineRule="atLeast"/>
              <w:ind w:right="2"/>
              <w:jc w:val="center"/>
              <w:rPr>
                <w:b/>
                <w:bCs/>
                <w:sz w:val="18"/>
                <w:szCs w:val="18"/>
              </w:rPr>
            </w:pPr>
            <w:r w:rsidRPr="007150A8">
              <w:rPr>
                <w:b/>
                <w:bCs/>
                <w:sz w:val="18"/>
                <w:szCs w:val="18"/>
                <w:lang w:val="fr-FR"/>
              </w:rPr>
              <w:t>0,163</w:t>
            </w:r>
          </w:p>
        </w:tc>
      </w:tr>
      <w:tr w:rsidR="00F226FB" w:rsidRPr="00196902" w14:paraId="7DE6B69F" w14:textId="77777777" w:rsidTr="007150A8">
        <w:tc>
          <w:tcPr>
            <w:tcW w:w="3185" w:type="dxa"/>
            <w:gridSpan w:val="2"/>
            <w:tcBorders>
              <w:top w:val="single" w:sz="4" w:space="0" w:color="auto"/>
              <w:bottom w:val="single" w:sz="4" w:space="0" w:color="auto"/>
              <w:right w:val="single" w:sz="4" w:space="0" w:color="auto"/>
            </w:tcBorders>
            <w:shd w:val="clear" w:color="auto" w:fill="auto"/>
          </w:tcPr>
          <w:p w14:paraId="124C2956" w14:textId="77777777" w:rsidR="00F226FB" w:rsidRPr="007150A8" w:rsidRDefault="00F226FB" w:rsidP="007150A8">
            <w:pPr>
              <w:spacing w:before="40" w:after="120" w:line="220" w:lineRule="atLeast"/>
              <w:ind w:right="113"/>
              <w:rPr>
                <w:sz w:val="18"/>
                <w:szCs w:val="18"/>
              </w:rPr>
            </w:pPr>
            <w:r w:rsidRPr="007150A8">
              <w:rPr>
                <w:sz w:val="18"/>
                <w:szCs w:val="18"/>
                <w:lang w:val="fr-FR"/>
              </w:rPr>
              <w:t xml:space="preserve">Volume visible du côté conducteur </w:t>
            </w:r>
          </w:p>
        </w:tc>
        <w:tc>
          <w:tcPr>
            <w:tcW w:w="1351" w:type="dxa"/>
            <w:tcBorders>
              <w:top w:val="single" w:sz="4" w:space="0" w:color="auto"/>
              <w:left w:val="single" w:sz="4" w:space="0" w:color="auto"/>
              <w:bottom w:val="single" w:sz="4" w:space="0" w:color="auto"/>
            </w:tcBorders>
            <w:shd w:val="clear" w:color="auto" w:fill="auto"/>
          </w:tcPr>
          <w:p w14:paraId="0EDA93A0" w14:textId="77777777" w:rsidR="00F226FB" w:rsidRPr="007150A8" w:rsidRDefault="00F226FB" w:rsidP="007150A8">
            <w:pPr>
              <w:spacing w:before="40" w:after="120" w:line="220" w:lineRule="atLeast"/>
              <w:jc w:val="center"/>
              <w:rPr>
                <w:sz w:val="18"/>
                <w:szCs w:val="18"/>
              </w:rPr>
            </w:pPr>
            <w:r w:rsidRPr="007150A8">
              <w:rPr>
                <w:sz w:val="18"/>
                <w:szCs w:val="18"/>
                <w:lang w:val="fr-FR"/>
              </w:rPr>
              <w:t>2,8</w:t>
            </w:r>
          </w:p>
        </w:tc>
        <w:tc>
          <w:tcPr>
            <w:tcW w:w="1126" w:type="dxa"/>
            <w:tcBorders>
              <w:top w:val="single" w:sz="4" w:space="0" w:color="auto"/>
              <w:left w:val="single" w:sz="4" w:space="0" w:color="auto"/>
            </w:tcBorders>
          </w:tcPr>
          <w:p w14:paraId="725E0A42" w14:textId="77777777" w:rsidR="00F226FB" w:rsidRPr="007150A8" w:rsidRDefault="00F226FB" w:rsidP="007150A8">
            <w:pPr>
              <w:spacing w:before="40" w:after="120" w:line="220" w:lineRule="atLeast"/>
              <w:ind w:left="2" w:right="-5"/>
              <w:jc w:val="center"/>
              <w:rPr>
                <w:sz w:val="18"/>
                <w:szCs w:val="18"/>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CBC7B77" w14:textId="77777777" w:rsidR="00F226FB" w:rsidRPr="007150A8" w:rsidRDefault="00F226FB" w:rsidP="007150A8">
            <w:pPr>
              <w:spacing w:before="40" w:after="120" w:line="220" w:lineRule="atLeast"/>
              <w:ind w:left="2" w:right="-5"/>
              <w:jc w:val="center"/>
              <w:rPr>
                <w:sz w:val="18"/>
                <w:szCs w:val="18"/>
              </w:rPr>
            </w:pPr>
            <w:r w:rsidRPr="007150A8">
              <w:rPr>
                <w:sz w:val="18"/>
                <w:szCs w:val="18"/>
                <w:lang w:val="fr-FR"/>
              </w:rPr>
              <w:t>Non déterminé</w:t>
            </w:r>
          </w:p>
        </w:tc>
        <w:tc>
          <w:tcPr>
            <w:tcW w:w="1306" w:type="dxa"/>
            <w:tcBorders>
              <w:top w:val="single" w:sz="4" w:space="0" w:color="auto"/>
              <w:left w:val="single" w:sz="4" w:space="0" w:color="auto"/>
              <w:bottom w:val="single" w:sz="4" w:space="0" w:color="auto"/>
            </w:tcBorders>
            <w:shd w:val="clear" w:color="auto" w:fill="auto"/>
          </w:tcPr>
          <w:p w14:paraId="05D956E1"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Non déterminé</w:t>
            </w:r>
          </w:p>
        </w:tc>
      </w:tr>
      <w:tr w:rsidR="00F226FB" w:rsidRPr="00196902" w14:paraId="348C71A2" w14:textId="77777777" w:rsidTr="007150A8">
        <w:tc>
          <w:tcPr>
            <w:tcW w:w="3185" w:type="dxa"/>
            <w:gridSpan w:val="2"/>
            <w:tcBorders>
              <w:top w:val="single" w:sz="4" w:space="0" w:color="auto"/>
              <w:bottom w:val="single" w:sz="12" w:space="0" w:color="auto"/>
              <w:right w:val="single" w:sz="4" w:space="0" w:color="auto"/>
            </w:tcBorders>
            <w:shd w:val="clear" w:color="auto" w:fill="auto"/>
          </w:tcPr>
          <w:p w14:paraId="16F8FD81" w14:textId="77777777" w:rsidR="00F226FB" w:rsidRPr="007150A8" w:rsidRDefault="00F226FB" w:rsidP="007150A8">
            <w:pPr>
              <w:spacing w:before="40" w:after="120" w:line="220" w:lineRule="atLeast"/>
              <w:ind w:right="113"/>
              <w:rPr>
                <w:sz w:val="18"/>
                <w:szCs w:val="18"/>
              </w:rPr>
            </w:pPr>
            <w:r w:rsidRPr="007150A8">
              <w:rPr>
                <w:sz w:val="18"/>
                <w:szCs w:val="18"/>
                <w:lang w:val="fr-FR"/>
              </w:rPr>
              <w:t>Volume total visible</w:t>
            </w:r>
          </w:p>
        </w:tc>
        <w:tc>
          <w:tcPr>
            <w:tcW w:w="1351" w:type="dxa"/>
            <w:tcBorders>
              <w:top w:val="single" w:sz="4" w:space="0" w:color="auto"/>
              <w:left w:val="single" w:sz="4" w:space="0" w:color="auto"/>
              <w:bottom w:val="single" w:sz="12" w:space="0" w:color="auto"/>
            </w:tcBorders>
            <w:shd w:val="clear" w:color="auto" w:fill="auto"/>
          </w:tcPr>
          <w:p w14:paraId="69220E8F" w14:textId="77777777" w:rsidR="00F226FB" w:rsidRPr="007150A8" w:rsidRDefault="00F226FB" w:rsidP="007150A8">
            <w:pPr>
              <w:spacing w:before="40" w:after="120" w:line="220" w:lineRule="atLeast"/>
              <w:jc w:val="center"/>
              <w:rPr>
                <w:sz w:val="18"/>
                <w:szCs w:val="18"/>
              </w:rPr>
            </w:pPr>
            <w:r w:rsidRPr="007150A8">
              <w:rPr>
                <w:sz w:val="18"/>
                <w:szCs w:val="18"/>
                <w:lang w:val="fr-FR"/>
              </w:rPr>
              <w:t>11,2</w:t>
            </w:r>
          </w:p>
        </w:tc>
        <w:tc>
          <w:tcPr>
            <w:tcW w:w="1126" w:type="dxa"/>
            <w:tcBorders>
              <w:left w:val="single" w:sz="4" w:space="0" w:color="auto"/>
              <w:bottom w:val="single" w:sz="12" w:space="0" w:color="auto"/>
            </w:tcBorders>
          </w:tcPr>
          <w:p w14:paraId="5A9575D7" w14:textId="77777777" w:rsidR="00F226FB" w:rsidRPr="007150A8" w:rsidRDefault="00F226FB" w:rsidP="007150A8">
            <w:pPr>
              <w:spacing w:before="40" w:after="120" w:line="220" w:lineRule="atLeast"/>
              <w:ind w:right="-5"/>
              <w:jc w:val="center"/>
              <w:rPr>
                <w:sz w:val="18"/>
                <w:szCs w:val="18"/>
                <w:lang w:eastAsia="ar-SA"/>
              </w:rPr>
            </w:pPr>
          </w:p>
        </w:tc>
        <w:tc>
          <w:tcPr>
            <w:tcW w:w="1400" w:type="dxa"/>
            <w:tcBorders>
              <w:top w:val="single" w:sz="4" w:space="0" w:color="auto"/>
              <w:left w:val="single" w:sz="4" w:space="0" w:color="auto"/>
              <w:bottom w:val="single" w:sz="12" w:space="0" w:color="auto"/>
              <w:right w:val="single" w:sz="4" w:space="0" w:color="auto"/>
            </w:tcBorders>
            <w:shd w:val="clear" w:color="auto" w:fill="auto"/>
          </w:tcPr>
          <w:p w14:paraId="32D6968B" w14:textId="77777777" w:rsidR="00F226FB" w:rsidRPr="007150A8" w:rsidRDefault="00F226FB" w:rsidP="007150A8">
            <w:pPr>
              <w:spacing w:before="40" w:after="120" w:line="220" w:lineRule="atLeast"/>
              <w:ind w:right="-5"/>
              <w:jc w:val="center"/>
              <w:rPr>
                <w:sz w:val="18"/>
                <w:szCs w:val="18"/>
              </w:rPr>
            </w:pPr>
            <w:r w:rsidRPr="007150A8">
              <w:rPr>
                <w:sz w:val="18"/>
                <w:szCs w:val="18"/>
                <w:lang w:val="fr-FR"/>
              </w:rPr>
              <w:t>8,0</w:t>
            </w:r>
          </w:p>
        </w:tc>
        <w:tc>
          <w:tcPr>
            <w:tcW w:w="1306" w:type="dxa"/>
            <w:tcBorders>
              <w:top w:val="single" w:sz="4" w:space="0" w:color="auto"/>
              <w:left w:val="single" w:sz="4" w:space="0" w:color="auto"/>
              <w:bottom w:val="single" w:sz="12" w:space="0" w:color="auto"/>
            </w:tcBorders>
            <w:shd w:val="clear" w:color="auto" w:fill="auto"/>
          </w:tcPr>
          <w:p w14:paraId="6D5A1960" w14:textId="77777777" w:rsidR="00F226FB" w:rsidRPr="007150A8" w:rsidRDefault="00F226FB" w:rsidP="007150A8">
            <w:pPr>
              <w:spacing w:before="40" w:after="120" w:line="220" w:lineRule="atLeast"/>
              <w:ind w:right="2"/>
              <w:jc w:val="center"/>
              <w:rPr>
                <w:sz w:val="18"/>
                <w:szCs w:val="18"/>
              </w:rPr>
            </w:pPr>
            <w:r w:rsidRPr="007150A8">
              <w:rPr>
                <w:sz w:val="18"/>
                <w:szCs w:val="18"/>
                <w:lang w:val="fr-FR"/>
              </w:rPr>
              <w:t>7,0</w:t>
            </w:r>
          </w:p>
        </w:tc>
      </w:tr>
    </w:tbl>
    <w:p w14:paraId="0AF03423" w14:textId="24429F7E" w:rsidR="00F226FB" w:rsidRPr="00196902" w:rsidRDefault="00F226FB" w:rsidP="000A335F">
      <w:pPr>
        <w:pStyle w:val="SingleTxtG"/>
        <w:spacing w:before="120" w:after="240"/>
      </w:pPr>
      <w:r w:rsidRPr="00F149AE">
        <w:t>»</w:t>
      </w:r>
      <w:r>
        <w:t>.</w:t>
      </w:r>
    </w:p>
    <w:p w14:paraId="3C0CE5DA" w14:textId="07D88C41" w:rsidR="00F226FB" w:rsidRPr="00F149AE" w:rsidRDefault="00F226FB" w:rsidP="000A335F">
      <w:pPr>
        <w:pStyle w:val="SingleTxtG"/>
      </w:pPr>
      <w:r w:rsidRPr="000A335F">
        <w:rPr>
          <w:i/>
          <w:iCs/>
          <w:lang w:val="fr-FR"/>
        </w:rPr>
        <w:t>Ajouter les nouveaux paragraphes 12 à 12.5</w:t>
      </w:r>
      <w:r w:rsidRPr="008D0F03">
        <w:rPr>
          <w:lang w:val="fr-FR"/>
        </w:rPr>
        <w:t>, libellés</w:t>
      </w:r>
      <w:r>
        <w:rPr>
          <w:lang w:val="fr-FR"/>
        </w:rPr>
        <w:t xml:space="preserve"> comme suit</w:t>
      </w:r>
      <w:r w:rsidR="000A335F">
        <w:rPr>
          <w:lang w:val="fr-FR"/>
        </w:rPr>
        <w:t> </w:t>
      </w:r>
      <w:r>
        <w:rPr>
          <w:lang w:val="fr-FR"/>
        </w:rPr>
        <w:t>:</w:t>
      </w:r>
    </w:p>
    <w:p w14:paraId="55DAAC71" w14:textId="77777777" w:rsidR="00F226FB" w:rsidRPr="000A335F" w:rsidRDefault="00F226FB" w:rsidP="000A335F">
      <w:pPr>
        <w:pStyle w:val="SingleTxtG"/>
        <w:tabs>
          <w:tab w:val="left" w:pos="2268"/>
        </w:tabs>
        <w:rPr>
          <w:b/>
          <w:bCs/>
        </w:rPr>
      </w:pPr>
      <w:bookmarkStart w:id="1" w:name="_Toc381693782"/>
      <w:r>
        <w:rPr>
          <w:lang w:val="fr-FR"/>
        </w:rPr>
        <w:t>« </w:t>
      </w:r>
      <w:r w:rsidRPr="000A335F">
        <w:rPr>
          <w:b/>
          <w:bCs/>
          <w:lang w:val="fr-FR"/>
        </w:rPr>
        <w:t>12.</w:t>
      </w:r>
      <w:r>
        <w:rPr>
          <w:lang w:val="fr-FR"/>
        </w:rPr>
        <w:tab/>
      </w:r>
      <w:r w:rsidRPr="000A335F">
        <w:rPr>
          <w:b/>
          <w:bCs/>
          <w:lang w:val="fr-FR"/>
        </w:rPr>
        <w:tab/>
        <w:t>Dispositions transitoires</w:t>
      </w:r>
      <w:bookmarkEnd w:id="1"/>
    </w:p>
    <w:p w14:paraId="4116597F" w14:textId="02F88B62" w:rsidR="00F226FB" w:rsidRPr="00F149AE" w:rsidRDefault="00F226FB" w:rsidP="00D07DD8">
      <w:pPr>
        <w:pStyle w:val="SingleTxtG"/>
        <w:tabs>
          <w:tab w:val="left" w:pos="2268"/>
        </w:tabs>
        <w:ind w:left="2268" w:hanging="1134"/>
        <w:rPr>
          <w:b/>
          <w:bCs/>
        </w:rPr>
      </w:pPr>
      <w:r>
        <w:rPr>
          <w:b/>
          <w:bCs/>
          <w:lang w:val="fr-FR"/>
        </w:rPr>
        <w:t>12.1</w:t>
      </w:r>
      <w:r>
        <w:rPr>
          <w:lang w:val="fr-FR"/>
        </w:rPr>
        <w:tab/>
      </w:r>
      <w:r>
        <w:rPr>
          <w:b/>
          <w:bCs/>
          <w:lang w:val="fr-FR"/>
        </w:rPr>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14:paraId="11742CF0" w14:textId="36791DEF" w:rsidR="00F226FB" w:rsidRPr="00F149AE" w:rsidRDefault="00F226FB" w:rsidP="00D07DD8">
      <w:pPr>
        <w:pStyle w:val="SingleTxtG"/>
        <w:tabs>
          <w:tab w:val="left" w:pos="2268"/>
        </w:tabs>
        <w:ind w:left="2268" w:hanging="1134"/>
        <w:rPr>
          <w:b/>
          <w:bCs/>
        </w:rPr>
      </w:pPr>
      <w:r>
        <w:rPr>
          <w:b/>
          <w:bCs/>
          <w:lang w:val="fr-FR"/>
        </w:rPr>
        <w:t>12.2</w:t>
      </w:r>
      <w:r>
        <w:rPr>
          <w:lang w:val="fr-FR"/>
        </w:rPr>
        <w:tab/>
      </w:r>
      <w:r>
        <w:rPr>
          <w:b/>
          <w:bCs/>
          <w:lang w:val="fr-FR"/>
        </w:rPr>
        <w:t>À compter du 1</w:t>
      </w:r>
      <w:r w:rsidRPr="00B82C59">
        <w:rPr>
          <w:b/>
          <w:bCs/>
          <w:vertAlign w:val="superscript"/>
          <w:lang w:val="fr-FR"/>
        </w:rPr>
        <w:t>er</w:t>
      </w:r>
      <w:r w:rsidR="00D07DD8">
        <w:rPr>
          <w:b/>
          <w:bCs/>
          <w:lang w:val="fr-FR"/>
        </w:rPr>
        <w:t> </w:t>
      </w:r>
      <w:r>
        <w:rPr>
          <w:b/>
          <w:bCs/>
          <w:lang w:val="fr-FR"/>
        </w:rPr>
        <w:t>septembre 2028, les Parties contractantes appliquant le présent Règlement ne seront plus tenues d’accepter les homologations de type établies conformément à la précédente série d’amendements, délivrées pour la première fois après le 1</w:t>
      </w:r>
      <w:r w:rsidRPr="00E440AD">
        <w:rPr>
          <w:b/>
          <w:bCs/>
          <w:vertAlign w:val="superscript"/>
          <w:lang w:val="fr-FR"/>
        </w:rPr>
        <w:t>er</w:t>
      </w:r>
      <w:r w:rsidR="00D07DD8">
        <w:rPr>
          <w:b/>
          <w:bCs/>
          <w:lang w:val="fr-FR"/>
        </w:rPr>
        <w:t> </w:t>
      </w:r>
      <w:r>
        <w:rPr>
          <w:b/>
          <w:bCs/>
          <w:lang w:val="fr-FR"/>
        </w:rPr>
        <w:t>septembre 2028.</w:t>
      </w:r>
    </w:p>
    <w:p w14:paraId="30ECB7D3" w14:textId="1AA052BC" w:rsidR="00F226FB" w:rsidRPr="00F149AE" w:rsidRDefault="00F226FB" w:rsidP="00D07DD8">
      <w:pPr>
        <w:pStyle w:val="SingleTxtG"/>
        <w:tabs>
          <w:tab w:val="left" w:pos="2268"/>
        </w:tabs>
        <w:ind w:left="2268" w:hanging="1134"/>
        <w:rPr>
          <w:b/>
          <w:bCs/>
        </w:rPr>
      </w:pPr>
      <w:r>
        <w:rPr>
          <w:b/>
          <w:bCs/>
          <w:lang w:val="fr-FR"/>
        </w:rPr>
        <w:t>12.3</w:t>
      </w:r>
      <w:r>
        <w:rPr>
          <w:lang w:val="fr-FR"/>
        </w:rPr>
        <w:tab/>
      </w:r>
      <w:r>
        <w:rPr>
          <w:b/>
          <w:bCs/>
          <w:lang w:val="fr-FR"/>
        </w:rPr>
        <w:t>Jusqu’au 1</w:t>
      </w:r>
      <w:r w:rsidRPr="00D07DD8">
        <w:rPr>
          <w:b/>
          <w:bCs/>
          <w:vertAlign w:val="superscript"/>
          <w:lang w:val="fr-FR"/>
        </w:rPr>
        <w:t>er</w:t>
      </w:r>
      <w:r w:rsidR="00D07DD8">
        <w:rPr>
          <w:b/>
          <w:bCs/>
          <w:lang w:val="fr-FR"/>
        </w:rPr>
        <w:t> </w:t>
      </w:r>
      <w:r>
        <w:rPr>
          <w:b/>
          <w:bCs/>
          <w:lang w:val="fr-FR"/>
        </w:rPr>
        <w:t>septembre 2031, les Parties contractantes appliquant le présent Règlement seront tenues d’accepter les homologations de type établies conformément à la précédente série d’amendements, délivrées pour la première fois avant le 1</w:t>
      </w:r>
      <w:r w:rsidRPr="00E440AD">
        <w:rPr>
          <w:b/>
          <w:bCs/>
          <w:vertAlign w:val="superscript"/>
          <w:lang w:val="fr-FR"/>
        </w:rPr>
        <w:t>er</w:t>
      </w:r>
      <w:r w:rsidR="00D07DD8">
        <w:rPr>
          <w:b/>
          <w:bCs/>
          <w:lang w:val="fr-FR"/>
        </w:rPr>
        <w:t> </w:t>
      </w:r>
      <w:r>
        <w:rPr>
          <w:b/>
          <w:bCs/>
          <w:lang w:val="fr-FR"/>
        </w:rPr>
        <w:t>septembre</w:t>
      </w:r>
      <w:r w:rsidR="00D07DD8">
        <w:rPr>
          <w:b/>
          <w:bCs/>
          <w:lang w:val="fr-FR"/>
        </w:rPr>
        <w:t xml:space="preserve"> </w:t>
      </w:r>
      <w:r>
        <w:rPr>
          <w:b/>
          <w:bCs/>
          <w:lang w:val="fr-FR"/>
        </w:rPr>
        <w:t>2031.</w:t>
      </w:r>
    </w:p>
    <w:p w14:paraId="0454DBD1" w14:textId="1027FADD" w:rsidR="00F226FB" w:rsidRPr="00F149AE" w:rsidRDefault="00F226FB" w:rsidP="00D07DD8">
      <w:pPr>
        <w:pStyle w:val="SingleTxtG"/>
        <w:tabs>
          <w:tab w:val="left" w:pos="2268"/>
        </w:tabs>
        <w:ind w:left="2268" w:hanging="1134"/>
        <w:rPr>
          <w:b/>
          <w:bCs/>
        </w:rPr>
      </w:pPr>
      <w:r>
        <w:rPr>
          <w:b/>
          <w:bCs/>
          <w:lang w:val="fr-FR"/>
        </w:rPr>
        <w:t>12.4</w:t>
      </w:r>
      <w:r>
        <w:rPr>
          <w:lang w:val="fr-FR"/>
        </w:rPr>
        <w:tab/>
      </w:r>
      <w:r>
        <w:rPr>
          <w:b/>
          <w:bCs/>
          <w:lang w:val="fr-FR"/>
        </w:rPr>
        <w:t>À compter du 1</w:t>
      </w:r>
      <w:r w:rsidRPr="00B82C59">
        <w:rPr>
          <w:b/>
          <w:bCs/>
          <w:vertAlign w:val="superscript"/>
          <w:lang w:val="fr-FR"/>
        </w:rPr>
        <w:t>er</w:t>
      </w:r>
      <w:r w:rsidR="00D07DD8">
        <w:rPr>
          <w:b/>
          <w:bCs/>
          <w:lang w:val="fr-FR"/>
        </w:rPr>
        <w:t> </w:t>
      </w:r>
      <w:r>
        <w:rPr>
          <w:b/>
          <w:bCs/>
          <w:lang w:val="fr-FR"/>
        </w:rPr>
        <w:t>septembre 2028, les Parties contractantes appliquant le présent Règlement ne seront plus tenues d’accepter les homologations de type délivrées en vertu de la précédente série d’amendements audit Règlement.</w:t>
      </w:r>
    </w:p>
    <w:p w14:paraId="4681A350" w14:textId="702E52F2" w:rsidR="00F226FB" w:rsidRPr="00F149AE" w:rsidRDefault="00F226FB" w:rsidP="00D07DD8">
      <w:pPr>
        <w:pStyle w:val="SingleTxtG"/>
        <w:tabs>
          <w:tab w:val="left" w:pos="2268"/>
        </w:tabs>
        <w:ind w:left="2268" w:hanging="1134"/>
      </w:pPr>
      <w:r>
        <w:rPr>
          <w:b/>
          <w:bCs/>
          <w:lang w:val="fr-FR"/>
        </w:rPr>
        <w:t>12.5</w:t>
      </w:r>
      <w:r>
        <w:rPr>
          <w:lang w:val="fr-FR"/>
        </w:rPr>
        <w:tab/>
      </w:r>
      <w:r w:rsidRPr="00F149AE">
        <w:rPr>
          <w:b/>
          <w:bCs/>
          <w:lang w:val="fr-FR"/>
        </w:rPr>
        <w:t>Nonobstant les dispositions des paragraphe</w:t>
      </w:r>
      <w:r>
        <w:rPr>
          <w:b/>
          <w:bCs/>
          <w:lang w:val="fr-FR"/>
        </w:rPr>
        <w:t>s</w:t>
      </w:r>
      <w:r w:rsidR="00D07DD8">
        <w:rPr>
          <w:b/>
          <w:bCs/>
          <w:lang w:val="fr-FR"/>
        </w:rPr>
        <w:t> </w:t>
      </w:r>
      <w:r w:rsidRPr="00F149AE">
        <w:rPr>
          <w:b/>
          <w:bCs/>
          <w:lang w:val="fr-FR"/>
        </w:rPr>
        <w:t>12.2 et 12.4, les Parties contractantes appliquant le présent Règlement continueront de reconnaître les homologations de type délivrées au titre de la version originale du Règlement pour les véhicules non concernés par les modifications apportées par la série 01 d</w:t>
      </w:r>
      <w:r>
        <w:rPr>
          <w:b/>
          <w:bCs/>
          <w:lang w:val="fr-FR"/>
        </w:rPr>
        <w:t>’</w:t>
      </w:r>
      <w:r w:rsidRPr="00F149AE">
        <w:rPr>
          <w:b/>
          <w:bCs/>
          <w:lang w:val="fr-FR"/>
        </w:rPr>
        <w:t>amendements</w:t>
      </w:r>
      <w:r>
        <w:rPr>
          <w:lang w:val="fr-FR"/>
        </w:rPr>
        <w:t>. ».</w:t>
      </w:r>
    </w:p>
    <w:p w14:paraId="76630B5A" w14:textId="77777777" w:rsidR="00F226FB" w:rsidRPr="00F149AE" w:rsidRDefault="00F226FB" w:rsidP="00F226FB">
      <w:pPr>
        <w:pStyle w:val="SingleTxtG"/>
        <w:spacing w:before="120"/>
        <w:ind w:left="1138" w:right="1138"/>
        <w:rPr>
          <w:i/>
          <w:iCs/>
        </w:rPr>
      </w:pPr>
      <w:r w:rsidRPr="00F149AE">
        <w:rPr>
          <w:i/>
          <w:iCs/>
        </w:rPr>
        <w:br w:type="page"/>
      </w:r>
    </w:p>
    <w:p w14:paraId="50B76CFC" w14:textId="4D52DBEB" w:rsidR="00F226FB" w:rsidRPr="00F149AE" w:rsidRDefault="00F226FB" w:rsidP="00D07DD8">
      <w:pPr>
        <w:pStyle w:val="SingleTxtG"/>
      </w:pPr>
      <w:r>
        <w:rPr>
          <w:i/>
          <w:iCs/>
          <w:lang w:val="fr-FR"/>
        </w:rPr>
        <w:lastRenderedPageBreak/>
        <w:t>Annexe 3</w:t>
      </w:r>
      <w:r>
        <w:rPr>
          <w:lang w:val="fr-FR"/>
        </w:rPr>
        <w:t>, lire</w:t>
      </w:r>
      <w:r w:rsidR="00D07DD8">
        <w:rPr>
          <w:lang w:val="fr-FR"/>
        </w:rPr>
        <w:t> </w:t>
      </w:r>
      <w:r>
        <w:rPr>
          <w:lang w:val="fr-FR"/>
        </w:rPr>
        <w:t>:</w:t>
      </w:r>
    </w:p>
    <w:p w14:paraId="27DCF1F7" w14:textId="77777777" w:rsidR="00F226FB" w:rsidRPr="00F149AE" w:rsidRDefault="00F226FB" w:rsidP="00D07DD8">
      <w:pPr>
        <w:pStyle w:val="HChG"/>
      </w:pPr>
      <w:bookmarkStart w:id="2" w:name="_Toc354410601"/>
      <w:r w:rsidRPr="00D07DD8">
        <w:rPr>
          <w:b w:val="0"/>
          <w:bCs/>
          <w:lang w:val="fr-FR"/>
        </w:rPr>
        <w:t>« </w:t>
      </w:r>
      <w:r>
        <w:rPr>
          <w:lang w:val="fr-FR"/>
        </w:rPr>
        <w:t>Annexe 3</w:t>
      </w:r>
      <w:bookmarkEnd w:id="2"/>
    </w:p>
    <w:p w14:paraId="623B5237" w14:textId="682247F7" w:rsidR="00F226FB" w:rsidRPr="00F149AE" w:rsidRDefault="00F226FB" w:rsidP="00D07DD8">
      <w:pPr>
        <w:pStyle w:val="HChG"/>
        <w:rPr>
          <w:b w:val="0"/>
        </w:rPr>
      </w:pPr>
      <w:bookmarkStart w:id="3" w:name="_Toc108926533"/>
      <w:bookmarkStart w:id="4" w:name="_Toc354410602"/>
      <w:r>
        <w:rPr>
          <w:lang w:val="fr-FR"/>
        </w:rPr>
        <w:tab/>
      </w:r>
      <w:r w:rsidR="00D07DD8">
        <w:rPr>
          <w:lang w:val="fr-FR"/>
        </w:rPr>
        <w:tab/>
      </w:r>
      <w:r w:rsidR="00D07DD8">
        <w:rPr>
          <w:lang w:val="fr-FR"/>
        </w:rPr>
        <w:tab/>
      </w:r>
      <w:r>
        <w:rPr>
          <w:lang w:val="fr-FR"/>
        </w:rPr>
        <w:t>Exemples de marques d’homologation</w:t>
      </w:r>
      <w:bookmarkEnd w:id="3"/>
      <w:bookmarkEnd w:id="4"/>
    </w:p>
    <w:p w14:paraId="18CDFEBF" w14:textId="77777777" w:rsidR="00F226FB" w:rsidRDefault="00F226FB" w:rsidP="00D07DD8">
      <w:pPr>
        <w:pStyle w:val="SingleTxtG"/>
      </w:pPr>
      <w:r>
        <w:rPr>
          <w:lang w:val="fr-FR"/>
        </w:rPr>
        <w:t xml:space="preserve">(voir le paragraphe 4.5. du présent Règlement) </w:t>
      </w:r>
    </w:p>
    <w:p w14:paraId="2B0C8E8E" w14:textId="4339B5DC" w:rsidR="00F226FB" w:rsidRPr="00196902" w:rsidRDefault="00F226FB" w:rsidP="00F226FB">
      <w:pPr>
        <w:spacing w:after="120"/>
        <w:ind w:left="1134" w:right="1134"/>
        <w:jc w:val="both"/>
      </w:pPr>
      <w:r w:rsidRPr="00196902">
        <w:rPr>
          <w:noProof/>
        </w:rPr>
        <mc:AlternateContent>
          <mc:Choice Requires="wpg">
            <w:drawing>
              <wp:anchor distT="0" distB="0" distL="114300" distR="114300" simplePos="0" relativeHeight="251659264" behindDoc="0" locked="0" layoutInCell="1" allowOverlap="1" wp14:anchorId="7B03F360" wp14:editId="619CAE32">
                <wp:simplePos x="0" y="0"/>
                <wp:positionH relativeFrom="column">
                  <wp:posOffset>2175510</wp:posOffset>
                </wp:positionH>
                <wp:positionV relativeFrom="paragraph">
                  <wp:posOffset>311785</wp:posOffset>
                </wp:positionV>
                <wp:extent cx="1872615" cy="491490"/>
                <wp:effectExtent l="0" t="0" r="0" b="3810"/>
                <wp:wrapNone/>
                <wp:docPr id="91" name="Group 91"/>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04" name="Group 904"/>
                        <wpg:cNvGrpSpPr>
                          <a:grpSpLocks/>
                        </wpg:cNvGrpSpPr>
                        <wpg:grpSpPr bwMode="auto">
                          <a:xfrm>
                            <a:off x="609" y="0"/>
                            <a:ext cx="2340" cy="774"/>
                            <a:chOff x="609" y="0"/>
                            <a:chExt cx="2340" cy="774"/>
                          </a:xfrm>
                        </wpg:grpSpPr>
                        <wps:wsp>
                          <wps:cNvPr id="906" name="Text Box 20"/>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0374B" w14:textId="77777777" w:rsidR="00F226FB" w:rsidRDefault="00F226FB" w:rsidP="00F226FB"/>
                            </w:txbxContent>
                          </wps:txbx>
                          <wps:bodyPr rot="0" vert="horz" wrap="square" lIns="91440" tIns="45720" rIns="91440" bIns="45720" anchor="t" anchorCtr="0" upright="1">
                            <a:noAutofit/>
                          </wps:bodyPr>
                        </wps:wsp>
                        <wps:wsp>
                          <wps:cNvPr id="907" name="Text Box 21"/>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873E1" w14:textId="77777777" w:rsidR="00F226FB" w:rsidRDefault="00F226FB" w:rsidP="00F226FB">
                                <w:pPr>
                                  <w:rPr>
                                    <w:sz w:val="32"/>
                                  </w:rPr>
                                </w:pPr>
                                <w:r>
                                  <w:rPr>
                                    <w:lang w:val="fr-FR"/>
                                  </w:rPr>
                                  <w:t>167R - 01185</w:t>
                                </w:r>
                              </w:p>
                            </w:txbxContent>
                          </wps:txbx>
                          <wps:bodyPr rot="0" vert="horz" wrap="square" lIns="91440" tIns="45720" rIns="91440" bIns="45720" anchor="t" anchorCtr="0" upright="1">
                            <a:noAutofit/>
                          </wps:bodyPr>
                        </wps:wsp>
                      </wpg:grpSp>
                      <wps:wsp>
                        <wps:cNvPr id="905" name="Line 22"/>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3F360" id="Group 91" o:spid="_x0000_s1026" style="position:absolute;left:0;text-align:left;margin-left:171.3pt;margin-top:24.55pt;width:147.45pt;height:38.7pt;z-index:251659264"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">
                <v:group id="Group 904"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type id="_x0000_t202" coordsize="21600,21600" o:spt="202" path="m,l,21600r21600,l21600,xe">
                    <v:stroke joinstyle="miter"/>
                    <v:path gradientshapeok="t" o:connecttype="rect"/>
                  </v:shapetype>
                  <v:shape id="Text Box 20"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" filled="f" stroked="f">
                    <v:textbox>
                      <w:txbxContent>
                        <w:p w14:paraId="4090374B" w14:textId="77777777" w:rsidR="00F226FB" w:rsidRDefault="00F226FB" w:rsidP="00F226FB"/>
                      </w:txbxContent>
                    </v:textbox>
                  </v:shape>
                  <v:shape id="Text Box 21"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" stroked="f">
                    <v:textbox>
                      <w:txbxContent>
                        <w:p w14:paraId="3AC873E1" w14:textId="77777777" w:rsidR="00F226FB" w:rsidRDefault="00F226FB" w:rsidP="00F226FB">
                          <w:pPr>
                            <w:rPr>
                              <w:sz w:val="32"/>
                            </w:rPr>
                          </w:pPr>
                          <w:r>
                            <w:rPr>
                              <w:lang w:val="fr-FR"/>
                            </w:rPr>
                            <w:t>167R - 01185</w:t>
                          </w:r>
                        </w:p>
                      </w:txbxContent>
                    </v:textbox>
                  </v:shape>
                </v:group>
                <v:line id="Line 22"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group>
            </w:pict>
          </mc:Fallback>
        </mc:AlternateContent>
      </w:r>
      <w:r w:rsidRPr="00196902">
        <w:object w:dxaOrig="6300" w:dyaOrig="1335" w14:anchorId="0A46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7.15pt" o:ole="">
            <v:imagedata r:id="rId8" o:title=""/>
          </v:shape>
          <o:OLEObject Type="Embed" ProgID="Word.Picture.8" ShapeID="_x0000_i1025" DrawAspect="Content" ObjectID="_1769864672" r:id="rId9"/>
        </w:object>
      </w:r>
    </w:p>
    <w:p w14:paraId="1BC5A2F9" w14:textId="77777777" w:rsidR="00F226FB" w:rsidRPr="00F149AE" w:rsidRDefault="00F226FB" w:rsidP="00D07DD8">
      <w:pPr>
        <w:pStyle w:val="SingleTxtG"/>
        <w:ind w:left="1701"/>
      </w:pPr>
      <w:r>
        <w:rPr>
          <w:lang w:val="fr-FR"/>
        </w:rPr>
        <w:t>a = 8 mm min</w:t>
      </w:r>
    </w:p>
    <w:p w14:paraId="0809E594" w14:textId="5361B3D4" w:rsidR="00F226FB" w:rsidRPr="00F149AE" w:rsidRDefault="00F226FB" w:rsidP="00D07DD8">
      <w:pPr>
        <w:pStyle w:val="SingleTxtG"/>
        <w:ind w:firstLine="567"/>
        <w:rPr>
          <w:b/>
          <w:bCs/>
        </w:rPr>
      </w:pPr>
      <w:r>
        <w:rPr>
          <w:lang w:val="fr-FR"/>
        </w:rPr>
        <w:t xml:space="preserve">La marque d’homologation ci-dessus, apposée sur un véhicule, indique que le type de ce véhicule a été homologué en Belgique (E6) en ce qui concerne la vision directe, conformément au Règlement ONU </w:t>
      </w:r>
      <w:r w:rsidRPr="00E440AD">
        <w:rPr>
          <w:lang w:val="fr-FR"/>
        </w:rPr>
        <w:t>n</w:t>
      </w:r>
      <w:r w:rsidRPr="00E440AD">
        <w:rPr>
          <w:vertAlign w:val="superscript"/>
          <w:lang w:val="fr-FR"/>
        </w:rPr>
        <w:t>o</w:t>
      </w:r>
      <w:r w:rsidR="00D07DD8">
        <w:rPr>
          <w:lang w:val="fr-FR"/>
        </w:rPr>
        <w:t> </w:t>
      </w:r>
      <w:r>
        <w:rPr>
          <w:b/>
          <w:bCs/>
          <w:lang w:val="fr-FR"/>
        </w:rPr>
        <w:t>167.</w:t>
      </w:r>
      <w:r>
        <w:rPr>
          <w:lang w:val="fr-FR"/>
        </w:rPr>
        <w:t xml:space="preserve"> Les deux premiers chiffres du numéro d’homologation indiquent que l’homologation a été délivrée conformément aux prescriptions du Règlement ONU </w:t>
      </w:r>
      <w:r w:rsidRPr="00E440AD">
        <w:rPr>
          <w:lang w:val="fr-FR"/>
        </w:rPr>
        <w:t>n</w:t>
      </w:r>
      <w:r w:rsidRPr="00E440AD">
        <w:rPr>
          <w:vertAlign w:val="superscript"/>
          <w:lang w:val="fr-FR"/>
        </w:rPr>
        <w:t>o</w:t>
      </w:r>
      <w:r w:rsidR="00D07DD8">
        <w:rPr>
          <w:lang w:val="fr-FR"/>
        </w:rPr>
        <w:t> </w:t>
      </w:r>
      <w:r>
        <w:rPr>
          <w:b/>
          <w:bCs/>
          <w:lang w:val="fr-FR"/>
        </w:rPr>
        <w:t>167,</w:t>
      </w:r>
      <w:r>
        <w:rPr>
          <w:lang w:val="fr-FR"/>
        </w:rPr>
        <w:t xml:space="preserve"> </w:t>
      </w:r>
      <w:r>
        <w:rPr>
          <w:b/>
          <w:bCs/>
          <w:lang w:val="fr-FR"/>
        </w:rPr>
        <w:t>tel que modifié par la série 01 d’amendements.</w:t>
      </w:r>
    </w:p>
    <w:p w14:paraId="7EB91E4D" w14:textId="77777777" w:rsidR="00F226FB" w:rsidRPr="00F149AE" w:rsidRDefault="00F226FB" w:rsidP="00D07DD8">
      <w:pPr>
        <w:pStyle w:val="SingleTxtG"/>
      </w:pPr>
      <w:r>
        <w:rPr>
          <w:lang w:val="fr-FR"/>
        </w:rPr>
        <w:t>... ».</w:t>
      </w:r>
    </w:p>
    <w:p w14:paraId="1ECC7160" w14:textId="14BEB235" w:rsidR="00F226FB" w:rsidRDefault="00F226FB" w:rsidP="00D07DD8">
      <w:pPr>
        <w:pStyle w:val="SingleTxtG"/>
        <w:rPr>
          <w:lang w:val="fr-FR"/>
        </w:rPr>
      </w:pPr>
      <w:r w:rsidRPr="00D07DD8">
        <w:rPr>
          <w:i/>
          <w:iCs/>
          <w:lang w:val="fr-FR"/>
        </w:rPr>
        <w:t>Annexe 4, figure 1</w:t>
      </w:r>
      <w:r>
        <w:rPr>
          <w:lang w:val="fr-FR"/>
        </w:rPr>
        <w:t>, lire</w:t>
      </w:r>
      <w:r w:rsidR="00D07DD8">
        <w:rPr>
          <w:lang w:val="fr-FR"/>
        </w:rPr>
        <w:t> </w:t>
      </w:r>
      <w:r>
        <w:rPr>
          <w:lang w:val="fr-FR"/>
        </w:rPr>
        <w:t xml:space="preserve">: </w:t>
      </w:r>
    </w:p>
    <w:p w14:paraId="79ABB7B6" w14:textId="7717A896" w:rsidR="00CB1FD0" w:rsidRDefault="00CB1FD0" w:rsidP="00CB1FD0">
      <w:pPr>
        <w:pStyle w:val="SingleTxtG"/>
        <w:spacing w:before="120" w:after="0"/>
        <w:rPr>
          <w:lang w:val="fr-FR"/>
        </w:rPr>
      </w:pPr>
      <w:r>
        <w:rPr>
          <w:lang w:val="fr-FR"/>
        </w:rPr>
        <w:t>« </w:t>
      </w:r>
      <w:r w:rsidR="00F226FB">
        <w:rPr>
          <w:lang w:val="fr-FR"/>
        </w:rPr>
        <w:t>Figure 1</w:t>
      </w:r>
    </w:p>
    <w:p w14:paraId="24263E07" w14:textId="6D3A8921" w:rsidR="00F226FB" w:rsidRPr="00CB1FD0" w:rsidRDefault="00F226FB" w:rsidP="00CB1FD0">
      <w:pPr>
        <w:pStyle w:val="SingleTxtG"/>
        <w:rPr>
          <w:b/>
          <w:bCs/>
          <w:sz w:val="22"/>
          <w:szCs w:val="22"/>
        </w:rPr>
      </w:pPr>
      <w:r w:rsidRPr="00CB1FD0">
        <w:rPr>
          <w:b/>
          <w:bCs/>
          <w:lang w:val="fr-FR"/>
        </w:rPr>
        <w:t>Définition du volume d’évaluation (exemple d’un véhicule de catégorie N</w:t>
      </w:r>
      <w:r w:rsidRPr="00CB1FD0">
        <w:rPr>
          <w:b/>
          <w:bCs/>
          <w:vertAlign w:val="subscript"/>
          <w:lang w:val="fr-FR"/>
        </w:rPr>
        <w:t>3</w:t>
      </w:r>
      <w:r w:rsidRPr="00CB1FD0">
        <w:rPr>
          <w:b/>
          <w:bCs/>
          <w:lang w:val="fr-FR"/>
        </w:rPr>
        <w:t>)</w:t>
      </w:r>
      <w:bookmarkStart w:id="5" w:name="_Ref76042231"/>
      <w:bookmarkEnd w:id="5"/>
    </w:p>
    <w:p w14:paraId="6A265753" w14:textId="4CE733DD" w:rsidR="00F226FB" w:rsidRDefault="00CB1FD0" w:rsidP="00F226FB">
      <w:pPr>
        <w:keepNext/>
        <w:keepLines/>
        <w:tabs>
          <w:tab w:val="right" w:pos="851"/>
          <w:tab w:val="left" w:pos="1134"/>
          <w:tab w:val="left" w:pos="1559"/>
          <w:tab w:val="left" w:pos="1984"/>
          <w:tab w:val="left" w:leader="dot" w:pos="8929"/>
          <w:tab w:val="right" w:pos="9638"/>
        </w:tabs>
        <w:spacing w:after="120"/>
        <w:ind w:left="709"/>
      </w:pPr>
      <w:r>
        <w:rPr>
          <w:noProof/>
        </w:rPr>
        <mc:AlternateContent>
          <mc:Choice Requires="wps">
            <w:drawing>
              <wp:anchor distT="0" distB="0" distL="114300" distR="114300" simplePos="0" relativeHeight="251660288" behindDoc="0" locked="0" layoutInCell="1" allowOverlap="1" wp14:anchorId="5CBD95E7" wp14:editId="4BE6B353">
                <wp:simplePos x="0" y="0"/>
                <wp:positionH relativeFrom="column">
                  <wp:posOffset>3413760</wp:posOffset>
                </wp:positionH>
                <wp:positionV relativeFrom="paragraph">
                  <wp:posOffset>3062500</wp:posOffset>
                </wp:positionV>
                <wp:extent cx="729276" cy="246832"/>
                <wp:effectExtent l="0" t="0" r="0" b="1270"/>
                <wp:wrapNone/>
                <wp:docPr id="1072162978" name="Zone de texte 1"/>
                <wp:cNvGraphicFramePr/>
                <a:graphic xmlns:a="http://schemas.openxmlformats.org/drawingml/2006/main">
                  <a:graphicData uri="http://schemas.microsoft.com/office/word/2010/wordprocessingShape">
                    <wps:wsp>
                      <wps:cNvSpPr txBox="1"/>
                      <wps:spPr>
                        <a:xfrm>
                          <a:off x="0" y="0"/>
                          <a:ext cx="729276" cy="246832"/>
                        </a:xfrm>
                        <a:prstGeom prst="rect">
                          <a:avLst/>
                        </a:prstGeom>
                        <a:solidFill>
                          <a:schemeClr val="lt1"/>
                        </a:solidFill>
                        <a:ln w="6350">
                          <a:noFill/>
                        </a:ln>
                      </wps:spPr>
                      <wps:txbx>
                        <w:txbxContent>
                          <w:p w14:paraId="4B463E49" w14:textId="4203F8F7" w:rsidR="00CB1FD0" w:rsidRPr="00CB1FD0" w:rsidRDefault="00CB1FD0" w:rsidP="00CB1FD0">
                            <w:pPr>
                              <w:spacing w:line="180" w:lineRule="atLeast"/>
                              <w:rPr>
                                <w:sz w:val="18"/>
                                <w:szCs w:val="18"/>
                              </w:rPr>
                            </w:pPr>
                            <w:r>
                              <w:rPr>
                                <w:sz w:val="18"/>
                                <w:szCs w:val="18"/>
                              </w:rPr>
                              <w:t>Plan du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95E7" id="Zone de texte 1" o:spid="_x0000_s1031" type="#_x0000_t202" style="position:absolute;left:0;text-align:left;margin-left:268.8pt;margin-top:241.15pt;width:57.4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" fillcolor="white [3201]" stroked="f" strokeweight=".5pt">
                <v:textbox>
                  <w:txbxContent>
                    <w:p w14:paraId="4B463E49" w14:textId="4203F8F7" w:rsidR="00CB1FD0" w:rsidRPr="00CB1FD0" w:rsidRDefault="00CB1FD0" w:rsidP="00CB1FD0">
                      <w:pPr>
                        <w:spacing w:line="180" w:lineRule="atLeast"/>
                        <w:rPr>
                          <w:sz w:val="18"/>
                          <w:szCs w:val="18"/>
                        </w:rPr>
                      </w:pPr>
                      <w:r>
                        <w:rPr>
                          <w:sz w:val="18"/>
                          <w:szCs w:val="18"/>
                        </w:rPr>
                        <w:t>Plan du sol</w:t>
                      </w:r>
                    </w:p>
                  </w:txbxContent>
                </v:textbox>
              </v:shape>
            </w:pict>
          </mc:Fallback>
        </mc:AlternateContent>
      </w:r>
      <w:r w:rsidR="00F226FB" w:rsidRPr="00F149AE">
        <w:t xml:space="preserve"> </w:t>
      </w:r>
      <w:r w:rsidR="00F226FB" w:rsidRPr="00196902">
        <w:rPr>
          <w:noProof/>
        </w:rPr>
        <w:drawing>
          <wp:inline distT="0" distB="0" distL="0" distR="0" wp14:anchorId="52D3ABF9" wp14:editId="1D795A4F">
            <wp:extent cx="4019490" cy="3346450"/>
            <wp:effectExtent l="0" t="0" r="635" b="6350"/>
            <wp:docPr id="1804352856" name="Picture 1" descr="Diagram of 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52856" name="Picture 1" descr="Diagram of a diagram of a diagram&#10;&#10;Description automatically generated"/>
                    <pic:cNvPicPr/>
                  </pic:nvPicPr>
                  <pic:blipFill>
                    <a:blip r:embed="rId10"/>
                    <a:stretch>
                      <a:fillRect/>
                    </a:stretch>
                  </pic:blipFill>
                  <pic:spPr>
                    <a:xfrm>
                      <a:off x="0" y="0"/>
                      <a:ext cx="4104200" cy="3416976"/>
                    </a:xfrm>
                    <a:prstGeom prst="rect">
                      <a:avLst/>
                    </a:prstGeom>
                  </pic:spPr>
                </pic:pic>
              </a:graphicData>
            </a:graphic>
          </wp:inline>
        </w:drawing>
      </w:r>
    </w:p>
    <w:p w14:paraId="47D7C48B" w14:textId="1D01659B" w:rsidR="00F226FB" w:rsidRPr="00F149AE" w:rsidRDefault="00F226FB" w:rsidP="00CB1FD0">
      <w:pPr>
        <w:pStyle w:val="SingleTxtG"/>
      </w:pPr>
      <w:r>
        <w:t>».</w:t>
      </w:r>
    </w:p>
    <w:p w14:paraId="3B9BE08A" w14:textId="77777777" w:rsidR="00F226FB" w:rsidRPr="00F149AE" w:rsidRDefault="00F226FB" w:rsidP="007150A8">
      <w:pPr>
        <w:pStyle w:val="SingleTxtG"/>
        <w:keepNext/>
        <w:keepLines/>
      </w:pPr>
      <w:r w:rsidRPr="00CB1FD0">
        <w:rPr>
          <w:i/>
          <w:iCs/>
          <w:lang w:val="fr-FR"/>
        </w:rPr>
        <w:lastRenderedPageBreak/>
        <w:t>Annexe 7</w:t>
      </w:r>
      <w:r>
        <w:rPr>
          <w:lang w:val="fr-FR"/>
        </w:rPr>
        <w:t xml:space="preserve">, </w:t>
      </w:r>
    </w:p>
    <w:p w14:paraId="6601D204" w14:textId="0FF13745" w:rsidR="00F226FB" w:rsidRPr="00F149AE" w:rsidRDefault="00F226FB" w:rsidP="007150A8">
      <w:pPr>
        <w:pStyle w:val="SingleTxtG"/>
        <w:keepNext/>
        <w:keepLines/>
      </w:pPr>
      <w:r w:rsidRPr="00CB1FD0">
        <w:rPr>
          <w:i/>
          <w:iCs/>
          <w:lang w:val="fr-FR"/>
        </w:rPr>
        <w:t>Paragraphe 5.1</w:t>
      </w:r>
      <w:r>
        <w:rPr>
          <w:lang w:val="fr-FR"/>
        </w:rPr>
        <w:t>, lire</w:t>
      </w:r>
      <w:r w:rsidR="00CB1FD0">
        <w:rPr>
          <w:lang w:val="fr-FR"/>
        </w:rPr>
        <w:t> </w:t>
      </w:r>
      <w:r>
        <w:rPr>
          <w:lang w:val="fr-FR"/>
        </w:rPr>
        <w:t>:</w:t>
      </w:r>
    </w:p>
    <w:p w14:paraId="6EE2D305" w14:textId="4E5343D4" w:rsidR="00F226FB" w:rsidRPr="00F149AE" w:rsidRDefault="00F226FB" w:rsidP="007150A8">
      <w:pPr>
        <w:pStyle w:val="SingleTxtG"/>
        <w:keepNext/>
        <w:keepLines/>
        <w:tabs>
          <w:tab w:val="left" w:pos="2268"/>
        </w:tabs>
        <w:ind w:left="2268" w:hanging="1134"/>
      </w:pPr>
      <w:r>
        <w:rPr>
          <w:lang w:val="fr-FR"/>
        </w:rPr>
        <w:t>« 5.1</w:t>
      </w:r>
      <w:r>
        <w:rPr>
          <w:lang w:val="fr-FR"/>
        </w:rPr>
        <w:tab/>
        <w:t xml:space="preserve">Chacun des champs de vision (côté passager, vers l’avant, </w:t>
      </w:r>
      <w:r w:rsidRPr="00B82C59">
        <w:rPr>
          <w:b/>
          <w:bCs/>
          <w:lang w:val="fr-FR"/>
        </w:rPr>
        <w:t>partiel vers l</w:t>
      </w:r>
      <w:r>
        <w:rPr>
          <w:b/>
          <w:bCs/>
          <w:lang w:val="fr-FR"/>
        </w:rPr>
        <w:t>’</w:t>
      </w:r>
      <w:r w:rsidRPr="00B82C59">
        <w:rPr>
          <w:b/>
          <w:bCs/>
          <w:lang w:val="fr-FR"/>
        </w:rPr>
        <w:t>avant</w:t>
      </w:r>
      <w:r>
        <w:rPr>
          <w:lang w:val="fr-FR"/>
        </w:rPr>
        <w:t xml:space="preserve"> et côté conducteur) doit être limité aux seuls volumes qui se trouvent dans la zone d’évaluation (le volume visible de chaque côté). Les volumes d’espace ainsi définis sont désignés comme suit</w:t>
      </w:r>
      <w:r w:rsidR="00CB1FD0">
        <w:rPr>
          <w:lang w:val="fr-FR"/>
        </w:rPr>
        <w:t> </w:t>
      </w:r>
      <w:r>
        <w:rPr>
          <w:lang w:val="fr-FR"/>
        </w:rPr>
        <w:t>: »</w:t>
      </w:r>
    </w:p>
    <w:p w14:paraId="0EC6526B" w14:textId="2B6ADC92" w:rsidR="00F226FB" w:rsidRPr="00F149AE" w:rsidRDefault="00F226FB" w:rsidP="00CB1FD0">
      <w:pPr>
        <w:pStyle w:val="SingleTxtG"/>
      </w:pPr>
      <w:r w:rsidRPr="00CB1FD0">
        <w:rPr>
          <w:i/>
          <w:iCs/>
          <w:lang w:val="fr-FR"/>
        </w:rPr>
        <w:t>Ajouter le nouveau paragraphe 5.1.4</w:t>
      </w:r>
      <w:r>
        <w:rPr>
          <w:lang w:val="fr-FR"/>
        </w:rPr>
        <w:t>, libellé comme suit</w:t>
      </w:r>
      <w:r w:rsidR="00CB1FD0">
        <w:rPr>
          <w:lang w:val="fr-FR"/>
        </w:rPr>
        <w:t> </w:t>
      </w:r>
      <w:r>
        <w:rPr>
          <w:lang w:val="fr-FR"/>
        </w:rPr>
        <w:t>:</w:t>
      </w:r>
    </w:p>
    <w:p w14:paraId="6954800D" w14:textId="77777777" w:rsidR="00F226FB" w:rsidRPr="00F149AE" w:rsidRDefault="00F226FB" w:rsidP="00CB1FD0">
      <w:pPr>
        <w:pStyle w:val="SingleTxtG"/>
        <w:tabs>
          <w:tab w:val="left" w:pos="2268"/>
        </w:tabs>
        <w:ind w:left="2268" w:hanging="1134"/>
        <w:rPr>
          <w:b/>
          <w:bCs/>
        </w:rPr>
      </w:pPr>
      <w:r>
        <w:rPr>
          <w:lang w:val="fr-FR"/>
        </w:rPr>
        <w:t>« </w:t>
      </w:r>
      <w:r>
        <w:rPr>
          <w:b/>
          <w:bCs/>
          <w:lang w:val="fr-FR"/>
        </w:rPr>
        <w:t>5.1.4</w:t>
      </w:r>
      <w:r>
        <w:rPr>
          <w:lang w:val="fr-FR"/>
        </w:rPr>
        <w:tab/>
      </w:r>
      <w:r>
        <w:rPr>
          <w:lang w:val="fr-FR"/>
        </w:rPr>
        <w:tab/>
      </w:r>
      <w:r>
        <w:rPr>
          <w:b/>
          <w:bCs/>
          <w:lang w:val="fr-FR"/>
        </w:rPr>
        <w:t>Volume partiel visible vers l’avant.</w:t>
      </w:r>
      <w:r w:rsidRPr="00CB1FD0">
        <w:t>».</w:t>
      </w:r>
    </w:p>
    <w:p w14:paraId="69C160DD" w14:textId="1491336E" w:rsidR="00F226FB" w:rsidRDefault="00F226FB" w:rsidP="00CB1FD0">
      <w:pPr>
        <w:pStyle w:val="SingleTxtG"/>
      </w:pPr>
      <w:r w:rsidRPr="00CB1FD0">
        <w:rPr>
          <w:i/>
          <w:iCs/>
          <w:lang w:val="fr-FR"/>
        </w:rPr>
        <w:t>Paragraphe 5.2</w:t>
      </w:r>
      <w:r>
        <w:rPr>
          <w:lang w:val="fr-FR"/>
        </w:rPr>
        <w:t>, lire</w:t>
      </w:r>
      <w:r w:rsidR="00CB1FD0">
        <w:rPr>
          <w:lang w:val="fr-FR"/>
        </w:rPr>
        <w:t> </w:t>
      </w:r>
      <w:r>
        <w:rPr>
          <w:lang w:val="fr-FR"/>
        </w:rPr>
        <w:t>:</w:t>
      </w:r>
    </w:p>
    <w:p w14:paraId="3AADFEF0" w14:textId="77777777" w:rsidR="00F226FB" w:rsidRPr="00F149AE" w:rsidRDefault="00F226FB" w:rsidP="00CB1FD0">
      <w:pPr>
        <w:pStyle w:val="SingleTxtG"/>
        <w:tabs>
          <w:tab w:val="left" w:pos="2268"/>
        </w:tabs>
        <w:ind w:left="2268" w:hanging="1134"/>
        <w:rPr>
          <w:b/>
          <w:bCs/>
        </w:rPr>
      </w:pPr>
      <w:r>
        <w:rPr>
          <w:lang w:val="fr-FR"/>
        </w:rPr>
        <w:t>« 5.2</w:t>
      </w:r>
      <w:r>
        <w:rPr>
          <w:lang w:val="fr-FR"/>
        </w:rPr>
        <w:tab/>
      </w:r>
      <w:r>
        <w:rPr>
          <w:lang w:val="fr-FR"/>
        </w:rPr>
        <w:tab/>
        <w:t xml:space="preserve">Le volume total visible est la somme des volumes visibles </w:t>
      </w:r>
      <w:r>
        <w:rPr>
          <w:strike/>
          <w:lang w:val="fr-FR"/>
        </w:rPr>
        <w:t xml:space="preserve">de chacun des trois côtés </w:t>
      </w:r>
      <w:r>
        <w:rPr>
          <w:b/>
          <w:bCs/>
          <w:lang w:val="fr-FR"/>
        </w:rPr>
        <w:t>du côté passager, vers l’avant et du côté conducteur</w:t>
      </w:r>
      <w:r>
        <w:rPr>
          <w:lang w:val="fr-FR"/>
        </w:rPr>
        <w:t>. ».</w:t>
      </w:r>
    </w:p>
    <w:p w14:paraId="401A124E" w14:textId="134C0FDB" w:rsidR="00F226FB" w:rsidRPr="00F149AE" w:rsidRDefault="00F226FB" w:rsidP="00CB1FD0">
      <w:pPr>
        <w:pStyle w:val="HChG"/>
      </w:pPr>
      <w:r>
        <w:rPr>
          <w:lang w:val="fr-FR"/>
        </w:rPr>
        <w:tab/>
        <w:t>II.</w:t>
      </w:r>
      <w:r>
        <w:rPr>
          <w:lang w:val="fr-FR"/>
        </w:rPr>
        <w:tab/>
        <w:t>Justification</w:t>
      </w:r>
    </w:p>
    <w:p w14:paraId="433D215D" w14:textId="77777777" w:rsidR="00F226FB" w:rsidRPr="00CB1FD0" w:rsidRDefault="00F226FB" w:rsidP="00CB1FD0">
      <w:pPr>
        <w:pStyle w:val="SingleTxtG"/>
      </w:pPr>
      <w:r w:rsidRPr="00CB1FD0">
        <w:t>1.</w:t>
      </w:r>
      <w:r w:rsidRPr="00CB1FD0">
        <w:tab/>
        <w:t>Dans sa version originale, le Règlement ONU n</w:t>
      </w:r>
      <w:r w:rsidRPr="00CB1FD0">
        <w:rPr>
          <w:vertAlign w:val="superscript"/>
        </w:rPr>
        <w:t>o</w:t>
      </w:r>
      <w:r w:rsidRPr="00CB1FD0">
        <w:t> 167 définissait le volume visible à l’avant du véhicule, entre les deux montants A. Cette mesure n’ayant pas été jugée neutre sur le plan technologique par les constructeurs, le groupe de travail informel de la perception de la présence d’usagers de la route vulnérables à proximité du véhicule (groupe VRU-Proxi) a récemment proposé un amendement visant à réduire le volume visible vers l’avant proportionnellement à toute réduction de la distance entre les montants A (DEMA) en deçà des seuils indiqués dans le tableau 1 modifié.</w:t>
      </w:r>
    </w:p>
    <w:p w14:paraId="1B35BD43" w14:textId="5BE9B568" w:rsidR="00F226FB" w:rsidRPr="00CB1FD0" w:rsidRDefault="00F226FB" w:rsidP="00CB1FD0">
      <w:pPr>
        <w:pStyle w:val="SingleTxtG"/>
      </w:pPr>
      <w:r w:rsidRPr="00CB1FD0">
        <w:t>2.</w:t>
      </w:r>
      <w:r w:rsidRPr="00CB1FD0">
        <w:tab/>
        <w:t>L’analyse qui a conduit à cette solution a également mis en évidence un autre problème : bien qu’il soit possible de modifier la conception des véhicules des niveaux</w:t>
      </w:r>
      <w:r w:rsidR="00CB1FD0">
        <w:t> </w:t>
      </w:r>
      <w:r w:rsidRPr="00CB1FD0">
        <w:t xml:space="preserve">1, 2 et 3 afin qu’ils satisfassent aux prescriptions relatives au volume visible à l’avant figurant dans la version originale du Règlement, ces modifications ne permettraient pas pour autant de bien voir directement un usager de la route vulnérable se trouvant juste devant le véhicule. </w:t>
      </w:r>
    </w:p>
    <w:p w14:paraId="77AA69F6" w14:textId="77777777" w:rsidR="00F226FB" w:rsidRDefault="00F226FB" w:rsidP="00CB1FD0">
      <w:pPr>
        <w:pStyle w:val="SingleTxtG"/>
      </w:pPr>
      <w:r w:rsidRPr="00CB1FD0">
        <w:t>3.</w:t>
      </w:r>
      <w:r w:rsidRPr="00CB1FD0">
        <w:tab/>
        <w:t xml:space="preserve">La version originale du Règlement définissait le volume qui devait être visible à l’avant et sur les côtés du véhicule, dont la valeur était calculée par corrélation avec la moyenne de trois distances entre l’usager de la route vulnérable et l’avant du véhicule. L’objectif était donc de permettre au conducteur de voir ces usagers de la route vulnérables en évitant qu’ils ne se trouvent dans un angle mort entre ce qui est directement et indirectement visible. </w:t>
      </w:r>
    </w:p>
    <w:p w14:paraId="637BCDB9" w14:textId="2D3A1018" w:rsidR="00CB1FD0" w:rsidRPr="00CB1FD0" w:rsidRDefault="00CB1FD0" w:rsidP="00CB1FD0">
      <w:pPr>
        <w:pStyle w:val="SingleTxtG"/>
        <w:spacing w:before="240" w:after="0"/>
        <w:jc w:val="center"/>
        <w:rPr>
          <w:u w:val="single"/>
        </w:rPr>
      </w:pPr>
      <w:r>
        <w:rPr>
          <w:u w:val="single"/>
        </w:rPr>
        <w:tab/>
      </w:r>
      <w:r>
        <w:rPr>
          <w:u w:val="single"/>
        </w:rPr>
        <w:tab/>
      </w:r>
      <w:r>
        <w:rPr>
          <w:u w:val="single"/>
        </w:rPr>
        <w:tab/>
      </w:r>
      <w:r>
        <w:rPr>
          <w:u w:val="single"/>
        </w:rPr>
        <w:tab/>
      </w:r>
    </w:p>
    <w:sectPr w:rsidR="00CB1FD0" w:rsidRPr="00CB1FD0" w:rsidSect="00E33EB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3785" w14:textId="77777777" w:rsidR="00180B42" w:rsidRDefault="00180B42" w:rsidP="00F95C08">
      <w:pPr>
        <w:spacing w:line="240" w:lineRule="auto"/>
      </w:pPr>
    </w:p>
  </w:endnote>
  <w:endnote w:type="continuationSeparator" w:id="0">
    <w:p w14:paraId="3B3EDD01" w14:textId="77777777" w:rsidR="00180B42" w:rsidRPr="00AC3823" w:rsidRDefault="00180B42" w:rsidP="00AC3823">
      <w:pPr>
        <w:pStyle w:val="Pieddepage"/>
      </w:pPr>
    </w:p>
  </w:endnote>
  <w:endnote w:type="continuationNotice" w:id="1">
    <w:p w14:paraId="2B74F708" w14:textId="77777777" w:rsidR="00180B42" w:rsidRDefault="00180B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565E" w14:textId="66F18344" w:rsidR="00E33EB9" w:rsidRPr="00E33EB9" w:rsidRDefault="00E33EB9" w:rsidP="00E33EB9">
    <w:pPr>
      <w:pStyle w:val="Pieddepage"/>
      <w:tabs>
        <w:tab w:val="right" w:pos="9638"/>
      </w:tabs>
    </w:pPr>
    <w:r w:rsidRPr="00E33EB9">
      <w:rPr>
        <w:b/>
        <w:sz w:val="18"/>
      </w:rPr>
      <w:fldChar w:fldCharType="begin"/>
    </w:r>
    <w:r w:rsidRPr="00E33EB9">
      <w:rPr>
        <w:b/>
        <w:sz w:val="18"/>
      </w:rPr>
      <w:instrText xml:space="preserve"> PAGE  \* MERGEFORMAT </w:instrText>
    </w:r>
    <w:r w:rsidRPr="00E33EB9">
      <w:rPr>
        <w:b/>
        <w:sz w:val="18"/>
      </w:rPr>
      <w:fldChar w:fldCharType="separate"/>
    </w:r>
    <w:r w:rsidRPr="00E33EB9">
      <w:rPr>
        <w:b/>
        <w:noProof/>
        <w:sz w:val="18"/>
      </w:rPr>
      <w:t>2</w:t>
    </w:r>
    <w:r w:rsidRPr="00E33EB9">
      <w:rPr>
        <w:b/>
        <w:sz w:val="18"/>
      </w:rPr>
      <w:fldChar w:fldCharType="end"/>
    </w:r>
    <w:r>
      <w:rPr>
        <w:b/>
        <w:sz w:val="18"/>
      </w:rPr>
      <w:tab/>
    </w:r>
    <w:r>
      <w:t>GE.24-01414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120" w14:textId="702D3F1D" w:rsidR="00E33EB9" w:rsidRPr="00E33EB9" w:rsidRDefault="00E33EB9" w:rsidP="00E33EB9">
    <w:pPr>
      <w:pStyle w:val="Pieddepage"/>
      <w:tabs>
        <w:tab w:val="right" w:pos="9638"/>
      </w:tabs>
      <w:rPr>
        <w:b/>
        <w:sz w:val="18"/>
      </w:rPr>
    </w:pPr>
    <w:r>
      <w:t>GE.24-01414</w:t>
    </w:r>
    <w:r>
      <w:tab/>
    </w:r>
    <w:r w:rsidRPr="00E33EB9">
      <w:rPr>
        <w:b/>
        <w:sz w:val="18"/>
      </w:rPr>
      <w:fldChar w:fldCharType="begin"/>
    </w:r>
    <w:r w:rsidRPr="00E33EB9">
      <w:rPr>
        <w:b/>
        <w:sz w:val="18"/>
      </w:rPr>
      <w:instrText xml:space="preserve"> PAGE  \* MERGEFORMAT </w:instrText>
    </w:r>
    <w:r w:rsidRPr="00E33EB9">
      <w:rPr>
        <w:b/>
        <w:sz w:val="18"/>
      </w:rPr>
      <w:fldChar w:fldCharType="separate"/>
    </w:r>
    <w:r w:rsidRPr="00E33EB9">
      <w:rPr>
        <w:b/>
        <w:noProof/>
        <w:sz w:val="18"/>
      </w:rPr>
      <w:t>3</w:t>
    </w:r>
    <w:r w:rsidRPr="00E33E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47F5" w14:textId="2C0D6FCC" w:rsidR="007F20FA" w:rsidRPr="00E33EB9" w:rsidRDefault="00E33EB9" w:rsidP="00E33EB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E2CD4AF" wp14:editId="518C16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24-01414  (F)</w:t>
    </w:r>
    <w:r>
      <w:rPr>
        <w:noProof/>
        <w:sz w:val="20"/>
      </w:rPr>
      <w:drawing>
        <wp:anchor distT="0" distB="0" distL="114300" distR="114300" simplePos="0" relativeHeight="251660288" behindDoc="0" locked="0" layoutInCell="1" allowOverlap="1" wp14:anchorId="7A1BD6E3" wp14:editId="3748AFB6">
          <wp:simplePos x="0" y="0"/>
          <wp:positionH relativeFrom="margin">
            <wp:posOffset>5489575</wp:posOffset>
          </wp:positionH>
          <wp:positionV relativeFrom="margin">
            <wp:posOffset>8891905</wp:posOffset>
          </wp:positionV>
          <wp:extent cx="638175" cy="638175"/>
          <wp:effectExtent l="0" t="0" r="9525" b="9525"/>
          <wp:wrapNone/>
          <wp:docPr id="13699326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190224    190224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7ED8" w14:textId="77777777" w:rsidR="00180B42" w:rsidRPr="00AC3823" w:rsidRDefault="00180B42" w:rsidP="00AC3823">
      <w:pPr>
        <w:pStyle w:val="Pieddepage"/>
        <w:tabs>
          <w:tab w:val="right" w:pos="2155"/>
        </w:tabs>
        <w:spacing w:after="80" w:line="240" w:lineRule="atLeast"/>
        <w:ind w:left="680"/>
        <w:rPr>
          <w:u w:val="single"/>
        </w:rPr>
      </w:pPr>
      <w:r>
        <w:rPr>
          <w:u w:val="single"/>
        </w:rPr>
        <w:tab/>
      </w:r>
    </w:p>
  </w:footnote>
  <w:footnote w:type="continuationSeparator" w:id="0">
    <w:p w14:paraId="62740310" w14:textId="77777777" w:rsidR="00180B42" w:rsidRPr="00AC3823" w:rsidRDefault="00180B42" w:rsidP="00AC3823">
      <w:pPr>
        <w:pStyle w:val="Pieddepage"/>
        <w:tabs>
          <w:tab w:val="right" w:pos="2155"/>
        </w:tabs>
        <w:spacing w:after="80" w:line="240" w:lineRule="atLeast"/>
        <w:ind w:left="680"/>
        <w:rPr>
          <w:u w:val="single"/>
        </w:rPr>
      </w:pPr>
      <w:r>
        <w:rPr>
          <w:u w:val="single"/>
        </w:rPr>
        <w:tab/>
      </w:r>
    </w:p>
  </w:footnote>
  <w:footnote w:type="continuationNotice" w:id="1">
    <w:p w14:paraId="645F8A71" w14:textId="77777777" w:rsidR="00180B42" w:rsidRPr="00AC3823" w:rsidRDefault="00180B42">
      <w:pPr>
        <w:spacing w:line="240" w:lineRule="auto"/>
        <w:rPr>
          <w:sz w:val="2"/>
          <w:szCs w:val="2"/>
        </w:rPr>
      </w:pPr>
    </w:p>
  </w:footnote>
  <w:footnote w:id="2">
    <w:p w14:paraId="538A3CEC" w14:textId="77777777" w:rsidR="00F226FB" w:rsidRDefault="00F226FB" w:rsidP="00F226FB">
      <w:pPr>
        <w:pStyle w:val="Notedebasdepage"/>
        <w:rPr>
          <w:lang w:val="fr-FR"/>
        </w:rPr>
      </w:pPr>
      <w:r>
        <w:rPr>
          <w:lang w:val="fr-FR"/>
        </w:rPr>
        <w:tab/>
      </w:r>
      <w:r w:rsidRPr="000A335F">
        <w:rPr>
          <w:sz w:val="20"/>
          <w:szCs w:val="22"/>
          <w:lang w:val="fr-FR"/>
        </w:rPr>
        <w:t>*</w:t>
      </w:r>
      <w:r w:rsidRPr="000A335F">
        <w:rPr>
          <w:sz w:val="20"/>
          <w:szCs w:val="22"/>
          <w:lang w:val="fr-FR"/>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7128799E" w14:textId="77777777" w:rsidR="000A335F" w:rsidRPr="00F149AE" w:rsidRDefault="000A335F" w:rsidP="00F226F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99AF" w14:textId="5A216936" w:rsidR="00E33EB9" w:rsidRPr="00E33EB9" w:rsidRDefault="00E33EB9">
    <w:pPr>
      <w:pStyle w:val="En-tte"/>
    </w:pPr>
    <w:fldSimple w:instr=" TITLE  \* MERGEFORMAT ">
      <w:r w:rsidR="007B651E">
        <w:t>ECE/TRANS/WP.29/GRSG/2024/6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F3D" w14:textId="57062CB9" w:rsidR="00E33EB9" w:rsidRPr="00E33EB9" w:rsidRDefault="00E33EB9" w:rsidP="00E33EB9">
    <w:pPr>
      <w:pStyle w:val="En-tte"/>
      <w:jc w:val="right"/>
    </w:pPr>
    <w:fldSimple w:instr=" TITLE  \* MERGEFORMAT ">
      <w:r w:rsidR="007B651E">
        <w:t>ECE/TRANS/WP.29/GRSG/2024/6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47931730">
    <w:abstractNumId w:val="12"/>
  </w:num>
  <w:num w:numId="2" w16cid:durableId="618293574">
    <w:abstractNumId w:val="11"/>
  </w:num>
  <w:num w:numId="3" w16cid:durableId="1631550576">
    <w:abstractNumId w:val="10"/>
  </w:num>
  <w:num w:numId="4" w16cid:durableId="860708173">
    <w:abstractNumId w:val="8"/>
  </w:num>
  <w:num w:numId="5" w16cid:durableId="33434263">
    <w:abstractNumId w:val="3"/>
  </w:num>
  <w:num w:numId="6" w16cid:durableId="2084139872">
    <w:abstractNumId w:val="2"/>
  </w:num>
  <w:num w:numId="7" w16cid:durableId="677776583">
    <w:abstractNumId w:val="1"/>
  </w:num>
  <w:num w:numId="8" w16cid:durableId="177820258">
    <w:abstractNumId w:val="0"/>
  </w:num>
  <w:num w:numId="9" w16cid:durableId="672028943">
    <w:abstractNumId w:val="9"/>
  </w:num>
  <w:num w:numId="10" w16cid:durableId="241305902">
    <w:abstractNumId w:val="7"/>
  </w:num>
  <w:num w:numId="11" w16cid:durableId="489368645">
    <w:abstractNumId w:val="6"/>
  </w:num>
  <w:num w:numId="12" w16cid:durableId="1770195617">
    <w:abstractNumId w:val="5"/>
  </w:num>
  <w:num w:numId="13" w16cid:durableId="1801725004">
    <w:abstractNumId w:val="4"/>
  </w:num>
  <w:num w:numId="14" w16cid:durableId="765662364">
    <w:abstractNumId w:val="12"/>
  </w:num>
  <w:num w:numId="15" w16cid:durableId="1605307603">
    <w:abstractNumId w:val="11"/>
  </w:num>
  <w:num w:numId="16" w16cid:durableId="650256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42"/>
    <w:rsid w:val="00017F94"/>
    <w:rsid w:val="00023842"/>
    <w:rsid w:val="000334F9"/>
    <w:rsid w:val="00045FEB"/>
    <w:rsid w:val="0007796D"/>
    <w:rsid w:val="000A335F"/>
    <w:rsid w:val="000B7790"/>
    <w:rsid w:val="00111F2F"/>
    <w:rsid w:val="0014365E"/>
    <w:rsid w:val="00143C66"/>
    <w:rsid w:val="00176178"/>
    <w:rsid w:val="00180B4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50A8"/>
    <w:rsid w:val="0071601D"/>
    <w:rsid w:val="007A62E6"/>
    <w:rsid w:val="007B651E"/>
    <w:rsid w:val="007F20FA"/>
    <w:rsid w:val="0080684C"/>
    <w:rsid w:val="00871C75"/>
    <w:rsid w:val="008776DC"/>
    <w:rsid w:val="008D5EF9"/>
    <w:rsid w:val="0093606B"/>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1FD0"/>
    <w:rsid w:val="00D07DD8"/>
    <w:rsid w:val="00D3439C"/>
    <w:rsid w:val="00D7622E"/>
    <w:rsid w:val="00DB1831"/>
    <w:rsid w:val="00DD3BFD"/>
    <w:rsid w:val="00DF6678"/>
    <w:rsid w:val="00E0299A"/>
    <w:rsid w:val="00E33EB9"/>
    <w:rsid w:val="00E85C74"/>
    <w:rsid w:val="00EA6547"/>
    <w:rsid w:val="00ED7237"/>
    <w:rsid w:val="00EF2E22"/>
    <w:rsid w:val="00F226F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5C39"/>
  <w15:docId w15:val="{778821EF-9925-443E-B182-3C58E00B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F226FB"/>
    <w:rPr>
      <w:rFonts w:ascii="Times New Roman" w:eastAsiaTheme="minorHAnsi" w:hAnsi="Times New Roman" w:cs="Times New Roman"/>
      <w:sz w:val="20"/>
      <w:szCs w:val="20"/>
      <w:lang w:eastAsia="en-US"/>
    </w:rPr>
  </w:style>
  <w:style w:type="character" w:customStyle="1" w:styleId="HChGChar">
    <w:name w:val="_ H _Ch_G Char"/>
    <w:link w:val="HChG"/>
    <w:qFormat/>
    <w:rsid w:val="00F226FB"/>
    <w:rPr>
      <w:rFonts w:ascii="Times New Roman" w:eastAsiaTheme="minorHAnsi" w:hAnsi="Times New Roman" w:cs="Times New Roman"/>
      <w:b/>
      <w:sz w:val="28"/>
      <w:szCs w:val="20"/>
      <w:lang w:eastAsia="en-US"/>
    </w:rPr>
  </w:style>
  <w:style w:type="character" w:customStyle="1" w:styleId="H1GChar">
    <w:name w:val="_ H_1_G Char"/>
    <w:link w:val="H1G"/>
    <w:locked/>
    <w:rsid w:val="00F226FB"/>
    <w:rPr>
      <w:rFonts w:ascii="Times New Roman" w:eastAsiaTheme="minorHAnsi" w:hAnsi="Times New Roman" w:cs="Times New Roman"/>
      <w:b/>
      <w:sz w:val="24"/>
      <w:szCs w:val="20"/>
      <w:lang w:eastAsia="en-US"/>
    </w:rPr>
  </w:style>
  <w:style w:type="paragraph" w:styleId="Lgende">
    <w:name w:val="caption"/>
    <w:basedOn w:val="Normal"/>
    <w:next w:val="Normal"/>
    <w:uiPriority w:val="35"/>
    <w:semiHidden/>
    <w:unhideWhenUsed/>
    <w:qFormat/>
    <w:rsid w:val="00F226FB"/>
    <w:pPr>
      <w:spacing w:after="200" w:line="240" w:lineRule="auto"/>
    </w:pPr>
    <w:rPr>
      <w:b/>
      <w:bCs/>
      <w:color w:val="4F81BD"/>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5B401-7F2A-44E8-B28E-040353E82721}"/>
</file>

<file path=customXml/itemProps2.xml><?xml version="1.0" encoding="utf-8"?>
<ds:datastoreItem xmlns:ds="http://schemas.openxmlformats.org/officeDocument/2006/customXml" ds:itemID="{23946CC6-813D-4C51-AD94-9C5CFAFB25AC}"/>
</file>

<file path=docProps/app.xml><?xml version="1.0" encoding="utf-8"?>
<Properties xmlns="http://schemas.openxmlformats.org/officeDocument/2006/extended-properties" xmlns:vt="http://schemas.openxmlformats.org/officeDocument/2006/docPropsVTypes">
  <Template>ECE_TRANS.dotm</Template>
  <TotalTime>2</TotalTime>
  <Pages>4</Pages>
  <Words>992</Words>
  <Characters>5318</Characters>
  <Application>Microsoft Office Word</Application>
  <DocSecurity>0</DocSecurity>
  <Lines>164</Lines>
  <Paragraphs>89</Paragraphs>
  <ScaleCrop>false</ScaleCrop>
  <HeadingPairs>
    <vt:vector size="2" baseType="variant">
      <vt:variant>
        <vt:lpstr>Titre</vt:lpstr>
      </vt:variant>
      <vt:variant>
        <vt:i4>1</vt:i4>
      </vt:variant>
    </vt:vector>
  </HeadingPairs>
  <TitlesOfParts>
    <vt:vector size="1" baseType="lpstr">
      <vt:lpstr>ECE/TRANS/WP.29/GRSG/2024/6</vt:lpstr>
    </vt:vector>
  </TitlesOfParts>
  <Company>DCM</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ECE/TRANS/WP.29/GRSG/2024/6</dc:title>
  <dc:subject/>
  <dc:creator>Christine CHAUTAGNAT</dc:creator>
  <cp:keywords/>
  <cp:lastModifiedBy>Christine Chautagnat</cp:lastModifiedBy>
  <cp:revision>3</cp:revision>
  <cp:lastPrinted>2024-02-19T15:16:00Z</cp:lastPrinted>
  <dcterms:created xsi:type="dcterms:W3CDTF">2024-02-19T15:16:00Z</dcterms:created>
  <dcterms:modified xsi:type="dcterms:W3CDTF">2024-02-19T15:17:00Z</dcterms:modified>
</cp:coreProperties>
</file>