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DF272A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2AAB6FF" w14:textId="77777777" w:rsidR="00F35BAF" w:rsidRPr="00DB58B5" w:rsidRDefault="00F35BAF" w:rsidP="00351DD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3AFB13" w14:textId="70BE9DC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3BEE8B6" w14:textId="037103E3" w:rsidR="00F35BAF" w:rsidRPr="00DB58B5" w:rsidRDefault="00351DD1" w:rsidP="00351DD1">
            <w:pPr>
              <w:jc w:val="right"/>
            </w:pPr>
            <w:r w:rsidRPr="00351DD1">
              <w:rPr>
                <w:sz w:val="40"/>
              </w:rPr>
              <w:t>E</w:t>
            </w:r>
            <w:r>
              <w:t>/ECE/TRANS/505/Rev.3/Add.162/Amend.2</w:t>
            </w:r>
          </w:p>
        </w:tc>
      </w:tr>
      <w:tr w:rsidR="004E4964" w:rsidRPr="00DB58B5" w14:paraId="14E618C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9260155" w14:textId="33C3530B" w:rsidR="004E4964" w:rsidRPr="00DB58B5" w:rsidRDefault="004E4964" w:rsidP="004E4964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0DF36C" w14:textId="5BB7C311" w:rsidR="004E4964" w:rsidRPr="00740562" w:rsidRDefault="004E4964" w:rsidP="004E4964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3F35691" w14:textId="77777777" w:rsidR="004E4964" w:rsidRDefault="004E4964" w:rsidP="004E4964">
            <w:pPr>
              <w:spacing w:before="120"/>
              <w:rPr>
                <w:lang w:val="en-US"/>
              </w:rPr>
            </w:pPr>
          </w:p>
          <w:p w14:paraId="094CDB83" w14:textId="77777777" w:rsidR="004E4964" w:rsidRDefault="004E4964" w:rsidP="004E4964">
            <w:pPr>
              <w:spacing w:before="120"/>
              <w:rPr>
                <w:lang w:val="en-US"/>
              </w:rPr>
            </w:pPr>
          </w:p>
          <w:p w14:paraId="0C402C09" w14:textId="648DD41B" w:rsidR="004E4964" w:rsidRPr="00DB58B5" w:rsidRDefault="004E4964" w:rsidP="004E4964">
            <w:pPr>
              <w:spacing w:line="240" w:lineRule="exact"/>
            </w:pPr>
            <w:r>
              <w:t>16 June 2023</w:t>
            </w:r>
          </w:p>
        </w:tc>
      </w:tr>
    </w:tbl>
    <w:p w14:paraId="250C252B" w14:textId="39F822B1" w:rsidR="00351DD1" w:rsidRDefault="00351DD1" w:rsidP="00351DD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62933">
        <w:rPr>
          <w:lang w:val="fr-FR"/>
        </w:rPr>
        <w:t>Accord</w:t>
      </w:r>
    </w:p>
    <w:p w14:paraId="5DFAAAA0" w14:textId="3C280FB7" w:rsidR="00351DD1" w:rsidRPr="00F62933" w:rsidRDefault="00351DD1" w:rsidP="00351DD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62933">
        <w:rPr>
          <w:lang w:val="fr-FR"/>
        </w:rPr>
        <w:t>Concernant l</w:t>
      </w:r>
      <w:r>
        <w:rPr>
          <w:lang w:val="fr-FR"/>
        </w:rPr>
        <w:t>’</w:t>
      </w:r>
      <w:r w:rsidRPr="00F62933">
        <w:rPr>
          <w:lang w:val="fr-FR"/>
        </w:rPr>
        <w:t xml:space="preserve">adoption de Règlements techniques harmonisés </w:t>
      </w:r>
      <w:r>
        <w:rPr>
          <w:lang w:val="fr-FR"/>
        </w:rPr>
        <w:br/>
      </w:r>
      <w:r w:rsidRPr="00F62933">
        <w:rPr>
          <w:lang w:val="fr-FR"/>
        </w:rPr>
        <w:t>de l</w:t>
      </w:r>
      <w:r>
        <w:rPr>
          <w:lang w:val="fr-FR"/>
        </w:rPr>
        <w:t>’</w:t>
      </w:r>
      <w:r w:rsidRPr="00F62933">
        <w:rPr>
          <w:lang w:val="fr-FR"/>
        </w:rPr>
        <w:t xml:space="preserve">ONU applicables aux véhicules à roues et aux équipements </w:t>
      </w:r>
      <w:r>
        <w:rPr>
          <w:lang w:val="fr-FR"/>
        </w:rPr>
        <w:br/>
      </w:r>
      <w:r w:rsidRPr="00F62933">
        <w:rPr>
          <w:lang w:val="fr-FR"/>
        </w:rPr>
        <w:t>et pièces susceptibles d</w:t>
      </w:r>
      <w:r>
        <w:rPr>
          <w:lang w:val="fr-FR"/>
        </w:rPr>
        <w:t>’</w:t>
      </w:r>
      <w:r w:rsidRPr="00F62933">
        <w:rPr>
          <w:lang w:val="fr-FR"/>
        </w:rPr>
        <w:t xml:space="preserve">être montés ou utilisés sur les véhicules </w:t>
      </w:r>
      <w:r>
        <w:rPr>
          <w:lang w:val="fr-FR"/>
        </w:rPr>
        <w:br/>
      </w:r>
      <w:r w:rsidRPr="00F62933">
        <w:rPr>
          <w:lang w:val="fr-FR"/>
        </w:rPr>
        <w:t>à roues et les conditions de reconnaissance réciproque des homologations délivrées conformément à ces Règlements</w:t>
      </w:r>
      <w:r w:rsidRPr="00351DD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470AB51" w14:textId="504280EF" w:rsidR="00351DD1" w:rsidRDefault="00351DD1" w:rsidP="00351DD1">
      <w:pPr>
        <w:pStyle w:val="SingleTxtG"/>
        <w:rPr>
          <w:lang w:val="fr-FR" w:eastAsia="fr-FR"/>
        </w:rPr>
      </w:pPr>
      <w:r w:rsidRPr="00F62933">
        <w:rPr>
          <w:lang w:val="fr-FR" w:eastAsia="fr-FR"/>
        </w:rPr>
        <w:t>(Révision</w:t>
      </w:r>
      <w:r>
        <w:rPr>
          <w:lang w:val="fr-FR" w:eastAsia="fr-FR"/>
        </w:rPr>
        <w:t> </w:t>
      </w:r>
      <w:r w:rsidRPr="00F62933">
        <w:rPr>
          <w:lang w:val="fr-FR" w:eastAsia="fr-FR"/>
        </w:rPr>
        <w:t>3,</w:t>
      </w:r>
      <w:r w:rsidRPr="00F62933">
        <w:t xml:space="preserve"> </w:t>
      </w:r>
      <w:r w:rsidRPr="00F62933">
        <w:rPr>
          <w:lang w:val="fr-FR" w:eastAsia="fr-FR"/>
        </w:rPr>
        <w:t>comprenant les amendements entrés en vigueur le 14</w:t>
      </w:r>
      <w:r>
        <w:rPr>
          <w:lang w:val="fr-FR" w:eastAsia="fr-FR"/>
        </w:rPr>
        <w:t> </w:t>
      </w:r>
      <w:r w:rsidRPr="00F62933">
        <w:rPr>
          <w:lang w:val="fr-FR" w:eastAsia="fr-FR"/>
        </w:rPr>
        <w:t>septembre 2017)</w:t>
      </w:r>
    </w:p>
    <w:p w14:paraId="08829B4E" w14:textId="158CB7E9" w:rsidR="004E4964" w:rsidRDefault="004E4964" w:rsidP="004E4964">
      <w:pPr>
        <w:pStyle w:val="SingleTxtG"/>
        <w:jc w:val="center"/>
        <w:rPr>
          <w:b/>
          <w:lang w:val="fr-FR" w:eastAsia="fr-FR"/>
        </w:rPr>
      </w:pPr>
      <w:r>
        <w:rPr>
          <w:b/>
          <w:bCs/>
        </w:rPr>
        <w:t>_________</w:t>
      </w:r>
    </w:p>
    <w:p w14:paraId="2169318C" w14:textId="0239F389" w:rsidR="00351DD1" w:rsidRDefault="00351DD1" w:rsidP="00351DD1">
      <w:pPr>
        <w:pStyle w:val="H1G"/>
        <w:rPr>
          <w:lang w:val="fr-FR" w:eastAsia="fr-FR"/>
        </w:rPr>
      </w:pPr>
      <w:r>
        <w:rPr>
          <w:lang w:val="fr-FR" w:eastAsia="fr-FR"/>
        </w:rPr>
        <w:tab/>
      </w:r>
      <w:r>
        <w:rPr>
          <w:lang w:val="fr-FR" w:eastAsia="fr-FR"/>
        </w:rPr>
        <w:tab/>
      </w:r>
      <w:r w:rsidRPr="00F62933">
        <w:rPr>
          <w:lang w:val="fr-FR" w:eastAsia="fr-FR"/>
        </w:rPr>
        <w:t>Additif</w:t>
      </w:r>
      <w:r>
        <w:rPr>
          <w:lang w:val="fr-FR" w:eastAsia="fr-FR"/>
        </w:rPr>
        <w:t> </w:t>
      </w:r>
      <w:r w:rsidRPr="00F62933">
        <w:rPr>
          <w:lang w:val="fr-FR" w:eastAsia="fr-FR"/>
        </w:rPr>
        <w:t>162</w:t>
      </w:r>
      <w:r>
        <w:rPr>
          <w:lang w:val="fr-FR" w:eastAsia="fr-FR"/>
        </w:rPr>
        <w:t> − </w:t>
      </w:r>
      <w:r w:rsidRPr="00F62933">
        <w:rPr>
          <w:lang w:val="fr-FR" w:eastAsia="fr-FR"/>
        </w:rPr>
        <w:t>Règlement ONU n</w:t>
      </w:r>
      <w:r w:rsidRPr="00351DD1">
        <w:rPr>
          <w:vertAlign w:val="superscript"/>
          <w:lang w:val="fr-FR" w:eastAsia="fr-FR"/>
        </w:rPr>
        <w:t>o</w:t>
      </w:r>
      <w:r w:rsidRPr="00F62933">
        <w:rPr>
          <w:lang w:val="fr-FR" w:eastAsia="fr-FR"/>
        </w:rPr>
        <w:t> 163</w:t>
      </w:r>
    </w:p>
    <w:p w14:paraId="5B9E89B8" w14:textId="7BCC2B39" w:rsidR="00351DD1" w:rsidRPr="00F62933" w:rsidRDefault="00351DD1" w:rsidP="00351DD1">
      <w:pPr>
        <w:pStyle w:val="H1G"/>
        <w:rPr>
          <w:lang w:val="fr-FR" w:eastAsia="fr-FR"/>
        </w:rPr>
      </w:pPr>
      <w:r>
        <w:rPr>
          <w:lang w:val="fr-FR" w:eastAsia="fr-FR"/>
        </w:rPr>
        <w:tab/>
      </w:r>
      <w:r>
        <w:rPr>
          <w:lang w:val="fr-FR" w:eastAsia="fr-FR"/>
        </w:rPr>
        <w:tab/>
      </w:r>
      <w:r w:rsidRPr="00F62933">
        <w:rPr>
          <w:lang w:val="fr-FR" w:eastAsia="fr-FR"/>
        </w:rPr>
        <w:t>Amendement</w:t>
      </w:r>
      <w:r>
        <w:rPr>
          <w:lang w:val="fr-FR" w:eastAsia="fr-FR"/>
        </w:rPr>
        <w:t> </w:t>
      </w:r>
      <w:r w:rsidRPr="00F62933">
        <w:rPr>
          <w:lang w:val="fr-FR" w:eastAsia="fr-FR"/>
        </w:rPr>
        <w:t>2</w:t>
      </w:r>
    </w:p>
    <w:p w14:paraId="19BEFB4A" w14:textId="455A47A4" w:rsidR="00351DD1" w:rsidRDefault="00351DD1" w:rsidP="00351DD1">
      <w:pPr>
        <w:pStyle w:val="SingleTxtG"/>
        <w:rPr>
          <w:rFonts w:eastAsia="Calibri"/>
          <w:lang w:val="fr-FR"/>
        </w:rPr>
      </w:pPr>
      <w:r w:rsidRPr="003141F2">
        <w:rPr>
          <w:lang w:val="fr-FR" w:eastAsia="fr-FR"/>
        </w:rPr>
        <w:tab/>
      </w:r>
      <w:r w:rsidRPr="00F62933">
        <w:rPr>
          <w:lang w:val="fr-FR" w:eastAsia="fr-FR"/>
        </w:rPr>
        <w:t>Complément</w:t>
      </w:r>
      <w:r>
        <w:rPr>
          <w:lang w:val="fr-FR" w:eastAsia="fr-FR"/>
        </w:rPr>
        <w:t> </w:t>
      </w:r>
      <w:r w:rsidRPr="00F62933">
        <w:rPr>
          <w:lang w:val="fr-FR" w:eastAsia="fr-FR"/>
        </w:rPr>
        <w:t>2 à la version originale du Règlement</w:t>
      </w:r>
      <w:r>
        <w:rPr>
          <w:lang w:val="fr-FR" w:eastAsia="fr-FR"/>
        </w:rPr>
        <w:t> − </w:t>
      </w:r>
      <w:r w:rsidRPr="00F62933">
        <w:rPr>
          <w:lang w:val="fr-FR" w:eastAsia="fr-FR"/>
        </w:rPr>
        <w:t>Date d</w:t>
      </w:r>
      <w:r>
        <w:rPr>
          <w:b/>
          <w:lang w:val="fr-FR" w:eastAsia="fr-FR"/>
        </w:rPr>
        <w:t>’</w:t>
      </w:r>
      <w:r w:rsidRPr="00F62933">
        <w:rPr>
          <w:lang w:val="fr-FR" w:eastAsia="fr-FR"/>
        </w:rPr>
        <w:t>entrée en vigueur</w:t>
      </w:r>
      <w:r>
        <w:rPr>
          <w:lang w:val="fr-FR" w:eastAsia="fr-FR"/>
        </w:rPr>
        <w:t> :</w:t>
      </w:r>
      <w:r w:rsidRPr="00F62933">
        <w:rPr>
          <w:lang w:val="fr-FR" w:eastAsia="fr-FR"/>
        </w:rPr>
        <w:t xml:space="preserve"> 5 juin 2023</w:t>
      </w:r>
    </w:p>
    <w:p w14:paraId="4EBB00A0" w14:textId="62A31A53" w:rsidR="00351DD1" w:rsidRDefault="00351DD1" w:rsidP="00351DD1">
      <w:pPr>
        <w:pStyle w:val="H1G"/>
        <w:rPr>
          <w:shd w:val="clear" w:color="auto" w:fill="EFEFEF"/>
        </w:rPr>
      </w:pPr>
      <w:r w:rsidRPr="00A8759B">
        <w:tab/>
      </w:r>
      <w:r w:rsidRPr="00A8759B">
        <w:tab/>
        <w:t xml:space="preserve">Prescriptions uniformes relatives à l’homologation des systèmes d’alarme pour véhicules et à l’homologation d’un véhicule </w:t>
      </w:r>
      <w:r w:rsidRPr="00A8759B">
        <w:br/>
        <w:t>en ce qui concerne son système d’alarme</w:t>
      </w:r>
    </w:p>
    <w:p w14:paraId="7713E38C" w14:textId="77777777" w:rsidR="00351DD1" w:rsidRDefault="00351DD1" w:rsidP="00351DD1">
      <w:pPr>
        <w:pStyle w:val="SingleTxtG"/>
        <w:rPr>
          <w:lang w:eastAsia="en-GB"/>
        </w:rPr>
      </w:pPr>
      <w:r w:rsidRPr="00F62933">
        <w:rPr>
          <w:shd w:val="clear" w:color="auto" w:fill="FFFFFF"/>
        </w:rPr>
        <w:t>Le présent document est communiqué uniquement à titre d</w:t>
      </w:r>
      <w:r>
        <w:rPr>
          <w:shd w:val="clear" w:color="auto" w:fill="FFFFFF"/>
        </w:rPr>
        <w:t>’</w:t>
      </w:r>
      <w:r w:rsidRPr="00F62933">
        <w:rPr>
          <w:shd w:val="clear" w:color="auto" w:fill="FFFFFF"/>
        </w:rPr>
        <w:t xml:space="preserve">information. Le texte authentique, juridiquement contraignant, est celui du document </w:t>
      </w:r>
      <w:r w:rsidRPr="00B31EC3">
        <w:rPr>
          <w:lang w:eastAsia="en-GB"/>
        </w:rPr>
        <w:t>ECE/TRANS/WP.29/2022/127.</w:t>
      </w:r>
    </w:p>
    <w:p w14:paraId="510D6180" w14:textId="4F756BA0" w:rsidR="00351DD1" w:rsidRPr="00D66C90" w:rsidRDefault="004E4964" w:rsidP="004E4964">
      <w:pPr>
        <w:pStyle w:val="SingleTxtG"/>
        <w:jc w:val="center"/>
        <w:rPr>
          <w:b/>
          <w:sz w:val="24"/>
        </w:rPr>
      </w:pPr>
      <w:r>
        <w:rPr>
          <w:b/>
          <w:bCs/>
        </w:rPr>
        <w:t>_________</w:t>
      </w:r>
      <w:r w:rsidR="00351DD1" w:rsidRPr="00D66C90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D15F92C" wp14:editId="5F04E04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172835348" name="Image 1172835348" descr="Une image contenant croquis, dessin, cercl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35348" name="Image 1172835348" descr="Une image contenant croquis, dessin, cercl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5E38" w14:textId="5D7F8D9E" w:rsidR="00351DD1" w:rsidRDefault="00351DD1" w:rsidP="00351DD1">
      <w:pPr>
        <w:suppressAutoHyphens w:val="0"/>
        <w:spacing w:line="240" w:lineRule="auto"/>
        <w:jc w:val="center"/>
        <w:rPr>
          <w:b/>
          <w:sz w:val="24"/>
        </w:rPr>
      </w:pPr>
      <w:r w:rsidRPr="00D66C90">
        <w:rPr>
          <w:b/>
          <w:sz w:val="24"/>
        </w:rPr>
        <w:t>NATIONS</w:t>
      </w:r>
      <w:r>
        <w:rPr>
          <w:b/>
          <w:sz w:val="24"/>
        </w:rPr>
        <w:t> UNIES</w:t>
      </w:r>
    </w:p>
    <w:p w14:paraId="1DC54158" w14:textId="77777777" w:rsidR="00351DD1" w:rsidRDefault="00351DD1" w:rsidP="00351DD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4CF1919E" w14:textId="176A06FB" w:rsidR="00351DD1" w:rsidRPr="003D35FA" w:rsidRDefault="00351DD1" w:rsidP="00351DD1">
      <w:pPr>
        <w:tabs>
          <w:tab w:val="left" w:pos="851"/>
        </w:tabs>
        <w:spacing w:after="240"/>
        <w:ind w:left="2268" w:right="1133" w:hanging="1134"/>
        <w:jc w:val="both"/>
        <w:rPr>
          <w:lang w:val="fr-FR"/>
        </w:rPr>
      </w:pPr>
      <w:r w:rsidRPr="003141F2">
        <w:rPr>
          <w:rFonts w:eastAsia="Calibri"/>
          <w:i/>
          <w:iCs/>
          <w:lang w:val="fr-FR"/>
        </w:rPr>
        <w:lastRenderedPageBreak/>
        <w:t>Paragraphe 1</w:t>
      </w:r>
      <w:r w:rsidRPr="003141F2">
        <w:rPr>
          <w:rFonts w:eastAsia="Calibri"/>
          <w:lang w:val="fr-FR"/>
        </w:rPr>
        <w:t>, lire (les notes de bas de page demeurent inchangées)</w:t>
      </w:r>
      <w:r>
        <w:rPr>
          <w:rFonts w:eastAsia="Calibri"/>
          <w:lang w:val="fr-FR"/>
        </w:rPr>
        <w:t> :</w:t>
      </w:r>
    </w:p>
    <w:p w14:paraId="6A6C3A3B" w14:textId="7DE5F623" w:rsidR="00351DD1" w:rsidRPr="003D35FA" w:rsidRDefault="00351DD1" w:rsidP="00A8759B">
      <w:pPr>
        <w:pStyle w:val="HChG"/>
        <w:ind w:left="2268"/>
        <w:rPr>
          <w:lang w:val="fr-FR"/>
        </w:rPr>
      </w:pPr>
      <w:r w:rsidRPr="003D35FA">
        <w:rPr>
          <w:lang w:val="fr-FR"/>
        </w:rPr>
        <w:t>« 1.</w:t>
      </w:r>
      <w:r>
        <w:rPr>
          <w:lang w:val="fr-FR"/>
        </w:rPr>
        <w:tab/>
      </w:r>
      <w:r w:rsidRPr="003D35FA">
        <w:rPr>
          <w:lang w:val="fr-FR"/>
        </w:rPr>
        <w:tab/>
        <w:t>Domaine d</w:t>
      </w:r>
      <w:r>
        <w:rPr>
          <w:lang w:val="fr-FR"/>
        </w:rPr>
        <w:t>’</w:t>
      </w:r>
      <w:r w:rsidRPr="003D35FA">
        <w:rPr>
          <w:lang w:val="fr-FR"/>
        </w:rPr>
        <w:t>application</w:t>
      </w:r>
    </w:p>
    <w:p w14:paraId="5502CF7C" w14:textId="16C06DA8" w:rsidR="00351DD1" w:rsidRPr="003D35FA" w:rsidRDefault="00351DD1" w:rsidP="00351DD1">
      <w:pPr>
        <w:pStyle w:val="SingleTxtG"/>
        <w:ind w:left="2268"/>
        <w:rPr>
          <w:lang w:val="fr-FR"/>
        </w:rPr>
      </w:pPr>
      <w:r w:rsidRPr="003D35FA">
        <w:rPr>
          <w:lang w:val="fr-FR"/>
        </w:rPr>
        <w:tab/>
        <w:t>Le présent Règlement ONU s</w:t>
      </w:r>
      <w:r>
        <w:rPr>
          <w:lang w:val="fr-FR"/>
        </w:rPr>
        <w:t>’</w:t>
      </w:r>
      <w:r w:rsidRPr="003D35FA">
        <w:rPr>
          <w:lang w:val="fr-FR"/>
        </w:rPr>
        <w:t>applique</w:t>
      </w:r>
      <w:r>
        <w:rPr>
          <w:lang w:val="fr-FR"/>
        </w:rPr>
        <w:t> :</w:t>
      </w:r>
    </w:p>
    <w:p w14:paraId="67DEB105" w14:textId="77777777" w:rsidR="00351DD1" w:rsidRPr="003D35FA" w:rsidRDefault="00351DD1" w:rsidP="00351DD1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1.1</w:t>
      </w:r>
      <w:r w:rsidRPr="003D35FA">
        <w:rPr>
          <w:lang w:val="fr-FR"/>
        </w:rPr>
        <w:tab/>
      </w:r>
      <w:r w:rsidRPr="003D35FA">
        <w:rPr>
          <w:lang w:val="fr-FR"/>
        </w:rPr>
        <w:tab/>
        <w:t>À l</w:t>
      </w:r>
      <w:r>
        <w:rPr>
          <w:lang w:val="fr-FR"/>
        </w:rPr>
        <w:t>’</w:t>
      </w:r>
      <w:r w:rsidRPr="003D35FA">
        <w:rPr>
          <w:lang w:val="fr-FR"/>
        </w:rPr>
        <w:t>homologation des systèmes d</w:t>
      </w:r>
      <w:r>
        <w:rPr>
          <w:lang w:val="fr-FR"/>
        </w:rPr>
        <w:t>’</w:t>
      </w:r>
      <w:r w:rsidRPr="003D35FA">
        <w:rPr>
          <w:lang w:val="fr-FR"/>
        </w:rPr>
        <w:t>alarme pour véhicules destinés à être montés de façon permanente sur les véhicules de toutes catégories</w:t>
      </w:r>
      <w:r w:rsidRPr="003D35FA">
        <w:rPr>
          <w:sz w:val="18"/>
          <w:szCs w:val="18"/>
          <w:vertAlign w:val="superscript"/>
          <w:lang w:val="fr-FR"/>
        </w:rPr>
        <w:t>1, 2</w:t>
      </w:r>
      <w:r>
        <w:rPr>
          <w:sz w:val="18"/>
          <w:szCs w:val="18"/>
          <w:lang w:val="fr-FR"/>
        </w:rPr>
        <w:t>.</w:t>
      </w:r>
    </w:p>
    <w:p w14:paraId="6539F903" w14:textId="3EE9FFD4" w:rsidR="00351DD1" w:rsidRPr="003D35FA" w:rsidRDefault="00351DD1" w:rsidP="00351DD1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1.2</w:t>
      </w:r>
      <w:r w:rsidRPr="003D35FA">
        <w:rPr>
          <w:lang w:val="fr-FR"/>
        </w:rPr>
        <w:tab/>
        <w:t>À l</w:t>
      </w:r>
      <w:r>
        <w:rPr>
          <w:lang w:val="fr-FR"/>
        </w:rPr>
        <w:t>’</w:t>
      </w:r>
      <w:r w:rsidRPr="003D35FA">
        <w:rPr>
          <w:lang w:val="fr-FR"/>
        </w:rPr>
        <w:t>homologation des véhicules de la catégorie M</w:t>
      </w:r>
      <w:r w:rsidRPr="003D35FA">
        <w:rPr>
          <w:vertAlign w:val="subscript"/>
          <w:lang w:val="fr-FR"/>
        </w:rPr>
        <w:t>1</w:t>
      </w:r>
      <w:r w:rsidRPr="003D35FA">
        <w:rPr>
          <w:lang w:val="fr-FR"/>
        </w:rPr>
        <w:t xml:space="preserve"> et des véhicules de la catégorie N</w:t>
      </w:r>
      <w:r w:rsidRPr="003D35FA">
        <w:rPr>
          <w:vertAlign w:val="subscript"/>
          <w:lang w:val="fr-FR"/>
        </w:rPr>
        <w:t>1</w:t>
      </w:r>
      <w:r w:rsidRPr="003D35FA">
        <w:rPr>
          <w:lang w:val="fr-FR"/>
        </w:rPr>
        <w:t xml:space="preserve"> dont la masse maximale n</w:t>
      </w:r>
      <w:r>
        <w:rPr>
          <w:lang w:val="fr-FR"/>
        </w:rPr>
        <w:t>’</w:t>
      </w:r>
      <w:r w:rsidRPr="003D35FA">
        <w:rPr>
          <w:lang w:val="fr-FR"/>
        </w:rPr>
        <w:t>est pas supérieure à 2</w:t>
      </w:r>
      <w:r>
        <w:rPr>
          <w:lang w:val="fr-FR"/>
        </w:rPr>
        <w:t> </w:t>
      </w:r>
      <w:r w:rsidRPr="003D35FA">
        <w:rPr>
          <w:lang w:val="fr-FR"/>
        </w:rPr>
        <w:t>tonnes, en ce qui concerne leur système d</w:t>
      </w:r>
      <w:r>
        <w:rPr>
          <w:lang w:val="fr-FR"/>
        </w:rPr>
        <w:t>’</w:t>
      </w:r>
      <w:r w:rsidRPr="003D35FA">
        <w:rPr>
          <w:lang w:val="fr-FR"/>
        </w:rPr>
        <w:t>alarme</w:t>
      </w:r>
      <w:r w:rsidRPr="003D35FA">
        <w:rPr>
          <w:vertAlign w:val="superscript"/>
          <w:lang w:val="fr-FR"/>
        </w:rPr>
        <w:t>2</w:t>
      </w:r>
      <w:r w:rsidRPr="003D35FA">
        <w:rPr>
          <w:lang w:val="fr-FR"/>
        </w:rPr>
        <w:t>.</w:t>
      </w:r>
    </w:p>
    <w:p w14:paraId="7C12CD04" w14:textId="77777777" w:rsidR="00351DD1" w:rsidRPr="003D35FA" w:rsidRDefault="00351DD1" w:rsidP="00351DD1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1.3</w:t>
      </w:r>
      <w:r w:rsidRPr="003D35FA">
        <w:rPr>
          <w:lang w:val="fr-FR"/>
        </w:rPr>
        <w:tab/>
        <w:t>À la demande du constructeur, les Parties contractantes peuvent délivrer des homologations à des véhicules d</w:t>
      </w:r>
      <w:r>
        <w:rPr>
          <w:lang w:val="fr-FR"/>
        </w:rPr>
        <w:t>’</w:t>
      </w:r>
      <w:r w:rsidRPr="003D35FA">
        <w:rPr>
          <w:lang w:val="fr-FR"/>
        </w:rPr>
        <w:t>autres catégories en ce qui concerne leur système d</w:t>
      </w:r>
      <w:r>
        <w:rPr>
          <w:lang w:val="fr-FR"/>
        </w:rPr>
        <w:t>’</w:t>
      </w:r>
      <w:r w:rsidRPr="003D35FA">
        <w:rPr>
          <w:lang w:val="fr-FR"/>
        </w:rPr>
        <w:t>alarme.</w:t>
      </w:r>
    </w:p>
    <w:p w14:paraId="785005FD" w14:textId="77777777" w:rsidR="00351DD1" w:rsidRPr="003D35FA" w:rsidRDefault="00351DD1" w:rsidP="00351DD1">
      <w:pPr>
        <w:tabs>
          <w:tab w:val="left" w:pos="567"/>
          <w:tab w:val="left" w:pos="1701"/>
        </w:tabs>
        <w:spacing w:after="240"/>
        <w:ind w:left="2268" w:right="1134" w:hanging="1134"/>
        <w:jc w:val="both"/>
        <w:rPr>
          <w:rFonts w:eastAsia="Calibri"/>
          <w:lang w:val="fr-FR"/>
        </w:rPr>
      </w:pPr>
      <w:r w:rsidRPr="003D35FA">
        <w:rPr>
          <w:rFonts w:eastAsia="Calibri"/>
          <w:lang w:val="fr-FR"/>
        </w:rPr>
        <w:t>1.4</w:t>
      </w:r>
      <w:r w:rsidRPr="003D35FA">
        <w:rPr>
          <w:rFonts w:eastAsia="Calibri"/>
          <w:lang w:val="fr-FR"/>
        </w:rPr>
        <w:tab/>
      </w:r>
      <w:r w:rsidRPr="003D35FA">
        <w:rPr>
          <w:rFonts w:eastAsia="Calibri"/>
          <w:lang w:val="fr-FR"/>
        </w:rPr>
        <w:tab/>
        <w:t>Le présent Règlement ONU ne s</w:t>
      </w:r>
      <w:r>
        <w:rPr>
          <w:rFonts w:eastAsia="Calibri"/>
          <w:lang w:val="fr-FR"/>
        </w:rPr>
        <w:t>’</w:t>
      </w:r>
      <w:r w:rsidRPr="003D35FA">
        <w:rPr>
          <w:rFonts w:eastAsia="Calibri"/>
          <w:lang w:val="fr-FR"/>
        </w:rPr>
        <w:t>applique pas aux fréquences de transmission radio, qu</w:t>
      </w:r>
      <w:r>
        <w:rPr>
          <w:rFonts w:eastAsia="Calibri"/>
          <w:lang w:val="fr-FR"/>
        </w:rPr>
        <w:t>’</w:t>
      </w:r>
      <w:r w:rsidRPr="003D35FA">
        <w:rPr>
          <w:rFonts w:eastAsia="Calibri"/>
          <w:lang w:val="fr-FR"/>
        </w:rPr>
        <w:t>elles soient ou non liées à la protection des véhicules automobiles contre une utilisation non autorisée. ».</w:t>
      </w:r>
    </w:p>
    <w:p w14:paraId="3102BEB6" w14:textId="7FA87930" w:rsidR="00351DD1" w:rsidRPr="003D35FA" w:rsidRDefault="00351DD1" w:rsidP="00351DD1">
      <w:pPr>
        <w:pStyle w:val="SingleTxtG"/>
        <w:rPr>
          <w:i/>
          <w:lang w:val="fr-FR"/>
        </w:rPr>
      </w:pPr>
      <w:r w:rsidRPr="003D35FA">
        <w:rPr>
          <w:i/>
          <w:iCs/>
          <w:lang w:val="fr-FR"/>
        </w:rPr>
        <w:t>Paragraphe 7</w:t>
      </w:r>
      <w:r w:rsidRPr="003D35FA">
        <w:rPr>
          <w:lang w:val="fr-FR"/>
        </w:rPr>
        <w:t>, lire (les paragraphes</w:t>
      </w:r>
      <w:r>
        <w:rPr>
          <w:lang w:val="fr-FR"/>
        </w:rPr>
        <w:t> </w:t>
      </w:r>
      <w:r w:rsidRPr="003D35FA">
        <w:rPr>
          <w:lang w:val="fr-FR"/>
        </w:rPr>
        <w:t>7.1 à 7.2.15 demeurent inchangés)</w:t>
      </w:r>
      <w:r>
        <w:rPr>
          <w:lang w:val="fr-FR"/>
        </w:rPr>
        <w:t> :</w:t>
      </w:r>
    </w:p>
    <w:p w14:paraId="515B1313" w14:textId="77777777" w:rsidR="00351DD1" w:rsidRPr="003D35FA" w:rsidRDefault="00351DD1" w:rsidP="00351DD1">
      <w:pPr>
        <w:pStyle w:val="HChG"/>
        <w:ind w:left="2268"/>
        <w:rPr>
          <w:bCs/>
          <w:lang w:val="fr-FR"/>
        </w:rPr>
      </w:pPr>
      <w:r w:rsidRPr="003D35FA">
        <w:rPr>
          <w:b w:val="0"/>
          <w:bCs/>
          <w:lang w:val="fr-FR"/>
        </w:rPr>
        <w:t>«</w:t>
      </w:r>
      <w:r w:rsidRPr="003D35FA">
        <w:rPr>
          <w:lang w:val="fr-FR"/>
        </w:rPr>
        <w:t> </w:t>
      </w:r>
      <w:r w:rsidRPr="003D35FA">
        <w:rPr>
          <w:bCs/>
          <w:lang w:val="fr-FR"/>
        </w:rPr>
        <w:t>7.</w:t>
      </w:r>
      <w:r w:rsidRPr="003D35FA">
        <w:rPr>
          <w:lang w:val="fr-FR"/>
        </w:rPr>
        <w:tab/>
      </w:r>
      <w:r w:rsidRPr="003D35FA">
        <w:rPr>
          <w:bCs/>
          <w:lang w:val="fr-FR"/>
        </w:rPr>
        <w:t>Paramètres de fonctionnement et conditions d</w:t>
      </w:r>
      <w:r>
        <w:rPr>
          <w:bCs/>
          <w:lang w:val="fr-FR"/>
        </w:rPr>
        <w:t>’</w:t>
      </w:r>
      <w:r w:rsidRPr="003D35FA">
        <w:rPr>
          <w:bCs/>
          <w:lang w:val="fr-FR"/>
        </w:rPr>
        <w:t>essai</w:t>
      </w:r>
    </w:p>
    <w:p w14:paraId="2DF79A44" w14:textId="77777777" w:rsidR="00351DD1" w:rsidRPr="003D35FA" w:rsidRDefault="00351DD1" w:rsidP="00351DD1">
      <w:pPr>
        <w:pStyle w:val="SingleTxtG"/>
        <w:ind w:left="2268"/>
        <w:rPr>
          <w:lang w:val="fr-FR"/>
        </w:rPr>
      </w:pPr>
      <w:r w:rsidRPr="003D35FA">
        <w:rPr>
          <w:lang w:val="fr-FR"/>
        </w:rPr>
        <w:tab/>
        <w:t>Les feux utilisés dans les dispositifs d</w:t>
      </w:r>
      <w:r>
        <w:rPr>
          <w:lang w:val="fr-FR"/>
        </w:rPr>
        <w:t>’</w:t>
      </w:r>
      <w:r w:rsidRPr="003D35FA">
        <w:rPr>
          <w:lang w:val="fr-FR"/>
        </w:rPr>
        <w:t>alarme visuelle, et qui font partie du système normal d</w:t>
      </w:r>
      <w:r>
        <w:rPr>
          <w:lang w:val="fr-FR"/>
        </w:rPr>
        <w:t>’</w:t>
      </w:r>
      <w:r w:rsidRPr="003D35FA">
        <w:rPr>
          <w:lang w:val="fr-FR"/>
        </w:rPr>
        <w:t>éclairage du véhicule, n</w:t>
      </w:r>
      <w:r>
        <w:rPr>
          <w:lang w:val="fr-FR"/>
        </w:rPr>
        <w:t>’</w:t>
      </w:r>
      <w:r w:rsidRPr="003D35FA">
        <w:rPr>
          <w:lang w:val="fr-FR"/>
        </w:rPr>
        <w:t>ont pas à satisfaire aux paramètres de fonctionnement prescrits au paragraphe 7.1 ni à faire l</w:t>
      </w:r>
      <w:r>
        <w:rPr>
          <w:lang w:val="fr-FR"/>
        </w:rPr>
        <w:t>’</w:t>
      </w:r>
      <w:r w:rsidRPr="003D35FA">
        <w:rPr>
          <w:lang w:val="fr-FR"/>
        </w:rPr>
        <w:t>objet des essais indiqués au paragraphe 7.2.</w:t>
      </w:r>
    </w:p>
    <w:p w14:paraId="0EE5FECB" w14:textId="77777777" w:rsidR="00351DD1" w:rsidRPr="003D35FA" w:rsidRDefault="00351DD1" w:rsidP="00351DD1">
      <w:pPr>
        <w:pStyle w:val="SingleTxtG"/>
        <w:ind w:left="2268"/>
        <w:rPr>
          <w:bCs/>
          <w:lang w:val="fr-FR"/>
        </w:rPr>
      </w:pPr>
      <w:r w:rsidRPr="003D35FA">
        <w:rPr>
          <w:lang w:val="fr-FR"/>
        </w:rPr>
        <w:tab/>
        <w:t>Les éléments qui ne sont pas intégrés aux véhicules (tels que les clefs utilisées pour activer et désactiver le système d</w:t>
      </w:r>
      <w:r>
        <w:rPr>
          <w:lang w:val="fr-FR"/>
        </w:rPr>
        <w:t>’</w:t>
      </w:r>
      <w:r w:rsidRPr="003D35FA">
        <w:rPr>
          <w:lang w:val="fr-FR"/>
        </w:rPr>
        <w:t>alarme pour véhicule) n</w:t>
      </w:r>
      <w:r>
        <w:rPr>
          <w:lang w:val="fr-FR"/>
        </w:rPr>
        <w:t>’</w:t>
      </w:r>
      <w:r w:rsidRPr="003D35FA">
        <w:rPr>
          <w:lang w:val="fr-FR"/>
        </w:rPr>
        <w:t>ont pas à satisfaire aux paramètres de fonctionnement prescrits au paragraphe 7.1 ni à faire l</w:t>
      </w:r>
      <w:r>
        <w:rPr>
          <w:lang w:val="fr-FR"/>
        </w:rPr>
        <w:t>’</w:t>
      </w:r>
      <w:r w:rsidRPr="003D35FA">
        <w:rPr>
          <w:lang w:val="fr-FR"/>
        </w:rPr>
        <w:t>objet des essais indiqués au paragraphe 7.2. ».</w:t>
      </w:r>
    </w:p>
    <w:p w14:paraId="286C6E4A" w14:textId="77777777" w:rsidR="00351DD1" w:rsidRPr="003D35FA" w:rsidRDefault="00351DD1" w:rsidP="00351DD1">
      <w:pPr>
        <w:pStyle w:val="SingleTxtG"/>
        <w:rPr>
          <w:lang w:val="fr-FR"/>
        </w:rPr>
      </w:pPr>
      <w:r w:rsidRPr="003D35FA">
        <w:rPr>
          <w:i/>
          <w:iCs/>
          <w:lang w:val="fr-FR"/>
        </w:rPr>
        <w:t>Paragraphes 14.1 à 14.3</w:t>
      </w:r>
      <w:r w:rsidRPr="003D35FA">
        <w:rPr>
          <w:lang w:val="fr-FR"/>
        </w:rPr>
        <w:t>, supprimer.</w:t>
      </w:r>
    </w:p>
    <w:p w14:paraId="62CFDDBB" w14:textId="5CECCDE5" w:rsidR="00351DD1" w:rsidRPr="003D35FA" w:rsidRDefault="00351DD1" w:rsidP="00351DD1">
      <w:pPr>
        <w:pStyle w:val="SingleTxtG"/>
        <w:rPr>
          <w:lang w:val="fr-FR"/>
        </w:rPr>
      </w:pPr>
      <w:r w:rsidRPr="003D35FA">
        <w:rPr>
          <w:i/>
          <w:iCs/>
          <w:lang w:val="fr-FR"/>
        </w:rPr>
        <w:t>Ajouter les nouveaux paragraphes 14.1</w:t>
      </w:r>
      <w:r w:rsidRPr="003D35FA">
        <w:rPr>
          <w:lang w:val="fr-FR"/>
        </w:rPr>
        <w:t xml:space="preserve"> </w:t>
      </w:r>
      <w:r w:rsidRPr="003D35FA">
        <w:rPr>
          <w:i/>
          <w:iCs/>
          <w:lang w:val="fr-FR"/>
        </w:rPr>
        <w:t>à 14.3</w:t>
      </w:r>
      <w:r w:rsidRPr="003D35FA">
        <w:rPr>
          <w:lang w:val="fr-FR"/>
        </w:rPr>
        <w:t>, libellés comme suit</w:t>
      </w:r>
      <w:r>
        <w:rPr>
          <w:lang w:val="fr-FR"/>
        </w:rPr>
        <w:t> :</w:t>
      </w:r>
    </w:p>
    <w:p w14:paraId="5B7A2866" w14:textId="77777777" w:rsidR="00351DD1" w:rsidRPr="003D35FA" w:rsidRDefault="00351DD1" w:rsidP="00351DD1">
      <w:pPr>
        <w:pStyle w:val="HChG"/>
        <w:ind w:left="2268"/>
        <w:rPr>
          <w:bCs/>
          <w:lang w:val="fr-FR"/>
        </w:rPr>
      </w:pPr>
      <w:r w:rsidRPr="003D35FA">
        <w:rPr>
          <w:b w:val="0"/>
          <w:bCs/>
          <w:lang w:val="fr-FR"/>
        </w:rPr>
        <w:t>«</w:t>
      </w:r>
      <w:r w:rsidRPr="003D35FA">
        <w:rPr>
          <w:lang w:val="fr-FR"/>
        </w:rPr>
        <w:t> </w:t>
      </w:r>
      <w:r w:rsidRPr="003D35FA">
        <w:rPr>
          <w:bCs/>
          <w:lang w:val="fr-FR"/>
        </w:rPr>
        <w:t>14.</w:t>
      </w:r>
      <w:r w:rsidRPr="003D35FA">
        <w:rPr>
          <w:lang w:val="fr-FR"/>
        </w:rPr>
        <w:tab/>
      </w:r>
      <w:r w:rsidRPr="003D35FA">
        <w:rPr>
          <w:bCs/>
          <w:lang w:val="fr-FR"/>
        </w:rPr>
        <w:t>Modification du type et extension de l</w:t>
      </w:r>
      <w:r>
        <w:rPr>
          <w:bCs/>
          <w:lang w:val="fr-FR"/>
        </w:rPr>
        <w:t>’</w:t>
      </w:r>
      <w:r w:rsidRPr="003D35FA">
        <w:rPr>
          <w:bCs/>
          <w:lang w:val="fr-FR"/>
        </w:rPr>
        <w:t>homologation</w:t>
      </w:r>
    </w:p>
    <w:p w14:paraId="786CA63F" w14:textId="3873D198" w:rsidR="00351DD1" w:rsidRPr="003D35FA" w:rsidRDefault="00351DD1" w:rsidP="00351DD1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14.1</w:t>
      </w:r>
      <w:r w:rsidRPr="003D35FA">
        <w:rPr>
          <w:lang w:val="fr-FR"/>
        </w:rPr>
        <w:tab/>
        <w:t>Toute modification du type de véhicule ou du type d</w:t>
      </w:r>
      <w:r>
        <w:rPr>
          <w:lang w:val="fr-FR"/>
        </w:rPr>
        <w:t>’</w:t>
      </w:r>
      <w:r w:rsidRPr="003D35FA">
        <w:rPr>
          <w:lang w:val="fr-FR"/>
        </w:rPr>
        <w:t>équipement concernant le présent Règlement ONU doit être portée à la connaissance de l</w:t>
      </w:r>
      <w:r>
        <w:rPr>
          <w:lang w:val="fr-FR"/>
        </w:rPr>
        <w:t>’</w:t>
      </w:r>
      <w:r w:rsidRPr="003D35FA">
        <w:rPr>
          <w:lang w:val="fr-FR"/>
        </w:rPr>
        <w:t>autorité d</w:t>
      </w:r>
      <w:r>
        <w:rPr>
          <w:lang w:val="fr-FR"/>
        </w:rPr>
        <w:t>’</w:t>
      </w:r>
      <w:r w:rsidRPr="003D35FA">
        <w:rPr>
          <w:lang w:val="fr-FR"/>
        </w:rPr>
        <w:t>homologation de type qui a homologué ce type de véhicule ou d</w:t>
      </w:r>
      <w:r>
        <w:rPr>
          <w:lang w:val="fr-FR"/>
        </w:rPr>
        <w:t>’</w:t>
      </w:r>
      <w:r w:rsidRPr="003D35FA">
        <w:rPr>
          <w:lang w:val="fr-FR"/>
        </w:rPr>
        <w:t>équipement. Cette autorité peut alors</w:t>
      </w:r>
      <w:r>
        <w:rPr>
          <w:lang w:val="fr-FR"/>
        </w:rPr>
        <w:t> :</w:t>
      </w:r>
    </w:p>
    <w:p w14:paraId="7B32ACE1" w14:textId="1E481956" w:rsidR="00351DD1" w:rsidRPr="003D35FA" w:rsidRDefault="00351DD1" w:rsidP="00351DD1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14.1.1</w:t>
      </w:r>
      <w:r w:rsidRPr="003D35FA">
        <w:rPr>
          <w:lang w:val="fr-FR"/>
        </w:rPr>
        <w:tab/>
        <w:t xml:space="preserve">Soit considérer que les modifications apportées ne risquent pas </w:t>
      </w:r>
      <w:proofErr w:type="gramStart"/>
      <w:r w:rsidRPr="003D35FA">
        <w:rPr>
          <w:lang w:val="fr-FR"/>
        </w:rPr>
        <w:t>d</w:t>
      </w:r>
      <w:r>
        <w:rPr>
          <w:lang w:val="fr-FR"/>
        </w:rPr>
        <w:t>’</w:t>
      </w:r>
      <w:r w:rsidRPr="003D35FA">
        <w:rPr>
          <w:lang w:val="fr-FR"/>
        </w:rPr>
        <w:t>avoir</w:t>
      </w:r>
      <w:proofErr w:type="gramEnd"/>
      <w:r w:rsidRPr="003D35FA">
        <w:rPr>
          <w:lang w:val="fr-FR"/>
        </w:rPr>
        <w:t xml:space="preserve"> des conséquences défavorables notables et qu</w:t>
      </w:r>
      <w:r>
        <w:rPr>
          <w:lang w:val="fr-FR"/>
        </w:rPr>
        <w:t>’</w:t>
      </w:r>
      <w:r w:rsidRPr="003D35FA">
        <w:rPr>
          <w:lang w:val="fr-FR"/>
        </w:rPr>
        <w:t>en tout cas l</w:t>
      </w:r>
      <w:r>
        <w:rPr>
          <w:lang w:val="fr-FR"/>
        </w:rPr>
        <w:t>’</w:t>
      </w:r>
      <w:r w:rsidRPr="003D35FA">
        <w:rPr>
          <w:lang w:val="fr-FR"/>
        </w:rPr>
        <w:t>équipement ou le véhicule satisfait encore aux prescriptions</w:t>
      </w:r>
      <w:r>
        <w:rPr>
          <w:lang w:val="fr-FR"/>
        </w:rPr>
        <w:t> ;</w:t>
      </w:r>
    </w:p>
    <w:p w14:paraId="621F2674" w14:textId="77777777" w:rsidR="00351DD1" w:rsidRPr="003D35FA" w:rsidRDefault="00351DD1" w:rsidP="00351DD1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14.1.2</w:t>
      </w:r>
      <w:r w:rsidRPr="003D35FA">
        <w:rPr>
          <w:lang w:val="fr-FR"/>
        </w:rPr>
        <w:tab/>
        <w:t>Soit exiger un nouveau procès-verbal du service technique chargé des essais.</w:t>
      </w:r>
    </w:p>
    <w:p w14:paraId="60130D93" w14:textId="77777777" w:rsidR="00351DD1" w:rsidRPr="003D35FA" w:rsidRDefault="00351DD1" w:rsidP="00351DD1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14.2</w:t>
      </w:r>
      <w:r w:rsidRPr="003D35FA">
        <w:rPr>
          <w:lang w:val="fr-FR"/>
        </w:rPr>
        <w:tab/>
        <w:t>La confirmation ou le refus de l</w:t>
      </w:r>
      <w:r>
        <w:rPr>
          <w:lang w:val="fr-FR"/>
        </w:rPr>
        <w:t>’</w:t>
      </w:r>
      <w:r w:rsidRPr="003D35FA">
        <w:rPr>
          <w:lang w:val="fr-FR"/>
        </w:rPr>
        <w:t>homologation, accompagnés d</w:t>
      </w:r>
      <w:r>
        <w:rPr>
          <w:lang w:val="fr-FR"/>
        </w:rPr>
        <w:t>’</w:t>
      </w:r>
      <w:r w:rsidRPr="003D35FA">
        <w:rPr>
          <w:lang w:val="fr-FR"/>
        </w:rPr>
        <w:t>information</w:t>
      </w:r>
      <w:r>
        <w:rPr>
          <w:lang w:val="fr-FR"/>
        </w:rPr>
        <w:t>s</w:t>
      </w:r>
      <w:r w:rsidRPr="003D35FA">
        <w:rPr>
          <w:lang w:val="fr-FR"/>
        </w:rPr>
        <w:t xml:space="preserve"> sur les modifications apportées, doivent être notifiés aux Parties à l</w:t>
      </w:r>
      <w:r>
        <w:rPr>
          <w:lang w:val="fr-FR"/>
        </w:rPr>
        <w:t>’</w:t>
      </w:r>
      <w:r w:rsidRPr="003D35FA">
        <w:rPr>
          <w:lang w:val="fr-FR"/>
        </w:rPr>
        <w:t>Accord appliquant le présent Règlement ONU selon la procédure indiquée au paragraphe 4.3 ci-dessus.</w:t>
      </w:r>
    </w:p>
    <w:p w14:paraId="55FCADA6" w14:textId="6E72ADD4" w:rsidR="00351DD1" w:rsidRPr="003D35FA" w:rsidRDefault="00351DD1" w:rsidP="00351DD1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14.3</w:t>
      </w:r>
      <w:r w:rsidRPr="003D35FA">
        <w:rPr>
          <w:lang w:val="fr-FR"/>
        </w:rPr>
        <w:tab/>
        <w:t>L</w:t>
      </w:r>
      <w:r>
        <w:rPr>
          <w:lang w:val="fr-FR"/>
        </w:rPr>
        <w:t>’</w:t>
      </w:r>
      <w:r w:rsidRPr="003D35FA">
        <w:rPr>
          <w:lang w:val="fr-FR"/>
        </w:rPr>
        <w:t>autorité d</w:t>
      </w:r>
      <w:r>
        <w:rPr>
          <w:lang w:val="fr-FR"/>
        </w:rPr>
        <w:t>’</w:t>
      </w:r>
      <w:r w:rsidRPr="003D35FA">
        <w:rPr>
          <w:lang w:val="fr-FR"/>
        </w:rPr>
        <w:t>homologation de type qui délivre l</w:t>
      </w:r>
      <w:r>
        <w:rPr>
          <w:lang w:val="fr-FR"/>
        </w:rPr>
        <w:t>’</w:t>
      </w:r>
      <w:r w:rsidRPr="003D35FA">
        <w:rPr>
          <w:lang w:val="fr-FR"/>
        </w:rPr>
        <w:t>extension d</w:t>
      </w:r>
      <w:r>
        <w:rPr>
          <w:lang w:val="fr-FR"/>
        </w:rPr>
        <w:t>’</w:t>
      </w:r>
      <w:r w:rsidRPr="003D35FA">
        <w:rPr>
          <w:lang w:val="fr-FR"/>
        </w:rPr>
        <w:t>homologation doit en informer les autres Parties contractantes au moyen de la fiche de communication qui figure dans l</w:t>
      </w:r>
      <w:r>
        <w:rPr>
          <w:lang w:val="fr-FR"/>
        </w:rPr>
        <w:t>’</w:t>
      </w:r>
      <w:r w:rsidRPr="003D35FA">
        <w:rPr>
          <w:lang w:val="fr-FR"/>
        </w:rPr>
        <w:t>annexe 1 du présent Règlement ONU. Elle</w:t>
      </w:r>
      <w:r w:rsidR="00F8299B">
        <w:rPr>
          <w:lang w:val="fr-FR"/>
        </w:rPr>
        <w:t> </w:t>
      </w:r>
      <w:r w:rsidRPr="003D35FA">
        <w:rPr>
          <w:lang w:val="fr-FR"/>
        </w:rPr>
        <w:t>doit attribuer un numéro de série à chaque fiche de communication établie pour une telle extension. ».</w:t>
      </w:r>
    </w:p>
    <w:p w14:paraId="599E8CB3" w14:textId="05369AB6" w:rsidR="00351DD1" w:rsidRPr="003D35FA" w:rsidRDefault="00351DD1" w:rsidP="00351DD1">
      <w:pPr>
        <w:pStyle w:val="SingleTxtG"/>
        <w:rPr>
          <w:lang w:val="fr-FR"/>
        </w:rPr>
      </w:pPr>
      <w:r w:rsidRPr="003D35FA">
        <w:rPr>
          <w:i/>
          <w:iCs/>
          <w:lang w:val="fr-FR"/>
        </w:rPr>
        <w:lastRenderedPageBreak/>
        <w:t>Annexe 1a, paragraphe 3.1.1</w:t>
      </w:r>
      <w:r w:rsidRPr="003D35FA">
        <w:rPr>
          <w:lang w:val="fr-FR"/>
        </w:rPr>
        <w:t>, lire</w:t>
      </w:r>
      <w:r>
        <w:rPr>
          <w:lang w:val="fr-FR"/>
        </w:rPr>
        <w:t> :</w:t>
      </w:r>
    </w:p>
    <w:p w14:paraId="32888F3D" w14:textId="3352CD5C" w:rsidR="00351DD1" w:rsidRPr="003D35FA" w:rsidRDefault="00351DD1" w:rsidP="00351DD1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« 3.1.1</w:t>
      </w:r>
      <w:r w:rsidRPr="003D35FA">
        <w:rPr>
          <w:lang w:val="fr-FR"/>
        </w:rPr>
        <w:tab/>
        <w:t>Description détaillée du type de véhicule en ce qui concerne l</w:t>
      </w:r>
      <w:r>
        <w:rPr>
          <w:lang w:val="fr-FR"/>
        </w:rPr>
        <w:t>’</w:t>
      </w:r>
      <w:r w:rsidRPr="003D35FA">
        <w:rPr>
          <w:lang w:val="fr-FR"/>
        </w:rPr>
        <w:t>aménagement du système d</w:t>
      </w:r>
      <w:r>
        <w:rPr>
          <w:lang w:val="fr-FR"/>
        </w:rPr>
        <w:t>’</w:t>
      </w:r>
      <w:r w:rsidRPr="003D35FA">
        <w:rPr>
          <w:lang w:val="fr-FR"/>
        </w:rPr>
        <w:t>alarme pour véhicules installé, illustrée par des photographies ou des schémas (si le système d</w:t>
      </w:r>
      <w:r>
        <w:rPr>
          <w:lang w:val="fr-FR"/>
        </w:rPr>
        <w:t>’</w:t>
      </w:r>
      <w:r w:rsidRPr="003D35FA">
        <w:rPr>
          <w:lang w:val="fr-FR"/>
        </w:rPr>
        <w:t>alarme pour véhicule</w:t>
      </w:r>
      <w:r w:rsidRPr="003D35FA">
        <w:rPr>
          <w:b/>
          <w:bCs/>
          <w:lang w:val="fr-FR"/>
        </w:rPr>
        <w:t xml:space="preserve"> </w:t>
      </w:r>
      <w:r w:rsidRPr="003D35FA">
        <w:rPr>
          <w:lang w:val="fr-FR"/>
        </w:rPr>
        <w:t>fait déjà l</w:t>
      </w:r>
      <w:r>
        <w:rPr>
          <w:lang w:val="fr-FR"/>
        </w:rPr>
        <w:t>’</w:t>
      </w:r>
      <w:r w:rsidRPr="003D35FA">
        <w:rPr>
          <w:lang w:val="fr-FR"/>
        </w:rPr>
        <w:t>objet d</w:t>
      </w:r>
      <w:r>
        <w:rPr>
          <w:lang w:val="fr-FR"/>
        </w:rPr>
        <w:t>’</w:t>
      </w:r>
      <w:r w:rsidRPr="003D35FA">
        <w:rPr>
          <w:lang w:val="fr-FR"/>
        </w:rPr>
        <w:t>une homologation de type en tant qu</w:t>
      </w:r>
      <w:r>
        <w:rPr>
          <w:lang w:val="fr-FR"/>
        </w:rPr>
        <w:t>’</w:t>
      </w:r>
      <w:r w:rsidRPr="003D35FA">
        <w:rPr>
          <w:lang w:val="fr-FR"/>
        </w:rPr>
        <w:t>entité technique distincte, il peut être fait mention de la description figurant au point 4.2 de la fiche de renseignements fournie par le fabricant dudit système)</w:t>
      </w:r>
      <w:r>
        <w:rPr>
          <w:lang w:val="fr-FR"/>
        </w:rPr>
        <w:t> :</w:t>
      </w:r>
      <w:r w:rsidRPr="003D35FA">
        <w:rPr>
          <w:lang w:val="fr-FR"/>
        </w:rPr>
        <w:t> ».</w:t>
      </w:r>
    </w:p>
    <w:p w14:paraId="3BEBD354" w14:textId="474993E9" w:rsidR="00351DD1" w:rsidRPr="003D35FA" w:rsidRDefault="00351DD1" w:rsidP="00351DD1">
      <w:pPr>
        <w:pStyle w:val="SingleTxtG"/>
        <w:rPr>
          <w:i/>
          <w:lang w:val="fr-FR"/>
        </w:rPr>
      </w:pPr>
      <w:r w:rsidRPr="003D35FA">
        <w:rPr>
          <w:i/>
          <w:iCs/>
          <w:lang w:val="fr-FR"/>
        </w:rPr>
        <w:t>Annexe 2b, paragraphe 4.2.4</w:t>
      </w:r>
      <w:r w:rsidRPr="003D35FA">
        <w:rPr>
          <w:lang w:val="fr-FR"/>
        </w:rPr>
        <w:t>, lire</w:t>
      </w:r>
      <w:r>
        <w:rPr>
          <w:lang w:val="fr-FR"/>
        </w:rPr>
        <w:t> :</w:t>
      </w:r>
    </w:p>
    <w:p w14:paraId="5DB2F21E" w14:textId="4533403E" w:rsidR="00F9573C" w:rsidRDefault="00351DD1" w:rsidP="00351DD1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« 4.2.4</w:t>
      </w:r>
      <w:r>
        <w:rPr>
          <w:lang w:val="fr-FR"/>
        </w:rPr>
        <w:tab/>
      </w:r>
      <w:r>
        <w:rPr>
          <w:lang w:val="fr-FR"/>
        </w:rPr>
        <w:tab/>
      </w:r>
      <w:r w:rsidRPr="003D35FA">
        <w:rPr>
          <w:lang w:val="fr-FR"/>
        </w:rPr>
        <w:t>Types de véhicules sur lesquels le système d</w:t>
      </w:r>
      <w:r>
        <w:rPr>
          <w:lang w:val="fr-FR"/>
        </w:rPr>
        <w:t>’</w:t>
      </w:r>
      <w:r w:rsidRPr="003D35FA">
        <w:rPr>
          <w:lang w:val="fr-FR"/>
        </w:rPr>
        <w:t>alarme pour véhicules a été mis à l</w:t>
      </w:r>
      <w:r>
        <w:rPr>
          <w:lang w:val="fr-FR"/>
        </w:rPr>
        <w:t>’</w:t>
      </w:r>
      <w:r w:rsidRPr="003D35FA">
        <w:rPr>
          <w:lang w:val="fr-FR"/>
        </w:rPr>
        <w:t>essai</w:t>
      </w:r>
      <w:r>
        <w:rPr>
          <w:lang w:val="fr-FR"/>
        </w:rPr>
        <w:t> :</w:t>
      </w:r>
      <w:r w:rsidRPr="003D35FA">
        <w:rPr>
          <w:lang w:val="fr-FR"/>
        </w:rPr>
        <w:t> ».</w:t>
      </w:r>
    </w:p>
    <w:p w14:paraId="0AE47936" w14:textId="3461CBAD" w:rsidR="00351DD1" w:rsidRPr="00351DD1" w:rsidRDefault="00351DD1" w:rsidP="00351DD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1DD1" w:rsidRPr="00351DD1" w:rsidSect="00351D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A6CC" w14:textId="77777777" w:rsidR="00592021" w:rsidRDefault="00592021" w:rsidP="00F95C08">
      <w:pPr>
        <w:spacing w:line="240" w:lineRule="auto"/>
      </w:pPr>
    </w:p>
  </w:endnote>
  <w:endnote w:type="continuationSeparator" w:id="0">
    <w:p w14:paraId="48E34985" w14:textId="77777777" w:rsidR="00592021" w:rsidRPr="00AC3823" w:rsidRDefault="00592021" w:rsidP="00AC3823">
      <w:pPr>
        <w:pStyle w:val="Pieddepage"/>
      </w:pPr>
    </w:p>
  </w:endnote>
  <w:endnote w:type="continuationNotice" w:id="1">
    <w:p w14:paraId="544F2ED2" w14:textId="77777777" w:rsidR="00592021" w:rsidRDefault="005920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4039" w14:textId="52CC3AF3" w:rsidR="00351DD1" w:rsidRPr="00351DD1" w:rsidRDefault="00351DD1" w:rsidP="00351DD1">
    <w:pPr>
      <w:pStyle w:val="Pieddepage"/>
      <w:tabs>
        <w:tab w:val="right" w:pos="9638"/>
      </w:tabs>
    </w:pPr>
    <w:r w:rsidRPr="00351DD1">
      <w:rPr>
        <w:b/>
        <w:sz w:val="18"/>
      </w:rPr>
      <w:fldChar w:fldCharType="begin"/>
    </w:r>
    <w:r w:rsidRPr="00351DD1">
      <w:rPr>
        <w:b/>
        <w:sz w:val="18"/>
      </w:rPr>
      <w:instrText xml:space="preserve"> PAGE  \* MERGEFORMAT </w:instrText>
    </w:r>
    <w:r w:rsidRPr="00351DD1">
      <w:rPr>
        <w:b/>
        <w:sz w:val="18"/>
      </w:rPr>
      <w:fldChar w:fldCharType="separate"/>
    </w:r>
    <w:r w:rsidRPr="00351DD1">
      <w:rPr>
        <w:b/>
        <w:noProof/>
        <w:sz w:val="18"/>
      </w:rPr>
      <w:t>2</w:t>
    </w:r>
    <w:r w:rsidRPr="00351DD1">
      <w:rPr>
        <w:b/>
        <w:sz w:val="18"/>
      </w:rPr>
      <w:fldChar w:fldCharType="end"/>
    </w:r>
    <w:r>
      <w:rPr>
        <w:b/>
        <w:sz w:val="18"/>
      </w:rPr>
      <w:tab/>
    </w:r>
    <w:r>
      <w:t>GE.23-11655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A677" w14:textId="7258FCEF" w:rsidR="00351DD1" w:rsidRPr="00351DD1" w:rsidRDefault="00351DD1" w:rsidP="00351DD1">
    <w:pPr>
      <w:pStyle w:val="Pieddepage"/>
      <w:tabs>
        <w:tab w:val="right" w:pos="9638"/>
      </w:tabs>
      <w:rPr>
        <w:b/>
        <w:sz w:val="18"/>
      </w:rPr>
    </w:pPr>
    <w:r>
      <w:t>GE.23-11655</w:t>
    </w:r>
    <w:r>
      <w:tab/>
    </w:r>
    <w:r w:rsidRPr="00351DD1">
      <w:rPr>
        <w:b/>
        <w:sz w:val="18"/>
      </w:rPr>
      <w:fldChar w:fldCharType="begin"/>
    </w:r>
    <w:r w:rsidRPr="00351DD1">
      <w:rPr>
        <w:b/>
        <w:sz w:val="18"/>
      </w:rPr>
      <w:instrText xml:space="preserve"> PAGE  \* MERGEFORMAT </w:instrText>
    </w:r>
    <w:r w:rsidRPr="00351DD1">
      <w:rPr>
        <w:b/>
        <w:sz w:val="18"/>
      </w:rPr>
      <w:fldChar w:fldCharType="separate"/>
    </w:r>
    <w:r w:rsidRPr="00351DD1">
      <w:rPr>
        <w:b/>
        <w:noProof/>
        <w:sz w:val="18"/>
      </w:rPr>
      <w:t>3</w:t>
    </w:r>
    <w:r w:rsidRPr="00351D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E6C0" w14:textId="048B5814" w:rsidR="007F20FA" w:rsidRPr="00351DD1" w:rsidRDefault="00351DD1" w:rsidP="00351DD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42430AA" wp14:editId="7B357CE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23-11655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F23F564" wp14:editId="3978CEF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107161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040124    040124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600E" w14:textId="77777777" w:rsidR="00592021" w:rsidRPr="00AC3823" w:rsidRDefault="0059202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B635F5" w14:textId="77777777" w:rsidR="00592021" w:rsidRPr="00AC3823" w:rsidRDefault="0059202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757962" w14:textId="77777777" w:rsidR="00592021" w:rsidRPr="00AC3823" w:rsidRDefault="00592021">
      <w:pPr>
        <w:spacing w:line="240" w:lineRule="auto"/>
        <w:rPr>
          <w:sz w:val="2"/>
          <w:szCs w:val="2"/>
        </w:rPr>
      </w:pPr>
    </w:p>
  </w:footnote>
  <w:footnote w:id="2">
    <w:p w14:paraId="14E4A6C6" w14:textId="587A78D8" w:rsidR="00351DD1" w:rsidRDefault="00351DD1" w:rsidP="00351DD1">
      <w:pPr>
        <w:pStyle w:val="Notedebasdepage"/>
      </w:pPr>
      <w:r>
        <w:rPr>
          <w:rStyle w:val="Appelnotedebasdep"/>
        </w:rPr>
        <w:tab/>
      </w:r>
      <w:r w:rsidRPr="00351DD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E76E32">
        <w:t>Anciens titres de l’Accord</w:t>
      </w:r>
      <w:r>
        <w:t xml:space="preserve"> : </w:t>
      </w:r>
    </w:p>
    <w:p w14:paraId="22DEBDE4" w14:textId="68FEF58C" w:rsidR="00351DD1" w:rsidRDefault="00351DD1" w:rsidP="00351DD1">
      <w:pPr>
        <w:pStyle w:val="Notedebasdepage"/>
      </w:pPr>
      <w:r>
        <w:tab/>
      </w:r>
      <w:r>
        <w:tab/>
      </w:r>
      <w:r w:rsidRPr="00E76E32">
        <w:t>Accord concernant l’adoption de conditions uniformes d’homologation et la reconnaissance réciproque de l’homologation des équipements et pièces de véhicules à moteur, en date, à Genève, du</w:t>
      </w:r>
      <w:r>
        <w:t> </w:t>
      </w:r>
      <w:r w:rsidRPr="00E76E32">
        <w:t>20</w:t>
      </w:r>
      <w:r>
        <w:t> </w:t>
      </w:r>
      <w:r w:rsidRPr="00E76E32">
        <w:t>mars 1958 (version originale)</w:t>
      </w:r>
      <w:r>
        <w:t> ;</w:t>
      </w:r>
    </w:p>
    <w:p w14:paraId="67EFC3A8" w14:textId="31F7D407" w:rsidR="00351DD1" w:rsidRPr="00351DD1" w:rsidRDefault="00351DD1" w:rsidP="00351DD1">
      <w:pPr>
        <w:pStyle w:val="Notedebasdepage"/>
        <w:rPr>
          <w:lang w:val="fr-FR"/>
        </w:rPr>
      </w:pPr>
      <w:r>
        <w:tab/>
      </w:r>
      <w:r>
        <w:tab/>
      </w:r>
      <w:r w:rsidRPr="00E76E32">
        <w:t>Accord concernant l’adoption de prescriptions techniques uniformes applicables aux véhicules à</w:t>
      </w:r>
      <w:r>
        <w:t> </w:t>
      </w:r>
      <w:r w:rsidRPr="00E76E32">
        <w:t>roues, aux équipements et aux pièces susceptibles d’être montés ou utilisés sur un véhicule à roues et</w:t>
      </w:r>
      <w:r>
        <w:t> </w:t>
      </w:r>
      <w:r w:rsidRPr="00E76E32">
        <w:t>les conditions de reconnaissance réciproque des homologations délivrées conformément à ces prescriptions, en date, à Genève, du 5</w:t>
      </w:r>
      <w:r>
        <w:t> </w:t>
      </w:r>
      <w:r w:rsidRPr="00E76E32">
        <w:t>octobre 1995 (Révision</w:t>
      </w:r>
      <w:r>
        <w:t> </w:t>
      </w:r>
      <w:r w:rsidRPr="00E76E32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70F4" w14:textId="1D48D18A" w:rsidR="00351DD1" w:rsidRPr="00351DD1" w:rsidRDefault="00A8759B">
    <w:pPr>
      <w:pStyle w:val="En-tte"/>
    </w:pPr>
    <w:fldSimple w:instr=" TITLE  \* MERGEFORMAT ">
      <w:r w:rsidR="00351DD1">
        <w:t>E/ECE/TRANS/505/Rev.3/Add.162/Amend.2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0689" w14:textId="0A70E886" w:rsidR="00351DD1" w:rsidRPr="00351DD1" w:rsidRDefault="00A8759B" w:rsidP="00351DD1">
    <w:pPr>
      <w:pStyle w:val="En-tte"/>
      <w:jc w:val="right"/>
    </w:pPr>
    <w:fldSimple w:instr=" TITLE  \* MERGEFORMAT ">
      <w:r w:rsidR="00351DD1">
        <w:t>E/ECE/TRANS/505/Rev.3/Add.162/Amend.2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10578709">
    <w:abstractNumId w:val="12"/>
  </w:num>
  <w:num w:numId="2" w16cid:durableId="1064984516">
    <w:abstractNumId w:val="11"/>
  </w:num>
  <w:num w:numId="3" w16cid:durableId="1498492670">
    <w:abstractNumId w:val="10"/>
  </w:num>
  <w:num w:numId="4" w16cid:durableId="828788805">
    <w:abstractNumId w:val="8"/>
  </w:num>
  <w:num w:numId="5" w16cid:durableId="404189520">
    <w:abstractNumId w:val="3"/>
  </w:num>
  <w:num w:numId="6" w16cid:durableId="578297181">
    <w:abstractNumId w:val="2"/>
  </w:num>
  <w:num w:numId="7" w16cid:durableId="1160081111">
    <w:abstractNumId w:val="1"/>
  </w:num>
  <w:num w:numId="8" w16cid:durableId="1580207902">
    <w:abstractNumId w:val="0"/>
  </w:num>
  <w:num w:numId="9" w16cid:durableId="1686982476">
    <w:abstractNumId w:val="9"/>
  </w:num>
  <w:num w:numId="10" w16cid:durableId="1220286044">
    <w:abstractNumId w:val="7"/>
  </w:num>
  <w:num w:numId="11" w16cid:durableId="828520884">
    <w:abstractNumId w:val="6"/>
  </w:num>
  <w:num w:numId="12" w16cid:durableId="1161846178">
    <w:abstractNumId w:val="5"/>
  </w:num>
  <w:num w:numId="13" w16cid:durableId="1734115119">
    <w:abstractNumId w:val="4"/>
  </w:num>
  <w:num w:numId="14" w16cid:durableId="605771532">
    <w:abstractNumId w:val="12"/>
  </w:num>
  <w:num w:numId="15" w16cid:durableId="423383380">
    <w:abstractNumId w:val="11"/>
  </w:num>
  <w:num w:numId="16" w16cid:durableId="1765374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2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1DD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4E4964"/>
    <w:rsid w:val="005505B7"/>
    <w:rsid w:val="00573BE5"/>
    <w:rsid w:val="00586ED3"/>
    <w:rsid w:val="00592021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216C7"/>
    <w:rsid w:val="00A3029F"/>
    <w:rsid w:val="00A30353"/>
    <w:rsid w:val="00A8759B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8299B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AB245"/>
  <w15:docId w15:val="{13BCBB31-15A1-47E2-AF3F-9987B207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351DD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351DD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890AB-13F5-471D-A29B-8EDB716BAA50}"/>
</file>

<file path=customXml/itemProps2.xml><?xml version="1.0" encoding="utf-8"?>
<ds:datastoreItem xmlns:ds="http://schemas.openxmlformats.org/officeDocument/2006/customXml" ds:itemID="{47A59132-4553-46D7-90E6-9DFD49D3133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E/ECE/TRANS/505/Rev.3/Add.162/Amend.2</vt:lpstr>
    </vt:vector>
  </TitlesOfParts>
  <Company>DCM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E/ECE/TRANS/505/Rev.3/Add.162/Amend.2</dc:title>
  <dc:subject/>
  <dc:creator>Estelle-Delphine DITTA</dc:creator>
  <cp:keywords/>
  <cp:lastModifiedBy>Estelle-Delphine DITTA</cp:lastModifiedBy>
  <cp:revision>2</cp:revision>
  <cp:lastPrinted>2014-05-14T10:59:00Z</cp:lastPrinted>
  <dcterms:created xsi:type="dcterms:W3CDTF">2024-01-04T13:32:00Z</dcterms:created>
  <dcterms:modified xsi:type="dcterms:W3CDTF">2024-01-04T13:32:00Z</dcterms:modified>
</cp:coreProperties>
</file>