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7A1B898" w14:textId="77777777" w:rsidTr="00B20551">
        <w:trPr>
          <w:cantSplit/>
          <w:trHeight w:hRule="exact" w:val="851"/>
        </w:trPr>
        <w:tc>
          <w:tcPr>
            <w:tcW w:w="1276" w:type="dxa"/>
            <w:tcBorders>
              <w:bottom w:val="single" w:sz="4" w:space="0" w:color="auto"/>
            </w:tcBorders>
            <w:vAlign w:val="bottom"/>
          </w:tcPr>
          <w:p w14:paraId="38FC7E41" w14:textId="77777777" w:rsidR="009E6CB7" w:rsidRDefault="009E6CB7" w:rsidP="00B20551">
            <w:pPr>
              <w:spacing w:after="80"/>
            </w:pPr>
          </w:p>
        </w:tc>
        <w:tc>
          <w:tcPr>
            <w:tcW w:w="2268" w:type="dxa"/>
            <w:tcBorders>
              <w:bottom w:val="single" w:sz="4" w:space="0" w:color="auto"/>
            </w:tcBorders>
            <w:vAlign w:val="bottom"/>
          </w:tcPr>
          <w:p w14:paraId="4984450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58E6F8" w14:textId="0FD9ADA9" w:rsidR="009E6CB7" w:rsidRPr="00D47EEA" w:rsidRDefault="000E440A" w:rsidP="000E440A">
            <w:pPr>
              <w:jc w:val="right"/>
            </w:pPr>
            <w:r w:rsidRPr="000E440A">
              <w:rPr>
                <w:sz w:val="40"/>
              </w:rPr>
              <w:t>ECE</w:t>
            </w:r>
            <w:r>
              <w:t>/TRANS/WP.15/AC.1/2024/11</w:t>
            </w:r>
          </w:p>
        </w:tc>
      </w:tr>
      <w:tr w:rsidR="009E6CB7" w14:paraId="29D7C62B" w14:textId="77777777" w:rsidTr="00B20551">
        <w:trPr>
          <w:cantSplit/>
          <w:trHeight w:hRule="exact" w:val="2835"/>
        </w:trPr>
        <w:tc>
          <w:tcPr>
            <w:tcW w:w="1276" w:type="dxa"/>
            <w:tcBorders>
              <w:top w:val="single" w:sz="4" w:space="0" w:color="auto"/>
              <w:bottom w:val="single" w:sz="12" w:space="0" w:color="auto"/>
            </w:tcBorders>
          </w:tcPr>
          <w:p w14:paraId="72338CD6" w14:textId="77777777" w:rsidR="009E6CB7" w:rsidRDefault="00686A48" w:rsidP="00B20551">
            <w:pPr>
              <w:spacing w:before="120"/>
            </w:pPr>
            <w:r>
              <w:rPr>
                <w:noProof/>
                <w:lang w:val="fr-CH" w:eastAsia="fr-CH"/>
              </w:rPr>
              <w:drawing>
                <wp:inline distT="0" distB="0" distL="0" distR="0" wp14:anchorId="2B29AB99" wp14:editId="78A8E2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AEE3F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BF9E5E" w14:textId="77777777" w:rsidR="009E6CB7" w:rsidRDefault="000E440A" w:rsidP="000E440A">
            <w:pPr>
              <w:spacing w:before="240" w:line="240" w:lineRule="exact"/>
            </w:pPr>
            <w:r>
              <w:t>Distr.: General</w:t>
            </w:r>
          </w:p>
          <w:p w14:paraId="55F8025A" w14:textId="7568035C" w:rsidR="000E440A" w:rsidRDefault="003117B7" w:rsidP="000E440A">
            <w:pPr>
              <w:spacing w:line="240" w:lineRule="exact"/>
            </w:pPr>
            <w:r>
              <w:t>20</w:t>
            </w:r>
            <w:r w:rsidR="000E440A">
              <w:t xml:space="preserve"> December 2023</w:t>
            </w:r>
          </w:p>
          <w:p w14:paraId="76E32452" w14:textId="77777777" w:rsidR="000E440A" w:rsidRDefault="000E440A" w:rsidP="000E440A">
            <w:pPr>
              <w:spacing w:line="240" w:lineRule="exact"/>
            </w:pPr>
          </w:p>
          <w:p w14:paraId="566CDFEF" w14:textId="02F56411" w:rsidR="000E440A" w:rsidRDefault="000E440A" w:rsidP="000E440A">
            <w:pPr>
              <w:spacing w:line="240" w:lineRule="exact"/>
            </w:pPr>
            <w:r>
              <w:t>Original: English</w:t>
            </w:r>
          </w:p>
        </w:tc>
      </w:tr>
    </w:tbl>
    <w:p w14:paraId="4F6D0A63" w14:textId="77777777" w:rsidR="000E440A" w:rsidRPr="00960236" w:rsidRDefault="000E440A" w:rsidP="00C411EB">
      <w:pPr>
        <w:spacing w:before="120"/>
        <w:rPr>
          <w:b/>
          <w:sz w:val="28"/>
          <w:szCs w:val="28"/>
        </w:rPr>
      </w:pPr>
      <w:r w:rsidRPr="00960236">
        <w:rPr>
          <w:b/>
          <w:sz w:val="28"/>
          <w:szCs w:val="28"/>
        </w:rPr>
        <w:t>Economic Commission for Europe</w:t>
      </w:r>
    </w:p>
    <w:p w14:paraId="25345D7F" w14:textId="77777777" w:rsidR="000E440A" w:rsidRPr="00960236" w:rsidRDefault="000E440A" w:rsidP="00C411EB">
      <w:pPr>
        <w:spacing w:before="120"/>
        <w:rPr>
          <w:sz w:val="28"/>
          <w:szCs w:val="28"/>
        </w:rPr>
      </w:pPr>
      <w:r w:rsidRPr="00960236">
        <w:rPr>
          <w:sz w:val="28"/>
          <w:szCs w:val="28"/>
        </w:rPr>
        <w:t>Inland Transport Committee</w:t>
      </w:r>
    </w:p>
    <w:p w14:paraId="64F38955" w14:textId="77777777" w:rsidR="000E440A" w:rsidRPr="00960236" w:rsidRDefault="000E440A" w:rsidP="00C411EB">
      <w:pPr>
        <w:spacing w:before="120"/>
        <w:rPr>
          <w:b/>
          <w:sz w:val="24"/>
          <w:szCs w:val="24"/>
        </w:rPr>
      </w:pPr>
      <w:r w:rsidRPr="00960236">
        <w:rPr>
          <w:b/>
          <w:sz w:val="24"/>
          <w:szCs w:val="24"/>
        </w:rPr>
        <w:t>Working Party on the Transport of Dangerous Goods</w:t>
      </w:r>
    </w:p>
    <w:p w14:paraId="6DE8648F" w14:textId="77777777" w:rsidR="000E440A" w:rsidRPr="00960236" w:rsidRDefault="000E440A"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0766A442" w14:textId="17ACCF0D" w:rsidR="000E440A" w:rsidRDefault="000E440A" w:rsidP="00C411EB">
      <w:r>
        <w:t>Bern, 25-28 March 2024</w:t>
      </w:r>
    </w:p>
    <w:p w14:paraId="07B83772" w14:textId="1929C7BD" w:rsidR="000E440A" w:rsidRDefault="000E440A" w:rsidP="00C411EB">
      <w:r>
        <w:t>Item 5 (a) of the provisional agenda</w:t>
      </w:r>
    </w:p>
    <w:p w14:paraId="29942E15" w14:textId="77777777" w:rsidR="000E440A" w:rsidRDefault="000E440A" w:rsidP="000E440A">
      <w:pPr>
        <w:rPr>
          <w:b/>
          <w:bCs/>
        </w:rPr>
      </w:pPr>
      <w:r w:rsidRPr="00AE70E1">
        <w:rPr>
          <w:b/>
          <w:bCs/>
        </w:rPr>
        <w:t>Proposals for amendments to RID/ADR/ADN:</w:t>
      </w:r>
    </w:p>
    <w:p w14:paraId="46FA06D0" w14:textId="58DCCC3D" w:rsidR="000E440A" w:rsidRDefault="000E440A" w:rsidP="000E440A">
      <w:r w:rsidRPr="00AE70E1">
        <w:rPr>
          <w:b/>
          <w:bCs/>
        </w:rPr>
        <w:t>Pending issues</w:t>
      </w:r>
    </w:p>
    <w:p w14:paraId="33E7CD1A" w14:textId="49D174E0" w:rsidR="00F83D8D" w:rsidRDefault="00D64B4B" w:rsidP="00D64B4B">
      <w:pPr>
        <w:pStyle w:val="HChG"/>
      </w:pPr>
      <w:r>
        <w:tab/>
      </w:r>
      <w:r>
        <w:tab/>
      </w:r>
      <w:r w:rsidR="00F83D8D">
        <w:t xml:space="preserve">Revised </w:t>
      </w:r>
      <w:r w:rsidR="00F8426A">
        <w:t>d</w:t>
      </w:r>
      <w:r w:rsidR="00F83D8D" w:rsidRPr="00D64B4B">
        <w:t>efinition</w:t>
      </w:r>
      <w:r w:rsidR="00F83D8D">
        <w:t xml:space="preserve"> of </w:t>
      </w:r>
      <w:r w:rsidR="00D05AA4">
        <w:t>liquefied petroleum gas</w:t>
      </w:r>
    </w:p>
    <w:p w14:paraId="5EB43AC1" w14:textId="0CACDE63" w:rsidR="00F83D8D" w:rsidRPr="00D82763" w:rsidRDefault="00D64B4B" w:rsidP="00D64B4B">
      <w:pPr>
        <w:pStyle w:val="H1G"/>
        <w:rPr>
          <w:rStyle w:val="FootnoteReference"/>
        </w:rPr>
      </w:pPr>
      <w:r>
        <w:tab/>
      </w:r>
      <w:r>
        <w:tab/>
      </w:r>
      <w:r w:rsidR="00F83D8D">
        <w:t>Transmitted by Liquid Gas Europe</w:t>
      </w:r>
      <w:r w:rsidRPr="00D82763">
        <w:rPr>
          <w:rStyle w:val="FootnoteReference"/>
        </w:rPr>
        <w:footnoteReference w:customMarkFollows="1" w:id="2"/>
        <w:t>*</w:t>
      </w:r>
      <w:r w:rsidR="00563AA0" w:rsidRPr="00D82763">
        <w:rPr>
          <w:rStyle w:val="FootnoteReference"/>
        </w:rPr>
        <w:t>,</w:t>
      </w:r>
      <w:r w:rsidR="00563AA0" w:rsidRPr="00D82763">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75919" w14:paraId="492DFB08" w14:textId="77777777" w:rsidTr="006E5E26">
        <w:trPr>
          <w:jc w:val="center"/>
        </w:trPr>
        <w:tc>
          <w:tcPr>
            <w:tcW w:w="9637" w:type="dxa"/>
            <w:shd w:val="clear" w:color="auto" w:fill="auto"/>
          </w:tcPr>
          <w:p w14:paraId="5AE61E87" w14:textId="77777777" w:rsidR="00975919" w:rsidRPr="00C6263E" w:rsidRDefault="00975919" w:rsidP="006E5E26">
            <w:pPr>
              <w:spacing w:before="240" w:after="120"/>
              <w:ind w:left="255"/>
              <w:rPr>
                <w:i/>
                <w:sz w:val="24"/>
              </w:rPr>
            </w:pPr>
            <w:r w:rsidRPr="00C6263E">
              <w:rPr>
                <w:i/>
                <w:sz w:val="24"/>
              </w:rPr>
              <w:t>Summary</w:t>
            </w:r>
          </w:p>
        </w:tc>
      </w:tr>
      <w:tr w:rsidR="00975919" w14:paraId="3252361A" w14:textId="77777777" w:rsidTr="006E5E26">
        <w:trPr>
          <w:jc w:val="center"/>
        </w:trPr>
        <w:tc>
          <w:tcPr>
            <w:tcW w:w="9637" w:type="dxa"/>
            <w:shd w:val="clear" w:color="auto" w:fill="auto"/>
          </w:tcPr>
          <w:p w14:paraId="07DCEE74" w14:textId="40216460" w:rsidR="00DF3375" w:rsidRPr="000E7876" w:rsidRDefault="00DF3375" w:rsidP="00DF3375">
            <w:pPr>
              <w:tabs>
                <w:tab w:val="left" w:pos="3260"/>
              </w:tabs>
              <w:ind w:left="3260" w:right="1134" w:hanging="2126"/>
              <w:jc w:val="both"/>
            </w:pPr>
            <w:r w:rsidRPr="00A65C0D">
              <w:rPr>
                <w:b/>
                <w:lang w:eastAsia="en-US"/>
              </w:rPr>
              <w:t>Executive summary</w:t>
            </w:r>
            <w:r w:rsidRPr="00A65C0D">
              <w:rPr>
                <w:lang w:eastAsia="en-US"/>
              </w:rPr>
              <w:t>:</w:t>
            </w:r>
            <w:r w:rsidRPr="00A65C0D">
              <w:rPr>
                <w:lang w:eastAsia="en-US"/>
              </w:rPr>
              <w:tab/>
            </w:r>
            <w:r>
              <w:t xml:space="preserve">Several years ago, the </w:t>
            </w:r>
            <w:r w:rsidR="0083667A">
              <w:t>liquefied petroleum gas (</w:t>
            </w:r>
            <w:r>
              <w:t>LPG</w:t>
            </w:r>
            <w:r w:rsidR="0083667A">
              <w:t>)</w:t>
            </w:r>
            <w:r>
              <w:t xml:space="preserve"> industry introduced </w:t>
            </w:r>
            <w:proofErr w:type="spellStart"/>
            <w:r>
              <w:t>bioLPG</w:t>
            </w:r>
            <w:proofErr w:type="spellEnd"/>
            <w:r w:rsidR="00E35D63">
              <w:t>,</w:t>
            </w:r>
            <w:r>
              <w:t xml:space="preserve"> </w:t>
            </w:r>
            <w:proofErr w:type="gramStart"/>
            <w:r>
              <w:t>i</w:t>
            </w:r>
            <w:r w:rsidR="00174E4A">
              <w:t>.</w:t>
            </w:r>
            <w:r>
              <w:t>e</w:t>
            </w:r>
            <w:r w:rsidR="00174E4A">
              <w:t>.</w:t>
            </w:r>
            <w:proofErr w:type="gramEnd"/>
            <w:r>
              <w:t xml:space="preserve"> LPG (C</w:t>
            </w:r>
            <w:r w:rsidRPr="00863DE5">
              <w:rPr>
                <w:sz w:val="16"/>
                <w:szCs w:val="16"/>
              </w:rPr>
              <w:t>3</w:t>
            </w:r>
            <w:r>
              <w:t>/C</w:t>
            </w:r>
            <w:r w:rsidRPr="00863DE5">
              <w:rPr>
                <w:sz w:val="16"/>
                <w:szCs w:val="16"/>
              </w:rPr>
              <w:t>4</w:t>
            </w:r>
            <w:r>
              <w:t xml:space="preserve">) of identical molecular composition, but of bio/renewable origin. However, the existing definition of LPG in </w:t>
            </w:r>
            <w:r w:rsidR="00B16EEC">
              <w:t>RID/</w:t>
            </w:r>
            <w:r>
              <w:t>ADR</w:t>
            </w:r>
            <w:r w:rsidR="00B16EEC">
              <w:t>/ADN</w:t>
            </w:r>
            <w:r>
              <w:t xml:space="preserve">, described as a “petroleum” product, does not reflect any more either the renewable origin of </w:t>
            </w:r>
            <w:proofErr w:type="spellStart"/>
            <w:r>
              <w:t>bioLPG</w:t>
            </w:r>
            <w:proofErr w:type="spellEnd"/>
            <w:r>
              <w:t xml:space="preserve">, or the conventional LPG of </w:t>
            </w:r>
            <w:r w:rsidR="00E35D63">
              <w:t>n</w:t>
            </w:r>
            <w:r>
              <w:t xml:space="preserve">atural </w:t>
            </w:r>
            <w:r w:rsidR="00C557CB">
              <w:t>g</w:t>
            </w:r>
            <w:r>
              <w:t>as origin.</w:t>
            </w:r>
          </w:p>
          <w:p w14:paraId="41B48493" w14:textId="32C6BA82" w:rsidR="00DF3375" w:rsidRDefault="00DF3375" w:rsidP="00DF3375">
            <w:pPr>
              <w:tabs>
                <w:tab w:val="left" w:pos="3260"/>
              </w:tabs>
              <w:ind w:left="3260" w:right="1134" w:firstLine="1"/>
              <w:jc w:val="both"/>
            </w:pPr>
            <w:r w:rsidRPr="000E7876">
              <w:t xml:space="preserve">In addition, other molecules, blended with LPG, like dimethyl ether (DME), particularly </w:t>
            </w:r>
            <w:r>
              <w:t xml:space="preserve">that of </w:t>
            </w:r>
            <w:r w:rsidRPr="000E7876">
              <w:t>renewable origin (</w:t>
            </w:r>
            <w:proofErr w:type="spellStart"/>
            <w:r w:rsidRPr="000E7876">
              <w:t>rDME</w:t>
            </w:r>
            <w:proofErr w:type="spellEnd"/>
            <w:r w:rsidRPr="000E7876">
              <w:t xml:space="preserve">), are already present in the </w:t>
            </w:r>
            <w:r w:rsidR="00563B5D" w:rsidRPr="000E7876">
              <w:t xml:space="preserve">market </w:t>
            </w:r>
            <w:r w:rsidR="00563B5D">
              <w:t xml:space="preserve">of the </w:t>
            </w:r>
            <w:r w:rsidR="0090743E">
              <w:t xml:space="preserve">United States </w:t>
            </w:r>
            <w:r w:rsidR="00563B5D">
              <w:t>of America (</w:t>
            </w:r>
            <w:r w:rsidRPr="000E7876">
              <w:t>US</w:t>
            </w:r>
            <w:r w:rsidR="00F0647C">
              <w:t>A)</w:t>
            </w:r>
            <w:r w:rsidRPr="000E7876">
              <w:t xml:space="preserve"> and </w:t>
            </w:r>
            <w:r>
              <w:t xml:space="preserve">will be available </w:t>
            </w:r>
            <w:r w:rsidRPr="000E7876">
              <w:t xml:space="preserve">in Europe </w:t>
            </w:r>
            <w:r>
              <w:t>during 2024</w:t>
            </w:r>
            <w:r w:rsidRPr="000E7876">
              <w:t>.</w:t>
            </w:r>
          </w:p>
          <w:p w14:paraId="454ECA3A" w14:textId="77777777" w:rsidR="00DF3375" w:rsidRDefault="00DF3375" w:rsidP="00DF3375">
            <w:pPr>
              <w:pStyle w:val="SingleTxtG"/>
              <w:ind w:left="3261"/>
            </w:pPr>
            <w:r w:rsidRPr="000E7876">
              <w:t>A revised definition of LPG needs to be defined and agreed.</w:t>
            </w:r>
          </w:p>
          <w:p w14:paraId="7AB0F034" w14:textId="0CEDD157" w:rsidR="00DF3375" w:rsidRDefault="00DF3375" w:rsidP="00DF3375">
            <w:pPr>
              <w:pStyle w:val="SingleTxtG"/>
              <w:tabs>
                <w:tab w:val="clear" w:pos="2835"/>
                <w:tab w:val="left" w:pos="3252"/>
              </w:tabs>
              <w:ind w:left="3261" w:hanging="2127"/>
              <w:rPr>
                <w:bCs/>
              </w:rPr>
            </w:pPr>
            <w:r w:rsidRPr="00A65C0D">
              <w:rPr>
                <w:b/>
              </w:rPr>
              <w:t>Action to be taken</w:t>
            </w:r>
            <w:r w:rsidRPr="00A65C0D">
              <w:t>:</w:t>
            </w:r>
            <w:r w:rsidRPr="00A65C0D">
              <w:tab/>
            </w:r>
            <w:r>
              <w:t xml:space="preserve">Approve a </w:t>
            </w:r>
            <w:r>
              <w:rPr>
                <w:bCs/>
              </w:rPr>
              <w:t>r</w:t>
            </w:r>
            <w:r w:rsidRPr="000E7876">
              <w:rPr>
                <w:bCs/>
              </w:rPr>
              <w:t>evised definition for LPG</w:t>
            </w:r>
            <w:r>
              <w:rPr>
                <w:bCs/>
              </w:rPr>
              <w:t xml:space="preserve"> in RID/ADR/ADN</w:t>
            </w:r>
            <w:r w:rsidR="00F0647C">
              <w:rPr>
                <w:bCs/>
              </w:rPr>
              <w:t>.</w:t>
            </w:r>
          </w:p>
          <w:p w14:paraId="04044185" w14:textId="2B0F58AA" w:rsidR="00975919" w:rsidRDefault="00DF3375" w:rsidP="00FF1B5F">
            <w:pPr>
              <w:tabs>
                <w:tab w:val="left" w:pos="3260"/>
              </w:tabs>
              <w:spacing w:before="240"/>
              <w:ind w:left="3260" w:right="1134" w:hanging="2126"/>
            </w:pPr>
            <w:r w:rsidRPr="000E7876">
              <w:rPr>
                <w:b/>
              </w:rPr>
              <w:t>Related documents:</w:t>
            </w:r>
            <w:r w:rsidRPr="000E7876">
              <w:rPr>
                <w:b/>
              </w:rPr>
              <w:tab/>
            </w:r>
            <w:r w:rsidRPr="00D67FCE">
              <w:rPr>
                <w:bCs/>
              </w:rPr>
              <w:t xml:space="preserve">Previous </w:t>
            </w:r>
            <w:r w:rsidR="00C5280E">
              <w:rPr>
                <w:bCs/>
              </w:rPr>
              <w:t>informal documents</w:t>
            </w:r>
            <w:r>
              <w:rPr>
                <w:bCs/>
              </w:rPr>
              <w:t xml:space="preserve"> INF.11 (Sept</w:t>
            </w:r>
            <w:r w:rsidR="005E1F96">
              <w:rPr>
                <w:bCs/>
              </w:rPr>
              <w:t>ember</w:t>
            </w:r>
            <w:r>
              <w:rPr>
                <w:bCs/>
              </w:rPr>
              <w:t xml:space="preserve"> 2022) </w:t>
            </w:r>
            <w:r w:rsidR="00AE4A76">
              <w:rPr>
                <w:bCs/>
              </w:rPr>
              <w:t>and</w:t>
            </w:r>
            <w:r>
              <w:rPr>
                <w:bCs/>
              </w:rPr>
              <w:t xml:space="preserve"> INF.35 (March 2023) to the J</w:t>
            </w:r>
            <w:r w:rsidR="00AE4A76">
              <w:rPr>
                <w:bCs/>
              </w:rPr>
              <w:t xml:space="preserve">oint </w:t>
            </w:r>
            <w:r>
              <w:rPr>
                <w:bCs/>
              </w:rPr>
              <w:t>M</w:t>
            </w:r>
            <w:r w:rsidR="00AE4A76">
              <w:rPr>
                <w:bCs/>
              </w:rPr>
              <w:t>eeting</w:t>
            </w:r>
            <w:r>
              <w:rPr>
                <w:bCs/>
              </w:rPr>
              <w:t xml:space="preserve">, and </w:t>
            </w:r>
            <w:r w:rsidR="00AE4A76">
              <w:rPr>
                <w:bCs/>
              </w:rPr>
              <w:t>informal documents</w:t>
            </w:r>
            <w:r>
              <w:rPr>
                <w:bCs/>
              </w:rPr>
              <w:t xml:space="preserve"> </w:t>
            </w:r>
            <w:r w:rsidR="00005412" w:rsidRPr="008117FA">
              <w:rPr>
                <w:bCs/>
              </w:rPr>
              <w:t>INF</w:t>
            </w:r>
            <w:r w:rsidR="00005412">
              <w:rPr>
                <w:bCs/>
              </w:rPr>
              <w:t>.</w:t>
            </w:r>
            <w:r w:rsidR="00005412" w:rsidRPr="008117FA">
              <w:rPr>
                <w:bCs/>
              </w:rPr>
              <w:t>1</w:t>
            </w:r>
            <w:r w:rsidR="00005412">
              <w:rPr>
                <w:bCs/>
              </w:rPr>
              <w:t xml:space="preserve">8, </w:t>
            </w:r>
            <w:r w:rsidR="00005412" w:rsidRPr="008117FA">
              <w:rPr>
                <w:bCs/>
              </w:rPr>
              <w:t>INF.1</w:t>
            </w:r>
            <w:r w:rsidR="00005412">
              <w:rPr>
                <w:bCs/>
              </w:rPr>
              <w:t xml:space="preserve">9 and </w:t>
            </w:r>
            <w:r w:rsidR="00005412" w:rsidRPr="008117FA">
              <w:rPr>
                <w:bCs/>
              </w:rPr>
              <w:t>INF.</w:t>
            </w:r>
            <w:r w:rsidR="00005412">
              <w:rPr>
                <w:bCs/>
              </w:rPr>
              <w:t>35 of</w:t>
            </w:r>
            <w:r>
              <w:rPr>
                <w:bCs/>
              </w:rPr>
              <w:t xml:space="preserve"> the UN </w:t>
            </w:r>
            <w:r w:rsidR="00AE4A76">
              <w:rPr>
                <w:bCs/>
              </w:rPr>
              <w:t>S</w:t>
            </w:r>
            <w:r>
              <w:rPr>
                <w:bCs/>
              </w:rPr>
              <w:t>ub-</w:t>
            </w:r>
            <w:r w:rsidR="00AE4A76">
              <w:rPr>
                <w:bCs/>
              </w:rPr>
              <w:t>C</w:t>
            </w:r>
            <w:r>
              <w:rPr>
                <w:bCs/>
              </w:rPr>
              <w:t xml:space="preserve">ommittee </w:t>
            </w:r>
            <w:r w:rsidR="00F0647C">
              <w:rPr>
                <w:bCs/>
              </w:rPr>
              <w:t xml:space="preserve">of Experts </w:t>
            </w:r>
            <w:r>
              <w:rPr>
                <w:bCs/>
              </w:rPr>
              <w:t xml:space="preserve">on the </w:t>
            </w:r>
            <w:r w:rsidR="00AE4A76">
              <w:rPr>
                <w:bCs/>
              </w:rPr>
              <w:t>T</w:t>
            </w:r>
            <w:r>
              <w:rPr>
                <w:bCs/>
              </w:rPr>
              <w:t xml:space="preserve">ransport of </w:t>
            </w:r>
            <w:r w:rsidR="00AE4A76">
              <w:rPr>
                <w:bCs/>
              </w:rPr>
              <w:t>D</w:t>
            </w:r>
            <w:r>
              <w:rPr>
                <w:bCs/>
              </w:rPr>
              <w:t xml:space="preserve">angerous </w:t>
            </w:r>
            <w:r w:rsidR="00AE4A76">
              <w:rPr>
                <w:bCs/>
              </w:rPr>
              <w:t>G</w:t>
            </w:r>
            <w:r>
              <w:rPr>
                <w:bCs/>
              </w:rPr>
              <w:t>oods</w:t>
            </w:r>
            <w:r w:rsidR="003625E4">
              <w:rPr>
                <w:bCs/>
              </w:rPr>
              <w:t xml:space="preserve"> </w:t>
            </w:r>
            <w:r w:rsidR="00591088">
              <w:rPr>
                <w:bCs/>
              </w:rPr>
              <w:t xml:space="preserve">(TDG) </w:t>
            </w:r>
            <w:r w:rsidR="00005412">
              <w:rPr>
                <w:bCs/>
              </w:rPr>
              <w:t xml:space="preserve">at its sixty-third </w:t>
            </w:r>
            <w:r w:rsidR="003625E4">
              <w:rPr>
                <w:bCs/>
              </w:rPr>
              <w:t>session.</w:t>
            </w:r>
          </w:p>
        </w:tc>
      </w:tr>
      <w:tr w:rsidR="00975919" w14:paraId="6950BDF1" w14:textId="77777777" w:rsidTr="006E5E26">
        <w:trPr>
          <w:jc w:val="center"/>
        </w:trPr>
        <w:tc>
          <w:tcPr>
            <w:tcW w:w="9637" w:type="dxa"/>
            <w:shd w:val="clear" w:color="auto" w:fill="auto"/>
          </w:tcPr>
          <w:p w14:paraId="16F2526C" w14:textId="77777777" w:rsidR="00975919" w:rsidRDefault="00975919" w:rsidP="006E5E26"/>
        </w:tc>
      </w:tr>
    </w:tbl>
    <w:p w14:paraId="1D0B4ADA" w14:textId="65B9FE9C" w:rsidR="00646486" w:rsidRDefault="00646486" w:rsidP="00975919"/>
    <w:p w14:paraId="3E1505B2" w14:textId="47106697" w:rsidR="00E35B25" w:rsidRPr="000E7876" w:rsidRDefault="00185E19" w:rsidP="00185E19">
      <w:pPr>
        <w:pStyle w:val="HChG"/>
        <w:rPr>
          <w:bCs/>
          <w:sz w:val="24"/>
          <w:szCs w:val="24"/>
        </w:rPr>
      </w:pPr>
      <w:r>
        <w:rPr>
          <w:bCs/>
          <w:szCs w:val="24"/>
        </w:rPr>
        <w:lastRenderedPageBreak/>
        <w:tab/>
        <w:t>I.</w:t>
      </w:r>
      <w:r>
        <w:rPr>
          <w:bCs/>
          <w:szCs w:val="24"/>
        </w:rPr>
        <w:tab/>
      </w:r>
      <w:r w:rsidR="00E35B25" w:rsidRPr="00BB4FC6">
        <w:t>Background</w:t>
      </w:r>
    </w:p>
    <w:p w14:paraId="3BF82CBF" w14:textId="6A98EAE7" w:rsidR="00E35B25" w:rsidRPr="000E7876" w:rsidRDefault="00E35B25" w:rsidP="00D818A4">
      <w:pPr>
        <w:pStyle w:val="SingleTxtG"/>
      </w:pPr>
      <w:r>
        <w:t>1.</w:t>
      </w:r>
      <w:r>
        <w:tab/>
      </w:r>
      <w:r w:rsidRPr="000E7876">
        <w:t>Liqu</w:t>
      </w:r>
      <w:r>
        <w:t>e</w:t>
      </w:r>
      <w:r w:rsidRPr="000E7876">
        <w:t>fied Petroleum Gas (LPG) has been a commercial fuel for just over a century. It consists of mostly propane and butane, supplied until a few years ago from two sources:</w:t>
      </w:r>
    </w:p>
    <w:p w14:paraId="3AD976A6" w14:textId="708E3684" w:rsidR="00E35B25" w:rsidRPr="000E7876" w:rsidRDefault="00C7472B" w:rsidP="00D818A4">
      <w:pPr>
        <w:pStyle w:val="SingleTxtG"/>
      </w:pPr>
      <w:r>
        <w:rPr>
          <w:b/>
          <w:bCs/>
        </w:rPr>
        <w:tab/>
      </w:r>
      <w:r w:rsidR="00D818A4" w:rsidRPr="00BE300E">
        <w:rPr>
          <w:b/>
          <w:bCs/>
        </w:rPr>
        <w:t>(</w:t>
      </w:r>
      <w:r w:rsidR="00E35B25" w:rsidRPr="00BE300E">
        <w:rPr>
          <w:b/>
          <w:bCs/>
        </w:rPr>
        <w:t>a)</w:t>
      </w:r>
      <w:r w:rsidR="00D818A4">
        <w:tab/>
      </w:r>
      <w:r w:rsidR="00E35B25" w:rsidRPr="00C44A5F">
        <w:rPr>
          <w:b/>
          <w:bCs/>
        </w:rPr>
        <w:t>Petroleum refining</w:t>
      </w:r>
      <w:r w:rsidR="00E35B25" w:rsidRPr="000E7876">
        <w:t xml:space="preserve"> (</w:t>
      </w:r>
      <w:r w:rsidR="00E35B25" w:rsidRPr="000E7876">
        <w:rPr>
          <w:u w:val="single"/>
        </w:rPr>
        <w:t xml:space="preserve">covered by </w:t>
      </w:r>
      <w:r w:rsidR="00E35B25">
        <w:rPr>
          <w:u w:val="single"/>
        </w:rPr>
        <w:t xml:space="preserve">the </w:t>
      </w:r>
      <w:r w:rsidR="00E35B25" w:rsidRPr="000E7876">
        <w:rPr>
          <w:u w:val="single"/>
        </w:rPr>
        <w:t>existing definition</w:t>
      </w:r>
      <w:r w:rsidR="00E35B25" w:rsidRPr="000E7876">
        <w:t>), currently meeting 30</w:t>
      </w:r>
      <w:r w:rsidR="00EC376F">
        <w:noBreakHyphen/>
      </w:r>
      <w:r w:rsidR="00E35B25" w:rsidRPr="000E7876">
        <w:t>40</w:t>
      </w:r>
      <w:r w:rsidR="00BC5E1E">
        <w:t> </w:t>
      </w:r>
      <w:r w:rsidR="00E35B25" w:rsidRPr="000E7876">
        <w:t>% of world demand and decreasing; and</w:t>
      </w:r>
    </w:p>
    <w:p w14:paraId="43A9A149" w14:textId="1ACE4F88" w:rsidR="00E35B25" w:rsidRPr="000E7876" w:rsidRDefault="00C7472B" w:rsidP="00D818A4">
      <w:pPr>
        <w:pStyle w:val="SingleTxtG"/>
      </w:pPr>
      <w:r>
        <w:rPr>
          <w:b/>
          <w:bCs/>
        </w:rPr>
        <w:tab/>
      </w:r>
      <w:r w:rsidR="00D818A4" w:rsidRPr="00BE300E">
        <w:rPr>
          <w:b/>
          <w:bCs/>
        </w:rPr>
        <w:t>(</w:t>
      </w:r>
      <w:r w:rsidR="00E35B25" w:rsidRPr="00BE300E">
        <w:rPr>
          <w:b/>
          <w:bCs/>
        </w:rPr>
        <w:t>b)</w:t>
      </w:r>
      <w:r w:rsidR="00D818A4">
        <w:tab/>
      </w:r>
      <w:r w:rsidR="00E35B25" w:rsidRPr="007C4A8B">
        <w:rPr>
          <w:b/>
          <w:bCs/>
        </w:rPr>
        <w:t>Natural Gas (NG) processin</w:t>
      </w:r>
      <w:r w:rsidR="00E35B25" w:rsidRPr="00863DE5">
        <w:rPr>
          <w:b/>
          <w:bCs/>
        </w:rPr>
        <w:t>g</w:t>
      </w:r>
      <w:r w:rsidR="00E35B25" w:rsidRPr="000E7876">
        <w:t xml:space="preserve"> (often </w:t>
      </w:r>
      <w:r w:rsidR="00E35B25" w:rsidRPr="000E7876">
        <w:rPr>
          <w:u w:val="single"/>
        </w:rPr>
        <w:t xml:space="preserve">not covered by </w:t>
      </w:r>
      <w:r w:rsidR="00E35B25">
        <w:rPr>
          <w:u w:val="single"/>
        </w:rPr>
        <w:t xml:space="preserve">the </w:t>
      </w:r>
      <w:r w:rsidR="00E35B25" w:rsidRPr="000E7876">
        <w:rPr>
          <w:u w:val="single"/>
        </w:rPr>
        <w:t>existing definition</w:t>
      </w:r>
      <w:r w:rsidR="00E35B25" w:rsidRPr="000E7876">
        <w:t xml:space="preserve"> that refer</w:t>
      </w:r>
      <w:r w:rsidR="00E35B25">
        <w:t>s</w:t>
      </w:r>
      <w:r w:rsidR="00E35B25" w:rsidRPr="000E7876">
        <w:t xml:space="preserve"> only to “petroleum”, </w:t>
      </w:r>
      <w:r w:rsidR="00E35B25">
        <w:t>although</w:t>
      </w:r>
      <w:r w:rsidR="00E35B25" w:rsidRPr="000E7876">
        <w:t xml:space="preserve"> the industry ha</w:t>
      </w:r>
      <w:r w:rsidR="00E35B25">
        <w:t>s</w:t>
      </w:r>
      <w:r w:rsidR="00E35B25" w:rsidRPr="000E7876">
        <w:t xml:space="preserve"> been applying the same regulations/standards as for “petroleum” origin products): currently meeting 60-70</w:t>
      </w:r>
      <w:r w:rsidR="00BC5E1E">
        <w:t> </w:t>
      </w:r>
      <w:r w:rsidR="00E35B25" w:rsidRPr="000E7876">
        <w:t>% of world demand.</w:t>
      </w:r>
    </w:p>
    <w:p w14:paraId="7579C995" w14:textId="46617BBC" w:rsidR="00E35B25" w:rsidRDefault="00E35B25" w:rsidP="00D818A4">
      <w:pPr>
        <w:pStyle w:val="SingleTxtG"/>
      </w:pPr>
      <w:r>
        <w:t>2.</w:t>
      </w:r>
      <w:r>
        <w:tab/>
      </w:r>
      <w:r w:rsidRPr="000E7876">
        <w:t>Today, in the context of energy transition and aiming at de</w:t>
      </w:r>
      <w:r>
        <w:t>-</w:t>
      </w:r>
      <w:r w:rsidRPr="000E7876">
        <w:t xml:space="preserve">fossilisation, decarbonisation and reduction of overall carbon footprints, the LPG industry is transforming by including </w:t>
      </w:r>
      <w:r>
        <w:t>withi</w:t>
      </w:r>
      <w:r w:rsidRPr="000E7876">
        <w:t xml:space="preserve">n its product range, </w:t>
      </w:r>
      <w:r>
        <w:t xml:space="preserve">also </w:t>
      </w:r>
      <w:r w:rsidRPr="000E7876">
        <w:t>propane C</w:t>
      </w:r>
      <w:r w:rsidRPr="004763EF">
        <w:rPr>
          <w:sz w:val="24"/>
          <w:szCs w:val="24"/>
          <w:vertAlign w:val="subscript"/>
        </w:rPr>
        <w:t>3</w:t>
      </w:r>
      <w:r w:rsidRPr="000E7876">
        <w:t>H</w:t>
      </w:r>
      <w:r w:rsidRPr="004763EF">
        <w:rPr>
          <w:sz w:val="24"/>
          <w:szCs w:val="24"/>
          <w:vertAlign w:val="subscript"/>
        </w:rPr>
        <w:t>8</w:t>
      </w:r>
      <w:r w:rsidRPr="000E7876">
        <w:t xml:space="preserve"> and butane C</w:t>
      </w:r>
      <w:r w:rsidRPr="004763EF">
        <w:rPr>
          <w:sz w:val="24"/>
          <w:szCs w:val="24"/>
          <w:vertAlign w:val="subscript"/>
        </w:rPr>
        <w:t>4</w:t>
      </w:r>
      <w:r w:rsidRPr="000E7876">
        <w:t>H</w:t>
      </w:r>
      <w:r w:rsidRPr="004763EF">
        <w:rPr>
          <w:sz w:val="24"/>
          <w:szCs w:val="24"/>
          <w:vertAlign w:val="subscript"/>
        </w:rPr>
        <w:t>10</w:t>
      </w:r>
      <w:r w:rsidRPr="000E7876">
        <w:rPr>
          <w:sz w:val="24"/>
          <w:szCs w:val="24"/>
          <w:vertAlign w:val="superscript"/>
        </w:rPr>
        <w:t xml:space="preserve"> </w:t>
      </w:r>
      <w:r w:rsidRPr="000E7876">
        <w:t>products, of bio or renewable origin</w:t>
      </w:r>
      <w:r>
        <w:t>. These are being introduced as the industry</w:t>
      </w:r>
      <w:r w:rsidRPr="000E7876">
        <w:t xml:space="preserve"> gradually mov</w:t>
      </w:r>
      <w:r>
        <w:t>es</w:t>
      </w:r>
      <w:r w:rsidRPr="000E7876">
        <w:t xml:space="preserve"> away from petroleum refining and natural gas to non-fossil and renewable sources.</w:t>
      </w:r>
    </w:p>
    <w:p w14:paraId="51C70B12" w14:textId="77777777" w:rsidR="00E35B25" w:rsidRPr="000E7876" w:rsidRDefault="00E35B25" w:rsidP="00D818A4">
      <w:pPr>
        <w:pStyle w:val="SingleTxtG"/>
      </w:pPr>
      <w:r>
        <w:t>3.</w:t>
      </w:r>
      <w:r>
        <w:tab/>
        <w:t>The RID/ADR/ADN regulate the safe carriage of these products and as such their origin, where historically referenced, is not relevant or correct.</w:t>
      </w:r>
    </w:p>
    <w:p w14:paraId="1EAA5A7C" w14:textId="615ABA77" w:rsidR="00E35B25" w:rsidRDefault="00E35B25" w:rsidP="00D818A4">
      <w:pPr>
        <w:pStyle w:val="SingleTxtG"/>
      </w:pPr>
      <w:r>
        <w:t>4.</w:t>
      </w:r>
      <w:r>
        <w:tab/>
      </w:r>
      <w:r w:rsidRPr="000E7876">
        <w:t xml:space="preserve">In addition, the LPG industry </w:t>
      </w:r>
      <w:r>
        <w:t xml:space="preserve">recently </w:t>
      </w:r>
      <w:r w:rsidRPr="000E7876">
        <w:t>started includ</w:t>
      </w:r>
      <w:r>
        <w:t>ing</w:t>
      </w:r>
      <w:r w:rsidRPr="000E7876">
        <w:t xml:space="preserve"> </w:t>
      </w:r>
      <w:r w:rsidRPr="00C75467">
        <w:t xml:space="preserve">within the LPG </w:t>
      </w:r>
      <w:r>
        <w:t xml:space="preserve">that </w:t>
      </w:r>
      <w:r w:rsidRPr="00C75467">
        <w:t>it transports</w:t>
      </w:r>
      <w:r>
        <w:t xml:space="preserve">, also </w:t>
      </w:r>
      <w:r w:rsidRPr="000E7876">
        <w:t xml:space="preserve">other products and blends </w:t>
      </w:r>
      <w:r w:rsidRPr="004038E5">
        <w:t>of</w:t>
      </w:r>
      <w:r w:rsidRPr="000E7876">
        <w:t xml:space="preserve"> bio</w:t>
      </w:r>
      <w:r>
        <w:t xml:space="preserve">, </w:t>
      </w:r>
      <w:r w:rsidRPr="000E7876">
        <w:t>renewable</w:t>
      </w:r>
      <w:r>
        <w:t xml:space="preserve"> and recycled carbon </w:t>
      </w:r>
      <w:r w:rsidRPr="000E7876">
        <w:t>origin</w:t>
      </w:r>
      <w:r>
        <w:t xml:space="preserve">, which </w:t>
      </w:r>
      <w:r w:rsidRPr="000E7876">
        <w:t xml:space="preserve">are of a lower carbon footprint. </w:t>
      </w:r>
      <w:r>
        <w:t xml:space="preserve">The inclusion of biogenic, renewable, or recycled carbon propane and butane constitutes no technical challenge as it relates to the same molecules as the conventional LPG. </w:t>
      </w:r>
      <w:r w:rsidRPr="000E7876">
        <w:t xml:space="preserve">More </w:t>
      </w:r>
      <w:r>
        <w:t>relevant, is</w:t>
      </w:r>
      <w:r w:rsidRPr="000E7876">
        <w:t xml:space="preserve"> the inclusion of DME (Dimethyl Ether), as a blend component with LPG. DME is a molecule with similar physical properties to LPG, that can originate from fossil, </w:t>
      </w:r>
      <w:r w:rsidRPr="005F1528">
        <w:t>non-fossil</w:t>
      </w:r>
      <w:r w:rsidRPr="000E7876">
        <w:t xml:space="preserve"> and/or renewable or recycled </w:t>
      </w:r>
      <w:r>
        <w:t xml:space="preserve">carbon </w:t>
      </w:r>
      <w:r w:rsidRPr="000E7876">
        <w:t xml:space="preserve">sources. </w:t>
      </w:r>
      <w:r>
        <w:t>R</w:t>
      </w:r>
      <w:r w:rsidRPr="000E7876">
        <w:t>enewable DME (</w:t>
      </w:r>
      <w:proofErr w:type="spellStart"/>
      <w:r w:rsidRPr="000E7876">
        <w:t>rDME</w:t>
      </w:r>
      <w:proofErr w:type="spellEnd"/>
      <w:r w:rsidRPr="000E7876">
        <w:t>), is a complementary liquefied gas that can be produced from multiple renewable</w:t>
      </w:r>
      <w:r>
        <w:t xml:space="preserve"> and </w:t>
      </w:r>
      <w:r w:rsidRPr="000E7876">
        <w:t>recycled</w:t>
      </w:r>
      <w:r>
        <w:t xml:space="preserve"> carbon</w:t>
      </w:r>
      <w:r w:rsidRPr="000E7876">
        <w:t xml:space="preserve"> feedstocks. With no negative safety implications, </w:t>
      </w:r>
      <w:proofErr w:type="spellStart"/>
      <w:r w:rsidRPr="000E7876">
        <w:t>rDME</w:t>
      </w:r>
      <w:proofErr w:type="spellEnd"/>
      <w:r w:rsidRPr="000E7876">
        <w:t xml:space="preserve"> is a cost-effective and clean-burning fuel, providing a viable sustainable addition to the energy mix. With its low greenhouse gas (“GHG”) footprint, it can reduce emissions by up to 85</w:t>
      </w:r>
      <w:r w:rsidR="005F4770">
        <w:t> </w:t>
      </w:r>
      <w:r w:rsidRPr="000E7876">
        <w:t>% compared to fossil fuel alternatives</w:t>
      </w:r>
      <w:r>
        <w:t xml:space="preserve"> and can achieve even significantly negative carbon intensities</w:t>
      </w:r>
      <w:r w:rsidRPr="000E7876">
        <w:t xml:space="preserve">. In its blended form with LPG, </w:t>
      </w:r>
      <w:proofErr w:type="spellStart"/>
      <w:r w:rsidRPr="000E7876">
        <w:t>rDME</w:t>
      </w:r>
      <w:proofErr w:type="spellEnd"/>
      <w:r w:rsidRPr="000E7876">
        <w:t xml:space="preserve"> can help the de-fossili</w:t>
      </w:r>
      <w:r>
        <w:t>s</w:t>
      </w:r>
      <w:r w:rsidRPr="000E7876">
        <w:t xml:space="preserve">ation </w:t>
      </w:r>
      <w:r>
        <w:t xml:space="preserve">and decarbonisation </w:t>
      </w:r>
      <w:r w:rsidRPr="000E7876">
        <w:t xml:space="preserve">of the LPG industry in all types of applications. DME/LPG blends with a maximum DME content by mass of </w:t>
      </w:r>
      <w:r>
        <w:t>12</w:t>
      </w:r>
      <w:r w:rsidR="005F4770">
        <w:t> </w:t>
      </w:r>
      <w:r w:rsidRPr="00E02BDC">
        <w:t>%</w:t>
      </w:r>
      <w:r w:rsidRPr="000E7876">
        <w:t xml:space="preserve"> are compatible with existing LPG infrastructure and equipment</w:t>
      </w:r>
      <w:r>
        <w:t>, proven through extensive research and testing, funded by the industry</w:t>
      </w:r>
      <w:r w:rsidRPr="000E7876">
        <w:t>.</w:t>
      </w:r>
    </w:p>
    <w:p w14:paraId="1D76DDC5" w14:textId="77777777" w:rsidR="00E35B25" w:rsidRDefault="00E35B25" w:rsidP="00D818A4">
      <w:pPr>
        <w:pStyle w:val="SingleTxtG"/>
      </w:pPr>
      <w:r>
        <w:t>5.</w:t>
      </w:r>
      <w:r>
        <w:tab/>
        <w:t>DME has the same classification code as LPG (2F), the same label (2.1) and an identical hazard identifications number (HIN) 23.</w:t>
      </w:r>
    </w:p>
    <w:p w14:paraId="0637BC13" w14:textId="36A242F8" w:rsidR="00E35B25" w:rsidRPr="000E7876" w:rsidRDefault="00E35B25" w:rsidP="00D818A4">
      <w:pPr>
        <w:pStyle w:val="SingleTxtG"/>
      </w:pPr>
      <w:r>
        <w:t>6.</w:t>
      </w:r>
      <w:r>
        <w:tab/>
      </w:r>
      <w:r w:rsidRPr="000E7876">
        <w:t>A DME/LPG blend constitute</w:t>
      </w:r>
      <w:r>
        <w:t>s</w:t>
      </w:r>
      <w:r w:rsidRPr="000E7876">
        <w:t xml:space="preserve"> a </w:t>
      </w:r>
      <w:r>
        <w:t xml:space="preserve">complementary </w:t>
      </w:r>
      <w:r w:rsidRPr="000E7876">
        <w:t>product offering and requires a revised definition and specification.</w:t>
      </w:r>
    </w:p>
    <w:p w14:paraId="0A628F8D" w14:textId="35A966ED" w:rsidR="00E35B25" w:rsidRPr="000E7876" w:rsidRDefault="00E35B25" w:rsidP="00D818A4">
      <w:pPr>
        <w:pStyle w:val="SingleTxtG"/>
      </w:pPr>
      <w:r>
        <w:t>7.</w:t>
      </w:r>
      <w:r>
        <w:tab/>
        <w:t>F</w:t>
      </w:r>
      <w:r w:rsidRPr="000E7876">
        <w:t xml:space="preserve">or several years, there have been a variety of offerings in the </w:t>
      </w:r>
      <w:r w:rsidR="00434F8D">
        <w:t>g</w:t>
      </w:r>
      <w:r w:rsidRPr="000E7876">
        <w:t xml:space="preserve">lobal market, that do not correspond well to the current international regulatory and standard definitions, like the examples below, and there will </w:t>
      </w:r>
      <w:r>
        <w:t>be additional</w:t>
      </w:r>
      <w:r w:rsidRPr="000E7876">
        <w:t xml:space="preserve"> </w:t>
      </w:r>
      <w:r>
        <w:t xml:space="preserve">offerings in the future </w:t>
      </w:r>
      <w:r w:rsidRPr="000E7876">
        <w:t>that will fall in</w:t>
      </w:r>
      <w:r>
        <w:t>to</w:t>
      </w:r>
      <w:r w:rsidRPr="000E7876">
        <w:t xml:space="preserve"> these categories:</w:t>
      </w:r>
    </w:p>
    <w:p w14:paraId="18FE62C5" w14:textId="31F8C18E" w:rsidR="00E35B25" w:rsidRDefault="00333E6B" w:rsidP="00333E6B">
      <w:pPr>
        <w:pStyle w:val="SingleTxtG"/>
      </w:pPr>
      <w:r>
        <w:tab/>
      </w:r>
      <w:r w:rsidR="00D818A4">
        <w:t>(a)</w:t>
      </w:r>
      <w:r w:rsidR="00D818A4">
        <w:tab/>
      </w:r>
      <w:proofErr w:type="spellStart"/>
      <w:r w:rsidR="00E35B25">
        <w:t>B</w:t>
      </w:r>
      <w:r w:rsidR="00E35B25" w:rsidRPr="000E7876">
        <w:t>ioLPG</w:t>
      </w:r>
      <w:proofErr w:type="spellEnd"/>
      <w:r w:rsidR="00E35B25" w:rsidRPr="000E7876">
        <w:t xml:space="preserve"> (renewable LPG from biological or recycled </w:t>
      </w:r>
      <w:r w:rsidR="00E35B25">
        <w:t xml:space="preserve">carbon </w:t>
      </w:r>
      <w:r w:rsidR="00E35B25" w:rsidRPr="000E7876">
        <w:t>feedstock) available today in many European markets, is not of petroleum origin as the current LPG definition describes</w:t>
      </w:r>
      <w:r w:rsidR="00E35B25">
        <w:t xml:space="preserve"> it</w:t>
      </w:r>
      <w:r w:rsidR="00E35B25" w:rsidRPr="000E7876">
        <w:t xml:space="preserve">. This product exists as standalone </w:t>
      </w:r>
      <w:proofErr w:type="spellStart"/>
      <w:r w:rsidR="00E35B25" w:rsidRPr="000E7876">
        <w:t>bioLPG</w:t>
      </w:r>
      <w:proofErr w:type="spellEnd"/>
      <w:r w:rsidR="00E35B25" w:rsidRPr="000E7876">
        <w:t xml:space="preserve"> or as </w:t>
      </w:r>
      <w:r w:rsidR="00E35B25">
        <w:t xml:space="preserve">a </w:t>
      </w:r>
      <w:r w:rsidR="00E35B25" w:rsidRPr="000E7876">
        <w:t xml:space="preserve">blend with </w:t>
      </w:r>
      <w:r w:rsidR="00E35B25">
        <w:t xml:space="preserve">conventional, </w:t>
      </w:r>
      <w:r w:rsidR="00E35B25" w:rsidRPr="000E7876">
        <w:t>fossil LPG</w:t>
      </w:r>
      <w:r w:rsidR="00E35B25">
        <w:t>.</w:t>
      </w:r>
    </w:p>
    <w:p w14:paraId="721FDC7C" w14:textId="7AE5EFB8" w:rsidR="00E35B25" w:rsidRPr="000E7876" w:rsidRDefault="00333E6B" w:rsidP="00333E6B">
      <w:pPr>
        <w:pStyle w:val="SingleTxtG"/>
      </w:pPr>
      <w:r>
        <w:tab/>
      </w:r>
      <w:r w:rsidR="00D818A4">
        <w:t>(</w:t>
      </w:r>
      <w:r w:rsidR="00D818A4" w:rsidRPr="000E7876">
        <w:t>b)</w:t>
      </w:r>
      <w:r w:rsidR="00D818A4" w:rsidRPr="000E7876">
        <w:tab/>
      </w:r>
      <w:r w:rsidR="00E35B25" w:rsidRPr="000E7876">
        <w:t>LPG blends with DME</w:t>
      </w:r>
      <w:r w:rsidR="00E35B25">
        <w:t xml:space="preserve">, </w:t>
      </w:r>
      <w:r w:rsidR="00E35B25" w:rsidRPr="000E7876">
        <w:t>commercialised many years ago in some countries outside Europe (</w:t>
      </w:r>
      <w:proofErr w:type="gramStart"/>
      <w:r w:rsidR="00E35B25" w:rsidRPr="000E7876">
        <w:t>e.g.</w:t>
      </w:r>
      <w:proofErr w:type="gramEnd"/>
      <w:r w:rsidR="00E35B25" w:rsidRPr="000E7876">
        <w:t xml:space="preserve"> China, Indonesia), do not have a specific name and associated definition in regulations and standards. Recently, a blend of propane with </w:t>
      </w:r>
      <w:proofErr w:type="spellStart"/>
      <w:r w:rsidR="00E35B25" w:rsidRPr="000E7876">
        <w:t>rDME</w:t>
      </w:r>
      <w:proofErr w:type="spellEnd"/>
      <w:r w:rsidR="00E35B25" w:rsidRPr="000E7876">
        <w:t xml:space="preserve"> was made available in the US</w:t>
      </w:r>
      <w:r w:rsidR="00AA3DA4">
        <w:t>A</w:t>
      </w:r>
      <w:r w:rsidR="00E35B25" w:rsidRPr="000E7876">
        <w:t xml:space="preserve"> market. Such a blend will be available on the European market</w:t>
      </w:r>
      <w:r w:rsidR="00E35B25">
        <w:t xml:space="preserve"> in 2024.</w:t>
      </w:r>
    </w:p>
    <w:p w14:paraId="65EFF61B" w14:textId="77777777" w:rsidR="00E35B25" w:rsidRPr="000E7876" w:rsidRDefault="00E35B25" w:rsidP="00D818A4">
      <w:pPr>
        <w:pStyle w:val="SingleTxtG"/>
      </w:pPr>
      <w:r>
        <w:t>8.</w:t>
      </w:r>
      <w:r>
        <w:tab/>
      </w:r>
      <w:r w:rsidRPr="000E7876">
        <w:t>The proposal below, includes</w:t>
      </w:r>
      <w:r>
        <w:t xml:space="preserve"> a</w:t>
      </w:r>
      <w:r w:rsidRPr="000E7876">
        <w:t>n amendment of the existing definition of “LPG” (</w:t>
      </w:r>
      <w:r>
        <w:t>which will</w:t>
      </w:r>
      <w:r w:rsidRPr="000E7876">
        <w:t xml:space="preserve"> continue to be primarily composed of </w:t>
      </w:r>
      <w:r>
        <w:t>propane and/or butane</w:t>
      </w:r>
      <w:r w:rsidRPr="000E7876">
        <w:t>) to:</w:t>
      </w:r>
    </w:p>
    <w:p w14:paraId="41C148AB" w14:textId="35B3ADF2" w:rsidR="00E35B25" w:rsidRPr="000E7876" w:rsidRDefault="008755E8" w:rsidP="008755E8">
      <w:pPr>
        <w:pStyle w:val="SingleTxtG"/>
      </w:pPr>
      <w:r>
        <w:lastRenderedPageBreak/>
        <w:tab/>
      </w:r>
      <w:r w:rsidR="00D818A4">
        <w:t>(</w:t>
      </w:r>
      <w:r w:rsidR="00D818A4" w:rsidRPr="000E7876">
        <w:t>a)</w:t>
      </w:r>
      <w:r w:rsidR="00D818A4" w:rsidRPr="000E7876">
        <w:tab/>
      </w:r>
      <w:r w:rsidR="00E35B25" w:rsidRPr="000E7876">
        <w:t xml:space="preserve">allow products from </w:t>
      </w:r>
      <w:r w:rsidR="00E35B25" w:rsidRPr="002215E2">
        <w:t>all</w:t>
      </w:r>
      <w:r w:rsidR="00E35B25" w:rsidRPr="000E7876">
        <w:t xml:space="preserve"> </w:t>
      </w:r>
      <w:r w:rsidR="00E35B25">
        <w:t xml:space="preserve">possible </w:t>
      </w:r>
      <w:r w:rsidR="00E35B25" w:rsidRPr="000E7876">
        <w:t>sources (</w:t>
      </w:r>
      <w:r w:rsidR="00E35B25">
        <w:t xml:space="preserve">hence </w:t>
      </w:r>
      <w:r w:rsidR="00E35B25" w:rsidRPr="000E7876">
        <w:t>delet</w:t>
      </w:r>
      <w:r w:rsidR="00E35B25">
        <w:t xml:space="preserve">ion of any </w:t>
      </w:r>
      <w:r w:rsidR="00E35B25" w:rsidRPr="000E7876">
        <w:t>“petroleum” references</w:t>
      </w:r>
      <w:r w:rsidR="00E35B25">
        <w:t xml:space="preserve"> is necessary</w:t>
      </w:r>
      <w:r w:rsidR="00E35B25" w:rsidRPr="000E7876">
        <w:t xml:space="preserve">) </w:t>
      </w:r>
      <w:proofErr w:type="gramStart"/>
      <w:r w:rsidR="00E35B25" w:rsidRPr="000E7876">
        <w:t>and also</w:t>
      </w:r>
      <w:proofErr w:type="gramEnd"/>
      <w:r w:rsidR="00E35B25">
        <w:t>,</w:t>
      </w:r>
    </w:p>
    <w:p w14:paraId="2F0DA050" w14:textId="4F6A0581" w:rsidR="00E35B25" w:rsidRDefault="008755E8" w:rsidP="008755E8">
      <w:pPr>
        <w:pStyle w:val="SingleTxtG"/>
      </w:pPr>
      <w:r>
        <w:tab/>
      </w:r>
      <w:r w:rsidR="00D818A4">
        <w:t>(b)</w:t>
      </w:r>
      <w:r w:rsidR="00D818A4">
        <w:tab/>
      </w:r>
      <w:r w:rsidR="00E35B25" w:rsidRPr="000E7876">
        <w:t>allow the inclusion of DME (C</w:t>
      </w:r>
      <w:r w:rsidR="00E35B25" w:rsidRPr="0000105A">
        <w:rPr>
          <w:vertAlign w:val="subscript"/>
        </w:rPr>
        <w:t>2</w:t>
      </w:r>
      <w:r w:rsidR="00E35B25" w:rsidRPr="000E7876">
        <w:t>H</w:t>
      </w:r>
      <w:r w:rsidR="00E35B25" w:rsidRPr="0000105A">
        <w:rPr>
          <w:vertAlign w:val="subscript"/>
        </w:rPr>
        <w:t>6</w:t>
      </w:r>
      <w:r w:rsidR="00E35B25" w:rsidRPr="000E7876">
        <w:t xml:space="preserve">O) up to a drop-in level </w:t>
      </w:r>
      <w:r w:rsidR="00E35B25">
        <w:t xml:space="preserve">of </w:t>
      </w:r>
      <w:r w:rsidR="00E35B25" w:rsidRPr="00FE3EA3">
        <w:t>12</w:t>
      </w:r>
      <w:r w:rsidR="005C220A">
        <w:t> </w:t>
      </w:r>
      <w:r w:rsidR="00E35B25" w:rsidRPr="00FE3EA3">
        <w:t>%</w:t>
      </w:r>
      <w:r w:rsidR="00E35B25">
        <w:t xml:space="preserve"> by mass </w:t>
      </w:r>
      <w:r w:rsidR="00E35B25" w:rsidRPr="000E7876">
        <w:t xml:space="preserve">blend/composition </w:t>
      </w:r>
      <w:proofErr w:type="gramStart"/>
      <w:r w:rsidR="00E35B25" w:rsidRPr="000E7876">
        <w:t>i.e.</w:t>
      </w:r>
      <w:proofErr w:type="gramEnd"/>
      <w:r w:rsidR="00E35B25" w:rsidRPr="000E7876">
        <w:t xml:space="preserve"> the level at which the result</w:t>
      </w:r>
      <w:r w:rsidR="00E35B25">
        <w:t>ing</w:t>
      </w:r>
      <w:r w:rsidR="00E35B25" w:rsidRPr="000E7876">
        <w:t xml:space="preserve"> LPG/DME</w:t>
      </w:r>
      <w:r w:rsidR="00E35B25">
        <w:t xml:space="preserve"> </w:t>
      </w:r>
      <w:r w:rsidR="00E35B25" w:rsidRPr="000E7876">
        <w:t>(</w:t>
      </w:r>
      <w:proofErr w:type="spellStart"/>
      <w:r w:rsidR="00E35B25" w:rsidRPr="000E7876">
        <w:t>rDME</w:t>
      </w:r>
      <w:proofErr w:type="spellEnd"/>
      <w:r w:rsidR="00E35B25" w:rsidRPr="000E7876">
        <w:t>) blend will be interchangeable with today’s conventional C</w:t>
      </w:r>
      <w:r w:rsidR="00E35B25" w:rsidRPr="00DD2743">
        <w:t>3</w:t>
      </w:r>
      <w:r w:rsidR="00E35B25" w:rsidRPr="000E7876">
        <w:t>/C</w:t>
      </w:r>
      <w:r w:rsidR="00E35B25" w:rsidRPr="00DD2743">
        <w:t xml:space="preserve">4 </w:t>
      </w:r>
      <w:r w:rsidR="00E35B25" w:rsidRPr="000E7876">
        <w:t xml:space="preserve">LPG, without any reduction in safety or the need for any changes in supply chain </w:t>
      </w:r>
      <w:r w:rsidR="00E35B25">
        <w:t xml:space="preserve">and customer </w:t>
      </w:r>
      <w:r w:rsidR="00E35B25" w:rsidRPr="000E7876">
        <w:t>infrastructure, equipment and appliances.</w:t>
      </w:r>
      <w:r w:rsidR="00E35B25">
        <w:t xml:space="preserve"> This is analogous </w:t>
      </w:r>
      <w:proofErr w:type="gramStart"/>
      <w:r w:rsidR="00E35B25">
        <w:t>e</w:t>
      </w:r>
      <w:r w:rsidR="003F2BED">
        <w:t>.</w:t>
      </w:r>
      <w:r w:rsidR="00E35B25">
        <w:t>g</w:t>
      </w:r>
      <w:r w:rsidR="003F2BED">
        <w:t>.</w:t>
      </w:r>
      <w:proofErr w:type="gramEnd"/>
      <w:r w:rsidR="00E35B25">
        <w:t xml:space="preserve"> to the automotive E10 fuel, that incorporates the addition of 10</w:t>
      </w:r>
      <w:r w:rsidR="0025688E">
        <w:t> </w:t>
      </w:r>
      <w:r w:rsidR="00E35B25">
        <w:t>% ethanol in petrol.</w:t>
      </w:r>
    </w:p>
    <w:p w14:paraId="38CBEEE3" w14:textId="5249C759" w:rsidR="00E35B25" w:rsidRDefault="008755E8" w:rsidP="008755E8">
      <w:pPr>
        <w:pStyle w:val="SingleTxtG"/>
      </w:pPr>
      <w:r>
        <w:tab/>
      </w:r>
      <w:r w:rsidR="00D818A4">
        <w:t>(c)</w:t>
      </w:r>
      <w:r w:rsidR="00D818A4">
        <w:tab/>
      </w:r>
      <w:r w:rsidR="00E35B25">
        <w:t xml:space="preserve">include the UN numbers for propene (propylene), </w:t>
      </w:r>
      <w:r w:rsidR="00E35B25" w:rsidRPr="007D3C75">
        <w:rPr>
          <w:color w:val="000000" w:themeColor="text1"/>
        </w:rPr>
        <w:t xml:space="preserve">butene and isobutene (isobutylene), </w:t>
      </w:r>
      <w:r w:rsidR="00E35B25">
        <w:rPr>
          <w:color w:val="000000" w:themeColor="text1"/>
        </w:rPr>
        <w:t xml:space="preserve">as </w:t>
      </w:r>
      <w:r w:rsidR="00E35B25" w:rsidRPr="000D01E7">
        <w:rPr>
          <w:i/>
          <w:iCs/>
        </w:rPr>
        <w:t>Note 1</w:t>
      </w:r>
      <w:r w:rsidR="00E35B25">
        <w:t xml:space="preserve"> after the </w:t>
      </w:r>
      <w:r w:rsidR="00C97341">
        <w:t xml:space="preserve">definition of </w:t>
      </w:r>
      <w:r w:rsidR="00E35B25">
        <w:t>LPG only permits gases assigned to the listed UN numbers to be regarded as LPG.</w:t>
      </w:r>
    </w:p>
    <w:p w14:paraId="02983B6F" w14:textId="320D4F57" w:rsidR="00E35B25" w:rsidRDefault="00E35B25" w:rsidP="00D818A4">
      <w:pPr>
        <w:pStyle w:val="SingleTxtG"/>
      </w:pPr>
      <w:r>
        <w:t>9.</w:t>
      </w:r>
      <w:r>
        <w:tab/>
      </w:r>
      <w:r w:rsidR="00317EF6">
        <w:t xml:space="preserve">World LPG Association (WLPGA) </w:t>
      </w:r>
      <w:r w:rsidR="00317EF6" w:rsidRPr="00E61E7A">
        <w:t xml:space="preserve">submitted </w:t>
      </w:r>
      <w:r w:rsidR="00317EF6">
        <w:t>i</w:t>
      </w:r>
      <w:r w:rsidRPr="005E4D9A">
        <w:t xml:space="preserve">nformal </w:t>
      </w:r>
      <w:r w:rsidR="00DE2CA7">
        <w:t>documents</w:t>
      </w:r>
      <w:r w:rsidRPr="005E4D9A">
        <w:t xml:space="preserve"> </w:t>
      </w:r>
      <w:r w:rsidR="002417AD" w:rsidRPr="005E4D9A">
        <w:t>INF.18</w:t>
      </w:r>
      <w:r w:rsidR="0005642B">
        <w:rPr>
          <w:rStyle w:val="FootnoteReference"/>
        </w:rPr>
        <w:footnoteReference w:id="4"/>
      </w:r>
      <w:r w:rsidR="002417AD" w:rsidRPr="005E4D9A">
        <w:t>, INF.1</w:t>
      </w:r>
      <w:r w:rsidR="002417AD">
        <w:t>9</w:t>
      </w:r>
      <w:r w:rsidR="0005642B">
        <w:rPr>
          <w:rStyle w:val="FootnoteReference"/>
        </w:rPr>
        <w:footnoteReference w:id="5"/>
      </w:r>
      <w:r w:rsidR="002417AD">
        <w:t xml:space="preserve"> and </w:t>
      </w:r>
      <w:r w:rsidR="002417AD" w:rsidRPr="005E4D9A">
        <w:t>INF.</w:t>
      </w:r>
      <w:r w:rsidR="002417AD">
        <w:t>35</w:t>
      </w:r>
      <w:r w:rsidR="0005642B">
        <w:rPr>
          <w:rStyle w:val="FootnoteReference"/>
        </w:rPr>
        <w:footnoteReference w:id="6"/>
      </w:r>
      <w:r w:rsidR="002417AD" w:rsidRPr="005E4D9A">
        <w:t xml:space="preserve"> </w:t>
      </w:r>
      <w:r w:rsidR="00317EF6">
        <w:t>to the sixty-</w:t>
      </w:r>
      <w:r w:rsidR="00591088">
        <w:t>third</w:t>
      </w:r>
      <w:r w:rsidR="00013A62">
        <w:t xml:space="preserve"> session </w:t>
      </w:r>
      <w:r w:rsidR="00591088">
        <w:t>of</w:t>
      </w:r>
      <w:r w:rsidRPr="005E4D9A">
        <w:t xml:space="preserve"> the TDG Sub</w:t>
      </w:r>
      <w:r w:rsidR="006B1C8B">
        <w:t>-C</w:t>
      </w:r>
      <w:r w:rsidRPr="005E4D9A">
        <w:t xml:space="preserve">ommittee </w:t>
      </w:r>
      <w:r w:rsidR="00591088">
        <w:t>in</w:t>
      </w:r>
      <w:r w:rsidRPr="005E4D9A">
        <w:t xml:space="preserve"> November/December 2023, requesting a special provision to </w:t>
      </w:r>
      <w:r>
        <w:t>be applied to</w:t>
      </w:r>
      <w:r w:rsidRPr="005E4D9A">
        <w:t xml:space="preserve"> the </w:t>
      </w:r>
      <w:r w:rsidR="009A24BD">
        <w:t>entri</w:t>
      </w:r>
      <w:r w:rsidR="00781F89">
        <w:t>es</w:t>
      </w:r>
      <w:r w:rsidRPr="005E4D9A">
        <w:t xml:space="preserve"> </w:t>
      </w:r>
      <w:r w:rsidR="00CF72CE">
        <w:t xml:space="preserve">in the </w:t>
      </w:r>
      <w:r w:rsidR="00CF72CE" w:rsidRPr="00781F89">
        <w:rPr>
          <w:i/>
          <w:iCs/>
        </w:rPr>
        <w:t>Model Regulations</w:t>
      </w:r>
      <w:r w:rsidR="00CF72CE">
        <w:t xml:space="preserve"> </w:t>
      </w:r>
      <w:r w:rsidRPr="005E4D9A">
        <w:t>of</w:t>
      </w:r>
      <w:r>
        <w:t xml:space="preserve"> UN</w:t>
      </w:r>
      <w:r w:rsidR="00C557CB">
        <w:t> </w:t>
      </w:r>
      <w:r>
        <w:t>1075 and UN 1965 as follows:</w:t>
      </w:r>
    </w:p>
    <w:p w14:paraId="3E8D006B" w14:textId="29CBF8CF" w:rsidR="00E35B25" w:rsidRPr="009A7CA7" w:rsidRDefault="006B1EF2" w:rsidP="00D818A4">
      <w:pPr>
        <w:pStyle w:val="SingleTxtG"/>
      </w:pPr>
      <w:r>
        <w:tab/>
        <w:t>“</w:t>
      </w:r>
      <w:r w:rsidR="00E35B25" w:rsidRPr="009A7CA7">
        <w:t>Amend the Dangerous Goods List in 3.2.2 as follows:</w:t>
      </w:r>
    </w:p>
    <w:tbl>
      <w:tblPr>
        <w:tblStyle w:val="TableGrid"/>
        <w:tblpPr w:leftFromText="181" w:rightFromText="181" w:vertAnchor="text" w:horzAnchor="margin" w:tblpXSpec="center" w:tblpY="1"/>
        <w:tblOverlap w:val="never"/>
        <w:tblW w:w="0" w:type="auto"/>
        <w:tblLook w:val="04A0" w:firstRow="1" w:lastRow="0" w:firstColumn="1" w:lastColumn="0" w:noHBand="0" w:noVBand="1"/>
      </w:tblPr>
      <w:tblGrid>
        <w:gridCol w:w="846"/>
        <w:gridCol w:w="3402"/>
        <w:gridCol w:w="1276"/>
        <w:gridCol w:w="992"/>
        <w:gridCol w:w="850"/>
        <w:gridCol w:w="1560"/>
      </w:tblGrid>
      <w:tr w:rsidR="00A128D7" w:rsidRPr="00FB2B87" w14:paraId="5B30E57B" w14:textId="77777777" w:rsidTr="00120EC1">
        <w:trPr>
          <w:trHeight w:val="844"/>
        </w:trPr>
        <w:tc>
          <w:tcPr>
            <w:tcW w:w="846" w:type="dxa"/>
            <w:vAlign w:val="center"/>
          </w:tcPr>
          <w:p w14:paraId="7C6605C9" w14:textId="77777777" w:rsidR="00A128D7" w:rsidRPr="00FB2B87" w:rsidRDefault="00A128D7" w:rsidP="00864EC4">
            <w:pPr>
              <w:pStyle w:val="Default"/>
              <w:ind w:right="131"/>
              <w:jc w:val="center"/>
              <w:rPr>
                <w:b/>
                <w:bCs/>
                <w:sz w:val="20"/>
                <w:szCs w:val="20"/>
              </w:rPr>
            </w:pPr>
            <w:r w:rsidRPr="00FB2B87">
              <w:rPr>
                <w:b/>
                <w:bCs/>
                <w:sz w:val="20"/>
                <w:szCs w:val="20"/>
              </w:rPr>
              <w:t>UN</w:t>
            </w:r>
          </w:p>
          <w:p w14:paraId="70F8E13C" w14:textId="77777777" w:rsidR="00A128D7" w:rsidRPr="00FB2B87" w:rsidRDefault="00A128D7" w:rsidP="00864EC4">
            <w:pPr>
              <w:pStyle w:val="Default"/>
              <w:ind w:right="131"/>
              <w:jc w:val="center"/>
              <w:rPr>
                <w:b/>
                <w:bCs/>
                <w:sz w:val="20"/>
                <w:szCs w:val="20"/>
              </w:rPr>
            </w:pPr>
            <w:r w:rsidRPr="00FB2B87">
              <w:rPr>
                <w:b/>
                <w:bCs/>
                <w:sz w:val="20"/>
                <w:szCs w:val="20"/>
              </w:rPr>
              <w:t>No.</w:t>
            </w:r>
          </w:p>
        </w:tc>
        <w:tc>
          <w:tcPr>
            <w:tcW w:w="3402" w:type="dxa"/>
            <w:vAlign w:val="center"/>
          </w:tcPr>
          <w:p w14:paraId="16E5A652" w14:textId="77777777" w:rsidR="00A128D7" w:rsidRPr="00FB2B87" w:rsidRDefault="00A128D7" w:rsidP="00864EC4">
            <w:pPr>
              <w:pStyle w:val="Default"/>
              <w:ind w:right="129"/>
              <w:jc w:val="center"/>
              <w:rPr>
                <w:b/>
                <w:bCs/>
                <w:sz w:val="20"/>
                <w:szCs w:val="20"/>
              </w:rPr>
            </w:pPr>
            <w:r w:rsidRPr="00FB2B87">
              <w:rPr>
                <w:b/>
                <w:bCs/>
                <w:sz w:val="20"/>
                <w:szCs w:val="20"/>
              </w:rPr>
              <w:t>Name and description</w:t>
            </w:r>
          </w:p>
        </w:tc>
        <w:tc>
          <w:tcPr>
            <w:tcW w:w="1276" w:type="dxa"/>
            <w:vAlign w:val="center"/>
          </w:tcPr>
          <w:p w14:paraId="032A6472" w14:textId="77777777" w:rsidR="00A128D7" w:rsidRPr="00FB2B87" w:rsidRDefault="00A128D7" w:rsidP="00864EC4">
            <w:pPr>
              <w:pStyle w:val="Default"/>
              <w:tabs>
                <w:tab w:val="left" w:pos="1126"/>
              </w:tabs>
              <w:spacing w:before="240"/>
              <w:ind w:right="-6"/>
              <w:jc w:val="center"/>
              <w:rPr>
                <w:b/>
                <w:bCs/>
                <w:sz w:val="20"/>
                <w:szCs w:val="20"/>
              </w:rPr>
            </w:pPr>
            <w:r w:rsidRPr="00FB2B87">
              <w:rPr>
                <w:b/>
                <w:bCs/>
                <w:sz w:val="20"/>
                <w:szCs w:val="20"/>
              </w:rPr>
              <w:t>Class or division</w:t>
            </w:r>
          </w:p>
        </w:tc>
        <w:tc>
          <w:tcPr>
            <w:tcW w:w="992" w:type="dxa"/>
            <w:vAlign w:val="center"/>
          </w:tcPr>
          <w:p w14:paraId="0C5C15ED" w14:textId="77777777" w:rsidR="00A128D7" w:rsidRPr="00FB2B87" w:rsidRDefault="00A128D7" w:rsidP="00864EC4">
            <w:pPr>
              <w:pStyle w:val="Default"/>
              <w:spacing w:before="240"/>
              <w:jc w:val="center"/>
              <w:rPr>
                <w:b/>
                <w:bCs/>
                <w:sz w:val="20"/>
                <w:szCs w:val="20"/>
              </w:rPr>
            </w:pPr>
            <w:r w:rsidRPr="00FB2B87">
              <w:rPr>
                <w:b/>
                <w:bCs/>
                <w:sz w:val="20"/>
                <w:szCs w:val="20"/>
              </w:rPr>
              <w:t>Subsidiary hazard</w:t>
            </w:r>
          </w:p>
        </w:tc>
        <w:tc>
          <w:tcPr>
            <w:tcW w:w="850" w:type="dxa"/>
            <w:vAlign w:val="center"/>
          </w:tcPr>
          <w:p w14:paraId="43C1D488" w14:textId="77777777" w:rsidR="00A128D7" w:rsidRPr="00FB2B87" w:rsidRDefault="00A128D7" w:rsidP="00864EC4">
            <w:pPr>
              <w:pStyle w:val="Default"/>
              <w:spacing w:before="240"/>
              <w:ind w:right="72"/>
              <w:jc w:val="center"/>
              <w:rPr>
                <w:b/>
                <w:bCs/>
                <w:sz w:val="20"/>
                <w:szCs w:val="20"/>
              </w:rPr>
            </w:pPr>
            <w:r w:rsidRPr="00FB2B87">
              <w:rPr>
                <w:b/>
                <w:bCs/>
                <w:sz w:val="20"/>
                <w:szCs w:val="20"/>
              </w:rPr>
              <w:t>UN packing group</w:t>
            </w:r>
          </w:p>
        </w:tc>
        <w:tc>
          <w:tcPr>
            <w:tcW w:w="1560" w:type="dxa"/>
            <w:vAlign w:val="center"/>
          </w:tcPr>
          <w:p w14:paraId="7E032F0C" w14:textId="77777777" w:rsidR="00A128D7" w:rsidRPr="00FB2B87" w:rsidRDefault="00A128D7" w:rsidP="00864EC4">
            <w:pPr>
              <w:pStyle w:val="Default"/>
              <w:spacing w:before="240"/>
              <w:ind w:left="69" w:right="131" w:hanging="69"/>
              <w:jc w:val="center"/>
              <w:rPr>
                <w:b/>
                <w:bCs/>
                <w:sz w:val="20"/>
                <w:szCs w:val="20"/>
              </w:rPr>
            </w:pPr>
            <w:r w:rsidRPr="00FB2B87">
              <w:rPr>
                <w:b/>
                <w:bCs/>
                <w:sz w:val="20"/>
                <w:szCs w:val="20"/>
              </w:rPr>
              <w:t>Special provision</w:t>
            </w:r>
          </w:p>
        </w:tc>
      </w:tr>
      <w:tr w:rsidR="00A128D7" w:rsidRPr="00FB2B87" w14:paraId="6F318030" w14:textId="77777777" w:rsidTr="00120EC1">
        <w:trPr>
          <w:trHeight w:val="432"/>
        </w:trPr>
        <w:tc>
          <w:tcPr>
            <w:tcW w:w="846" w:type="dxa"/>
            <w:vAlign w:val="center"/>
          </w:tcPr>
          <w:p w14:paraId="7DE07EEA" w14:textId="77777777" w:rsidR="00A128D7" w:rsidRPr="00FB2B87" w:rsidRDefault="00A128D7" w:rsidP="00864EC4">
            <w:pPr>
              <w:pStyle w:val="Default"/>
              <w:jc w:val="center"/>
              <w:rPr>
                <w:b/>
                <w:bCs/>
                <w:sz w:val="20"/>
                <w:szCs w:val="20"/>
              </w:rPr>
            </w:pPr>
            <w:r w:rsidRPr="00FB2B87">
              <w:rPr>
                <w:b/>
                <w:bCs/>
                <w:sz w:val="20"/>
                <w:szCs w:val="20"/>
              </w:rPr>
              <w:t>(1)</w:t>
            </w:r>
          </w:p>
        </w:tc>
        <w:tc>
          <w:tcPr>
            <w:tcW w:w="3402" w:type="dxa"/>
            <w:vAlign w:val="center"/>
          </w:tcPr>
          <w:p w14:paraId="2871D20B" w14:textId="77777777" w:rsidR="00A128D7" w:rsidRPr="00FB2B87" w:rsidRDefault="00A128D7" w:rsidP="00864EC4">
            <w:pPr>
              <w:pStyle w:val="Default"/>
              <w:ind w:right="424"/>
              <w:jc w:val="center"/>
              <w:rPr>
                <w:b/>
                <w:bCs/>
                <w:sz w:val="20"/>
                <w:szCs w:val="20"/>
              </w:rPr>
            </w:pPr>
            <w:r w:rsidRPr="00FB2B87">
              <w:rPr>
                <w:b/>
                <w:bCs/>
                <w:sz w:val="20"/>
                <w:szCs w:val="20"/>
              </w:rPr>
              <w:t>(2)</w:t>
            </w:r>
          </w:p>
        </w:tc>
        <w:tc>
          <w:tcPr>
            <w:tcW w:w="1276" w:type="dxa"/>
            <w:vAlign w:val="center"/>
          </w:tcPr>
          <w:p w14:paraId="3193AD5D" w14:textId="77777777" w:rsidR="00A128D7" w:rsidRPr="00FB2B87" w:rsidRDefault="00A128D7" w:rsidP="00864EC4">
            <w:pPr>
              <w:pStyle w:val="Default"/>
              <w:jc w:val="center"/>
              <w:rPr>
                <w:b/>
                <w:bCs/>
                <w:sz w:val="20"/>
                <w:szCs w:val="20"/>
              </w:rPr>
            </w:pPr>
            <w:r w:rsidRPr="00FB2B87">
              <w:rPr>
                <w:b/>
                <w:bCs/>
                <w:sz w:val="20"/>
                <w:szCs w:val="20"/>
              </w:rPr>
              <w:t>(3)</w:t>
            </w:r>
          </w:p>
        </w:tc>
        <w:tc>
          <w:tcPr>
            <w:tcW w:w="992" w:type="dxa"/>
            <w:vAlign w:val="center"/>
          </w:tcPr>
          <w:p w14:paraId="096E9990" w14:textId="77777777" w:rsidR="00A128D7" w:rsidRPr="00FB2B87" w:rsidRDefault="00A128D7" w:rsidP="00864EC4">
            <w:pPr>
              <w:pStyle w:val="Default"/>
              <w:jc w:val="center"/>
              <w:rPr>
                <w:b/>
                <w:bCs/>
                <w:sz w:val="20"/>
                <w:szCs w:val="20"/>
              </w:rPr>
            </w:pPr>
            <w:r w:rsidRPr="00FB2B87">
              <w:rPr>
                <w:b/>
                <w:bCs/>
                <w:sz w:val="20"/>
                <w:szCs w:val="20"/>
              </w:rPr>
              <w:t>(4)</w:t>
            </w:r>
          </w:p>
        </w:tc>
        <w:tc>
          <w:tcPr>
            <w:tcW w:w="850" w:type="dxa"/>
            <w:vAlign w:val="center"/>
          </w:tcPr>
          <w:p w14:paraId="7305D571" w14:textId="77777777" w:rsidR="00A128D7" w:rsidRPr="00FB2B87" w:rsidRDefault="00A128D7" w:rsidP="00864EC4">
            <w:pPr>
              <w:pStyle w:val="Default"/>
              <w:jc w:val="center"/>
              <w:rPr>
                <w:b/>
                <w:bCs/>
                <w:sz w:val="20"/>
                <w:szCs w:val="20"/>
              </w:rPr>
            </w:pPr>
            <w:r w:rsidRPr="00FB2B87">
              <w:rPr>
                <w:b/>
                <w:bCs/>
                <w:sz w:val="20"/>
                <w:szCs w:val="20"/>
              </w:rPr>
              <w:t>(5)</w:t>
            </w:r>
          </w:p>
        </w:tc>
        <w:tc>
          <w:tcPr>
            <w:tcW w:w="1560" w:type="dxa"/>
            <w:vAlign w:val="center"/>
          </w:tcPr>
          <w:p w14:paraId="41DA4FBB" w14:textId="77777777" w:rsidR="00A128D7" w:rsidRPr="00FB2B87" w:rsidRDefault="00A128D7" w:rsidP="00864EC4">
            <w:pPr>
              <w:pStyle w:val="Default"/>
              <w:ind w:right="56"/>
              <w:jc w:val="center"/>
              <w:rPr>
                <w:b/>
                <w:bCs/>
                <w:sz w:val="20"/>
                <w:szCs w:val="20"/>
              </w:rPr>
            </w:pPr>
            <w:r w:rsidRPr="00FB2B87">
              <w:rPr>
                <w:b/>
                <w:bCs/>
                <w:sz w:val="20"/>
                <w:szCs w:val="20"/>
              </w:rPr>
              <w:t>(6)</w:t>
            </w:r>
          </w:p>
        </w:tc>
      </w:tr>
      <w:tr w:rsidR="00A128D7" w:rsidRPr="00FB2B87" w14:paraId="37E95288" w14:textId="77777777" w:rsidTr="00120EC1">
        <w:tc>
          <w:tcPr>
            <w:tcW w:w="846" w:type="dxa"/>
          </w:tcPr>
          <w:p w14:paraId="590FA7AC" w14:textId="77777777" w:rsidR="00A128D7" w:rsidRPr="00FB2B87" w:rsidRDefault="00A128D7" w:rsidP="00864EC4">
            <w:pPr>
              <w:pStyle w:val="Default"/>
              <w:jc w:val="center"/>
              <w:rPr>
                <w:sz w:val="20"/>
                <w:szCs w:val="20"/>
              </w:rPr>
            </w:pPr>
            <w:r w:rsidRPr="00FB2B87">
              <w:rPr>
                <w:sz w:val="20"/>
                <w:szCs w:val="20"/>
              </w:rPr>
              <w:t>1075</w:t>
            </w:r>
          </w:p>
        </w:tc>
        <w:tc>
          <w:tcPr>
            <w:tcW w:w="3402" w:type="dxa"/>
          </w:tcPr>
          <w:p w14:paraId="48A0639A" w14:textId="77777777" w:rsidR="00A128D7" w:rsidRPr="00FB2B87" w:rsidRDefault="00A128D7" w:rsidP="00864EC4">
            <w:pPr>
              <w:pStyle w:val="Default"/>
              <w:rPr>
                <w:sz w:val="20"/>
                <w:szCs w:val="20"/>
              </w:rPr>
            </w:pPr>
            <w:r w:rsidRPr="00FB2B87">
              <w:rPr>
                <w:sz w:val="20"/>
                <w:szCs w:val="20"/>
              </w:rPr>
              <w:t>PETROLEUM GASES, LIQUEFIED</w:t>
            </w:r>
          </w:p>
        </w:tc>
        <w:tc>
          <w:tcPr>
            <w:tcW w:w="1276" w:type="dxa"/>
          </w:tcPr>
          <w:p w14:paraId="4C19D6EC" w14:textId="77777777" w:rsidR="00A128D7" w:rsidRPr="00FB2B87" w:rsidRDefault="00A128D7" w:rsidP="00864EC4">
            <w:pPr>
              <w:pStyle w:val="Default"/>
              <w:ind w:right="-6"/>
              <w:jc w:val="center"/>
              <w:rPr>
                <w:sz w:val="20"/>
                <w:szCs w:val="20"/>
              </w:rPr>
            </w:pPr>
            <w:r w:rsidRPr="00FB2B87">
              <w:rPr>
                <w:sz w:val="20"/>
                <w:szCs w:val="20"/>
              </w:rPr>
              <w:t>2.1</w:t>
            </w:r>
          </w:p>
        </w:tc>
        <w:tc>
          <w:tcPr>
            <w:tcW w:w="992" w:type="dxa"/>
          </w:tcPr>
          <w:p w14:paraId="1656FC9F" w14:textId="77777777" w:rsidR="00A128D7" w:rsidRPr="00FB2B87" w:rsidRDefault="00A128D7" w:rsidP="00864EC4">
            <w:pPr>
              <w:pStyle w:val="Default"/>
              <w:ind w:right="424"/>
              <w:jc w:val="center"/>
              <w:rPr>
                <w:sz w:val="20"/>
                <w:szCs w:val="20"/>
              </w:rPr>
            </w:pPr>
          </w:p>
        </w:tc>
        <w:tc>
          <w:tcPr>
            <w:tcW w:w="850" w:type="dxa"/>
          </w:tcPr>
          <w:p w14:paraId="22260DEB" w14:textId="77777777" w:rsidR="00A128D7" w:rsidRPr="00FB2B87" w:rsidRDefault="00A128D7" w:rsidP="00864EC4">
            <w:pPr>
              <w:pStyle w:val="Default"/>
              <w:ind w:right="424"/>
              <w:jc w:val="center"/>
              <w:rPr>
                <w:sz w:val="20"/>
                <w:szCs w:val="20"/>
              </w:rPr>
            </w:pPr>
          </w:p>
        </w:tc>
        <w:tc>
          <w:tcPr>
            <w:tcW w:w="1560" w:type="dxa"/>
          </w:tcPr>
          <w:p w14:paraId="28F0C604" w14:textId="7912D631" w:rsidR="00A128D7" w:rsidRPr="00FB2B87" w:rsidRDefault="00A128D7" w:rsidP="00864EC4">
            <w:pPr>
              <w:pStyle w:val="Default"/>
              <w:jc w:val="center"/>
              <w:rPr>
                <w:sz w:val="20"/>
                <w:szCs w:val="20"/>
                <w:u w:val="single"/>
              </w:rPr>
            </w:pPr>
            <w:r w:rsidRPr="00FB2B87">
              <w:rPr>
                <w:sz w:val="20"/>
                <w:szCs w:val="20"/>
              </w:rPr>
              <w:t>392</w:t>
            </w:r>
            <w:r w:rsidR="00A55DBE">
              <w:rPr>
                <w:sz w:val="20"/>
                <w:szCs w:val="20"/>
              </w:rPr>
              <w:t>,</w:t>
            </w:r>
            <w:r w:rsidRPr="00FB2B87">
              <w:rPr>
                <w:sz w:val="20"/>
                <w:szCs w:val="20"/>
              </w:rPr>
              <w:t xml:space="preserve"> </w:t>
            </w:r>
            <w:r w:rsidRPr="00FB2B87">
              <w:rPr>
                <w:sz w:val="20"/>
                <w:szCs w:val="20"/>
                <w:u w:val="single"/>
              </w:rPr>
              <w:t>XXX</w:t>
            </w:r>
          </w:p>
        </w:tc>
      </w:tr>
      <w:tr w:rsidR="00A128D7" w:rsidRPr="00FB2B87" w14:paraId="37180FA4" w14:textId="77777777" w:rsidTr="00120EC1">
        <w:trPr>
          <w:trHeight w:val="432"/>
        </w:trPr>
        <w:tc>
          <w:tcPr>
            <w:tcW w:w="846" w:type="dxa"/>
          </w:tcPr>
          <w:p w14:paraId="0D100566" w14:textId="77777777" w:rsidR="00A128D7" w:rsidRPr="00FB2B87" w:rsidRDefault="00A128D7" w:rsidP="00864EC4">
            <w:pPr>
              <w:pStyle w:val="Default"/>
              <w:jc w:val="center"/>
              <w:rPr>
                <w:b/>
                <w:bCs/>
                <w:sz w:val="20"/>
                <w:szCs w:val="20"/>
              </w:rPr>
            </w:pPr>
            <w:r w:rsidRPr="00FB2B87">
              <w:rPr>
                <w:sz w:val="20"/>
                <w:szCs w:val="20"/>
              </w:rPr>
              <w:t>1965</w:t>
            </w:r>
          </w:p>
        </w:tc>
        <w:tc>
          <w:tcPr>
            <w:tcW w:w="3402" w:type="dxa"/>
          </w:tcPr>
          <w:p w14:paraId="3AABD34D" w14:textId="77777777" w:rsidR="00A128D7" w:rsidRPr="00FB2B87" w:rsidRDefault="00A128D7" w:rsidP="00864EC4">
            <w:pPr>
              <w:pStyle w:val="Default"/>
              <w:ind w:right="424"/>
              <w:jc w:val="center"/>
              <w:rPr>
                <w:b/>
                <w:bCs/>
                <w:sz w:val="20"/>
                <w:szCs w:val="20"/>
              </w:rPr>
            </w:pPr>
            <w:r w:rsidRPr="00FB2B87">
              <w:rPr>
                <w:sz w:val="20"/>
                <w:szCs w:val="20"/>
              </w:rPr>
              <w:t>HYDROCARBON GAS MIXTURE, LIQUEFIED, N.O.S.</w:t>
            </w:r>
          </w:p>
        </w:tc>
        <w:tc>
          <w:tcPr>
            <w:tcW w:w="1276" w:type="dxa"/>
          </w:tcPr>
          <w:p w14:paraId="6CD6021E" w14:textId="77777777" w:rsidR="00A128D7" w:rsidRPr="00FB2B87" w:rsidRDefault="00A128D7" w:rsidP="00864EC4">
            <w:pPr>
              <w:pStyle w:val="Default"/>
              <w:jc w:val="center"/>
              <w:rPr>
                <w:b/>
                <w:bCs/>
                <w:sz w:val="20"/>
                <w:szCs w:val="20"/>
              </w:rPr>
            </w:pPr>
            <w:r w:rsidRPr="00FB2B87">
              <w:rPr>
                <w:sz w:val="20"/>
                <w:szCs w:val="20"/>
              </w:rPr>
              <w:t>2.1</w:t>
            </w:r>
          </w:p>
        </w:tc>
        <w:tc>
          <w:tcPr>
            <w:tcW w:w="992" w:type="dxa"/>
          </w:tcPr>
          <w:p w14:paraId="691C2E3C" w14:textId="77777777" w:rsidR="00A128D7" w:rsidRPr="00FB2B87" w:rsidRDefault="00A128D7" w:rsidP="00864EC4">
            <w:pPr>
              <w:pStyle w:val="Default"/>
              <w:jc w:val="center"/>
              <w:rPr>
                <w:b/>
                <w:bCs/>
                <w:sz w:val="20"/>
                <w:szCs w:val="20"/>
              </w:rPr>
            </w:pPr>
          </w:p>
        </w:tc>
        <w:tc>
          <w:tcPr>
            <w:tcW w:w="850" w:type="dxa"/>
          </w:tcPr>
          <w:p w14:paraId="79269F04" w14:textId="77777777" w:rsidR="00A128D7" w:rsidRPr="00FB2B87" w:rsidRDefault="00A128D7" w:rsidP="00864EC4">
            <w:pPr>
              <w:pStyle w:val="Default"/>
              <w:jc w:val="center"/>
              <w:rPr>
                <w:b/>
                <w:bCs/>
                <w:sz w:val="20"/>
                <w:szCs w:val="20"/>
              </w:rPr>
            </w:pPr>
          </w:p>
        </w:tc>
        <w:tc>
          <w:tcPr>
            <w:tcW w:w="1560" w:type="dxa"/>
          </w:tcPr>
          <w:p w14:paraId="59AF59E2" w14:textId="77777777" w:rsidR="00A128D7" w:rsidRPr="00FB2B87" w:rsidRDefault="00A128D7" w:rsidP="00864EC4">
            <w:pPr>
              <w:pStyle w:val="Default"/>
              <w:ind w:right="56"/>
              <w:jc w:val="center"/>
              <w:rPr>
                <w:b/>
                <w:bCs/>
                <w:sz w:val="20"/>
                <w:szCs w:val="20"/>
              </w:rPr>
            </w:pPr>
            <w:r w:rsidRPr="00FB2B87">
              <w:rPr>
                <w:sz w:val="20"/>
                <w:szCs w:val="20"/>
              </w:rPr>
              <w:t xml:space="preserve">274, 392, </w:t>
            </w:r>
            <w:r w:rsidRPr="00FB2B87">
              <w:rPr>
                <w:sz w:val="20"/>
                <w:szCs w:val="20"/>
                <w:u w:val="single"/>
              </w:rPr>
              <w:t>XXX</w:t>
            </w:r>
          </w:p>
        </w:tc>
      </w:tr>
    </w:tbl>
    <w:p w14:paraId="61CD56F6" w14:textId="77777777" w:rsidR="00C62CAC" w:rsidRDefault="00C62CAC" w:rsidP="00D818A4">
      <w:pPr>
        <w:pStyle w:val="SingleTxtG"/>
      </w:pPr>
    </w:p>
    <w:p w14:paraId="7B539EE7" w14:textId="7CF04987" w:rsidR="00E35B25" w:rsidRPr="00781F89" w:rsidRDefault="00E35B25" w:rsidP="00D818A4">
      <w:pPr>
        <w:pStyle w:val="SingleTxtG"/>
      </w:pPr>
      <w:r w:rsidRPr="00781F89">
        <w:tab/>
        <w:t>Add a new special provision ’XXX’ in 3.3.1 as follows:</w:t>
      </w:r>
    </w:p>
    <w:p w14:paraId="00863AC6" w14:textId="728D273D" w:rsidR="00E35B25" w:rsidRPr="00781F89" w:rsidRDefault="00E35B25" w:rsidP="00781F89">
      <w:pPr>
        <w:pStyle w:val="SingleTxtG"/>
        <w:ind w:left="1701" w:hanging="567"/>
      </w:pPr>
      <w:r w:rsidRPr="00781F89">
        <w:rPr>
          <w:u w:val="single"/>
        </w:rPr>
        <w:t>XXX</w:t>
      </w:r>
      <w:r w:rsidRPr="00781F89">
        <w:tab/>
      </w:r>
      <w:r w:rsidRPr="00781F89">
        <w:rPr>
          <w:u w:val="single"/>
        </w:rPr>
        <w:t>This substance may contain hydrocarbon gases from non-petroleum sources and may also contain up to 12% by mass of UN 1033 DIMETHYL ETHER. When UN 1033 DIMETHYL ETHER is present in the substance its percentage by mass shall be included with the technical name</w:t>
      </w:r>
      <w:r w:rsidRPr="00781F89">
        <w:t>.</w:t>
      </w:r>
      <w:r w:rsidR="00461390" w:rsidRPr="00781F89">
        <w:t>”</w:t>
      </w:r>
    </w:p>
    <w:p w14:paraId="774D735B" w14:textId="1B2A4CA9" w:rsidR="00E35B25" w:rsidRPr="000A1913" w:rsidRDefault="00E35B25" w:rsidP="00E16FC8">
      <w:pPr>
        <w:pStyle w:val="SingleTxtG"/>
        <w:rPr>
          <w:lang w:eastAsia="en-US"/>
        </w:rPr>
      </w:pPr>
      <w:r w:rsidRPr="00005C01">
        <w:t>10.</w:t>
      </w:r>
      <w:r w:rsidRPr="00005C01">
        <w:tab/>
      </w:r>
      <w:r w:rsidR="00E16FC8">
        <w:t>As a</w:t>
      </w:r>
      <w:r w:rsidR="002A2F8C">
        <w:t xml:space="preserve"> relevant </w:t>
      </w:r>
      <w:r w:rsidR="00E16FC8">
        <w:t>outcome of its</w:t>
      </w:r>
      <w:r>
        <w:t xml:space="preserve"> </w:t>
      </w:r>
      <w:r w:rsidRPr="00005C01">
        <w:t>November/December 2023</w:t>
      </w:r>
      <w:r w:rsidR="00E16FC8">
        <w:t xml:space="preserve"> session, t</w:t>
      </w:r>
      <w:r w:rsidRPr="000A1913">
        <w:rPr>
          <w:lang w:eastAsia="en-US"/>
        </w:rPr>
        <w:t xml:space="preserve">he Sub-Committee had welcomed the above stated proposal from WLPGA and all the supporting documents, and they all received a good support from </w:t>
      </w:r>
      <w:proofErr w:type="gramStart"/>
      <w:r w:rsidRPr="000A1913">
        <w:rPr>
          <w:lang w:eastAsia="en-US"/>
        </w:rPr>
        <w:t>the majority of</w:t>
      </w:r>
      <w:proofErr w:type="gramEnd"/>
      <w:r w:rsidRPr="000A1913">
        <w:rPr>
          <w:lang w:eastAsia="en-US"/>
        </w:rPr>
        <w:t xml:space="preserve"> the delegations that took the floor. Only one delegation opposed, while another one appreciated that more time was needed to process the extensive documentation provided and clarify some key issues. An alternative option was raised again as reflection if it is best to insert a new </w:t>
      </w:r>
      <w:r w:rsidR="00936CD3">
        <w:rPr>
          <w:lang w:eastAsia="en-US"/>
        </w:rPr>
        <w:t>s</w:t>
      </w:r>
      <w:r w:rsidRPr="000A1913">
        <w:rPr>
          <w:lang w:eastAsia="en-US"/>
        </w:rPr>
        <w:t xml:space="preserve">pecial </w:t>
      </w:r>
      <w:r w:rsidR="00936CD3">
        <w:rPr>
          <w:lang w:eastAsia="en-US"/>
        </w:rPr>
        <w:t>p</w:t>
      </w:r>
      <w:r w:rsidRPr="000A1913">
        <w:rPr>
          <w:lang w:eastAsia="en-US"/>
        </w:rPr>
        <w:t xml:space="preserve">rovision to UN numbers UN 1075 and UN 1965 as per current proposal, following the guidance given to WLPGA </w:t>
      </w:r>
      <w:r w:rsidR="0015387B">
        <w:rPr>
          <w:lang w:eastAsia="en-US"/>
        </w:rPr>
        <w:t>at</w:t>
      </w:r>
      <w:r w:rsidRPr="000A1913">
        <w:rPr>
          <w:lang w:eastAsia="en-US"/>
        </w:rPr>
        <w:t xml:space="preserve"> the </w:t>
      </w:r>
      <w:r w:rsidR="0015387B">
        <w:rPr>
          <w:lang w:eastAsia="en-US"/>
        </w:rPr>
        <w:t>sixty-first</w:t>
      </w:r>
      <w:r w:rsidRPr="000A1913">
        <w:rPr>
          <w:lang w:eastAsia="en-US"/>
        </w:rPr>
        <w:t xml:space="preserve"> session </w:t>
      </w:r>
      <w:r w:rsidR="002A22DA">
        <w:rPr>
          <w:lang w:eastAsia="en-US"/>
        </w:rPr>
        <w:t xml:space="preserve">(see </w:t>
      </w:r>
      <w:r w:rsidR="00EF405E">
        <w:rPr>
          <w:lang w:eastAsia="en-US"/>
        </w:rPr>
        <w:t xml:space="preserve">report </w:t>
      </w:r>
      <w:r w:rsidRPr="000A1913">
        <w:rPr>
          <w:lang w:eastAsia="en-US"/>
        </w:rPr>
        <w:t>ST/SG/AC.10/C.3/</w:t>
      </w:r>
      <w:r w:rsidR="00EF405E">
        <w:rPr>
          <w:lang w:eastAsia="en-US"/>
        </w:rPr>
        <w:t>122</w:t>
      </w:r>
      <w:r w:rsidR="002A22DA">
        <w:rPr>
          <w:lang w:eastAsia="en-US"/>
        </w:rPr>
        <w:t>,</w:t>
      </w:r>
      <w:r w:rsidRPr="000A1913">
        <w:rPr>
          <w:lang w:eastAsia="en-US"/>
        </w:rPr>
        <w:t xml:space="preserve"> par</w:t>
      </w:r>
      <w:r w:rsidR="002A22DA">
        <w:rPr>
          <w:lang w:eastAsia="en-US"/>
        </w:rPr>
        <w:t>a</w:t>
      </w:r>
      <w:r w:rsidRPr="000A1913">
        <w:rPr>
          <w:lang w:eastAsia="en-US"/>
        </w:rPr>
        <w:t>.</w:t>
      </w:r>
      <w:r w:rsidR="002A22DA">
        <w:rPr>
          <w:lang w:eastAsia="en-US"/>
        </w:rPr>
        <w:t xml:space="preserve"> </w:t>
      </w:r>
      <w:r w:rsidRPr="000A1913">
        <w:rPr>
          <w:lang w:eastAsia="en-US"/>
        </w:rPr>
        <w:t>2</w:t>
      </w:r>
      <w:r w:rsidR="00EF405E">
        <w:rPr>
          <w:lang w:eastAsia="en-US"/>
        </w:rPr>
        <w:t>3</w:t>
      </w:r>
      <w:r w:rsidRPr="000A1913">
        <w:rPr>
          <w:lang w:eastAsia="en-US"/>
        </w:rPr>
        <w:t xml:space="preserve"> “most of the experts who spoke preferred to go forward with the introduction of a new special provision”) or to insert a new UN number for different blends of hydrocarbon and DME (which touches the other WLPGA proposal </w:t>
      </w:r>
      <w:r w:rsidR="00656FEF">
        <w:rPr>
          <w:lang w:eastAsia="en-US"/>
        </w:rPr>
        <w:t xml:space="preserve">in informal document INF.12 of the </w:t>
      </w:r>
      <w:r w:rsidR="00750E3E">
        <w:rPr>
          <w:lang w:eastAsia="en-US"/>
        </w:rPr>
        <w:t xml:space="preserve">sixty-third </w:t>
      </w:r>
      <w:r w:rsidR="00D34AE0">
        <w:rPr>
          <w:lang w:eastAsia="en-US"/>
        </w:rPr>
        <w:t xml:space="preserve">session of the </w:t>
      </w:r>
      <w:r w:rsidR="00750E3E">
        <w:rPr>
          <w:lang w:eastAsia="en-US"/>
        </w:rPr>
        <w:t>Sub-Committee</w:t>
      </w:r>
      <w:r w:rsidRPr="000A1913">
        <w:rPr>
          <w:lang w:eastAsia="en-US"/>
        </w:rPr>
        <w:t xml:space="preserve">). Proposals for improvement were stated from some delegations, that are to be </w:t>
      </w:r>
      <w:proofErr w:type="gramStart"/>
      <w:r w:rsidRPr="000A1913">
        <w:rPr>
          <w:lang w:eastAsia="en-US"/>
        </w:rPr>
        <w:t>taken into account</w:t>
      </w:r>
      <w:proofErr w:type="gramEnd"/>
      <w:r w:rsidRPr="000A1913">
        <w:rPr>
          <w:lang w:eastAsia="en-US"/>
        </w:rPr>
        <w:t xml:space="preserve"> for the preparation of the final </w:t>
      </w:r>
      <w:r w:rsidR="00A17A04">
        <w:rPr>
          <w:lang w:eastAsia="en-US"/>
        </w:rPr>
        <w:t>official</w:t>
      </w:r>
      <w:r w:rsidRPr="000A1913">
        <w:rPr>
          <w:lang w:eastAsia="en-US"/>
        </w:rPr>
        <w:t xml:space="preserve"> document. Most experts who took the floor felt that the second sentence of the new special provision was not needed. The Sub-Committee recommended to clarify the transport conditions for blends higher than 12 percent (</w:t>
      </w:r>
      <w:r w:rsidR="00C00BB5">
        <w:rPr>
          <w:lang w:eastAsia="en-US"/>
        </w:rPr>
        <w:t>see informal document INF.12</w:t>
      </w:r>
      <w:r w:rsidR="00610078">
        <w:rPr>
          <w:rStyle w:val="FootnoteReference"/>
          <w:lang w:eastAsia="en-US"/>
        </w:rPr>
        <w:footnoteReference w:id="7"/>
      </w:r>
      <w:r w:rsidR="00C00BB5">
        <w:rPr>
          <w:lang w:eastAsia="en-US"/>
        </w:rPr>
        <w:t xml:space="preserve"> of the sixty-third session of the Sub-Committee</w:t>
      </w:r>
      <w:r w:rsidRPr="000A1913">
        <w:rPr>
          <w:lang w:eastAsia="en-US"/>
        </w:rPr>
        <w:t xml:space="preserve">). The Sub-Committee agreed to resume discussions at its next session </w:t>
      </w:r>
      <w:proofErr w:type="gramStart"/>
      <w:r w:rsidRPr="000A1913">
        <w:rPr>
          <w:lang w:eastAsia="en-US"/>
        </w:rPr>
        <w:t>on the basis of</w:t>
      </w:r>
      <w:proofErr w:type="gramEnd"/>
      <w:r w:rsidRPr="000A1913">
        <w:rPr>
          <w:lang w:eastAsia="en-US"/>
        </w:rPr>
        <w:t xml:space="preserve"> a new </w:t>
      </w:r>
      <w:r w:rsidR="00D44390">
        <w:rPr>
          <w:lang w:eastAsia="en-US"/>
        </w:rPr>
        <w:t>official</w:t>
      </w:r>
      <w:r w:rsidRPr="000A1913">
        <w:rPr>
          <w:lang w:eastAsia="en-US"/>
        </w:rPr>
        <w:t xml:space="preserve"> document that the World LPG Association agreed to submit.</w:t>
      </w:r>
    </w:p>
    <w:p w14:paraId="1F1695E6" w14:textId="23FFCFA1" w:rsidR="00E35B25" w:rsidRPr="00BF5A2D" w:rsidRDefault="007F69A8" w:rsidP="007F69A8">
      <w:pPr>
        <w:pStyle w:val="HChG"/>
      </w:pPr>
      <w:r>
        <w:lastRenderedPageBreak/>
        <w:tab/>
        <w:t>II.</w:t>
      </w:r>
      <w:r>
        <w:tab/>
      </w:r>
      <w:r w:rsidRPr="00BF5A2D">
        <w:tab/>
      </w:r>
      <w:r w:rsidR="00E35B25" w:rsidRPr="00BF5A2D">
        <w:t>Proposal</w:t>
      </w:r>
    </w:p>
    <w:p w14:paraId="3E5F5D46" w14:textId="12918D9E" w:rsidR="00E35B25" w:rsidRDefault="00D818A4" w:rsidP="007F69A8">
      <w:pPr>
        <w:pStyle w:val="SingleTxtG"/>
      </w:pPr>
      <w:r>
        <w:t>11.</w:t>
      </w:r>
      <w:r>
        <w:tab/>
      </w:r>
      <w:r w:rsidR="00E35B25">
        <w:rPr>
          <w:b/>
        </w:rPr>
        <w:t>I</w:t>
      </w:r>
      <w:r w:rsidR="00E35B25" w:rsidRPr="00CC0D8B">
        <w:rPr>
          <w:b/>
        </w:rPr>
        <w:t>n RID/ADR</w:t>
      </w:r>
      <w:r w:rsidR="0005642B">
        <w:rPr>
          <w:b/>
        </w:rPr>
        <w:t>/ADN</w:t>
      </w:r>
      <w:r w:rsidR="00E35B25" w:rsidRPr="00CC0D8B">
        <w:rPr>
          <w:b/>
        </w:rPr>
        <w:t xml:space="preserve"> </w:t>
      </w:r>
      <w:r w:rsidR="00E35B25">
        <w:rPr>
          <w:b/>
        </w:rPr>
        <w:t xml:space="preserve">amend </w:t>
      </w:r>
      <w:r w:rsidR="00E35B25" w:rsidRPr="00CC0D8B">
        <w:rPr>
          <w:b/>
        </w:rPr>
        <w:t xml:space="preserve">all existing names, </w:t>
      </w:r>
      <w:proofErr w:type="gramStart"/>
      <w:r w:rsidR="00E35B25" w:rsidRPr="00CC0D8B">
        <w:rPr>
          <w:b/>
        </w:rPr>
        <w:t>definitions</w:t>
      </w:r>
      <w:proofErr w:type="gramEnd"/>
      <w:r w:rsidR="00E35B25" w:rsidRPr="00CC0D8B">
        <w:rPr>
          <w:b/>
        </w:rPr>
        <w:t xml:space="preserve"> and references of LPG (Liquefied Petroleum Gas)</w:t>
      </w:r>
      <w:r w:rsidR="00E35B25">
        <w:rPr>
          <w:b/>
        </w:rPr>
        <w:t xml:space="preserve"> </w:t>
      </w:r>
      <w:r w:rsidR="00E35B25">
        <w:t>that are not the title/scope of a regulation or standard</w:t>
      </w:r>
      <w:r w:rsidR="00E35B25" w:rsidRPr="00CC0D8B">
        <w:t xml:space="preserve"> </w:t>
      </w:r>
      <w:r w:rsidR="00E35B25" w:rsidRPr="00744F0A">
        <w:t>to</w:t>
      </w:r>
      <w:r w:rsidR="00E35B25" w:rsidRPr="00CC0D8B">
        <w:t xml:space="preserve"> exclude any references to “Petroleum” </w:t>
      </w:r>
      <w:r w:rsidR="002814D7">
        <w:t>as follows:</w:t>
      </w:r>
    </w:p>
    <w:p w14:paraId="364DA671" w14:textId="6941619A" w:rsidR="00B80CEE" w:rsidRDefault="000E2651" w:rsidP="00AF4EFE">
      <w:pPr>
        <w:pStyle w:val="SingleTxtG"/>
      </w:pPr>
      <w:r>
        <w:tab/>
      </w:r>
      <w:r w:rsidR="007F69A8">
        <w:t>(</w:t>
      </w:r>
      <w:r w:rsidR="00D818A4">
        <w:t>a</w:t>
      </w:r>
      <w:r w:rsidR="007F69A8">
        <w:t>)</w:t>
      </w:r>
      <w:r w:rsidR="00AF4EFE">
        <w:tab/>
      </w:r>
      <w:r w:rsidR="00E35B25">
        <w:t xml:space="preserve">In </w:t>
      </w:r>
      <w:r w:rsidR="00E35B25" w:rsidRPr="007E6321">
        <w:t xml:space="preserve">1.2.1 </w:t>
      </w:r>
      <w:r w:rsidR="00720DB9">
        <w:t>amend</w:t>
      </w:r>
      <w:r w:rsidR="00E35B25">
        <w:t xml:space="preserve"> </w:t>
      </w:r>
      <w:r w:rsidR="00E35B25" w:rsidRPr="007E6321">
        <w:t xml:space="preserve">the </w:t>
      </w:r>
      <w:r w:rsidR="00720DB9">
        <w:t xml:space="preserve">current </w:t>
      </w:r>
      <w:r w:rsidR="00E35B25" w:rsidRPr="007E6321">
        <w:t>definition of LPG</w:t>
      </w:r>
      <w:r w:rsidR="00881EF3" w:rsidRPr="00881EF3">
        <w:t xml:space="preserve"> </w:t>
      </w:r>
      <w:r w:rsidR="00881EF3">
        <w:t>to read (new</w:t>
      </w:r>
      <w:r w:rsidR="00881EF3" w:rsidRPr="00F65268">
        <w:t xml:space="preserve"> text is underlined, deleted text is stri</w:t>
      </w:r>
      <w:r w:rsidR="00881EF3">
        <w:t>c</w:t>
      </w:r>
      <w:r w:rsidR="00881EF3" w:rsidRPr="00F65268">
        <w:t>ke</w:t>
      </w:r>
      <w:r w:rsidR="00881EF3">
        <w:t xml:space="preserve">n </w:t>
      </w:r>
      <w:r w:rsidR="00881EF3" w:rsidRPr="00F65268">
        <w:t>through</w:t>
      </w:r>
      <w:r w:rsidR="00881EF3">
        <w:t>)</w:t>
      </w:r>
      <w:r w:rsidR="00B80CEE">
        <w:t>:</w:t>
      </w:r>
    </w:p>
    <w:p w14:paraId="78CEEF2A" w14:textId="4CAD54B0" w:rsidR="00E35B25" w:rsidRDefault="00FF60E6" w:rsidP="00881EF3">
      <w:pPr>
        <w:pStyle w:val="SingleTxtG"/>
        <w:tabs>
          <w:tab w:val="clear" w:pos="1701"/>
        </w:tabs>
        <w:ind w:left="1701"/>
      </w:pPr>
      <w:r w:rsidRPr="00AF4339">
        <w:rPr>
          <w:iCs/>
        </w:rPr>
        <w:t>"</w:t>
      </w:r>
      <w:r w:rsidRPr="003D6E82">
        <w:rPr>
          <w:i/>
          <w:iCs/>
        </w:rPr>
        <w:t xml:space="preserve"> </w:t>
      </w:r>
      <w:r w:rsidR="00E35B25" w:rsidRPr="003D6E82">
        <w:rPr>
          <w:i/>
          <w:iCs/>
        </w:rPr>
        <w:t>“</w:t>
      </w:r>
      <w:r w:rsidR="00E35B25" w:rsidRPr="00277169">
        <w:rPr>
          <w:i/>
          <w:iCs/>
          <w:strike/>
        </w:rPr>
        <w:t>Liquefied Petroleum Gas (</w:t>
      </w:r>
      <w:r w:rsidR="00E35B25" w:rsidRPr="0096053A">
        <w:rPr>
          <w:i/>
          <w:iCs/>
        </w:rPr>
        <w:t>LPG</w:t>
      </w:r>
      <w:r w:rsidR="00E35B25" w:rsidRPr="00277169">
        <w:rPr>
          <w:i/>
          <w:iCs/>
          <w:strike/>
        </w:rPr>
        <w:t>)</w:t>
      </w:r>
      <w:r w:rsidR="00E35B25">
        <w:rPr>
          <w:i/>
          <w:iCs/>
        </w:rPr>
        <w:t>”</w:t>
      </w:r>
      <w:r w:rsidR="00E35B25" w:rsidRPr="007E6321">
        <w:t xml:space="preserve"> </w:t>
      </w:r>
      <w:r w:rsidR="00420A16">
        <w:t>mean</w:t>
      </w:r>
      <w:r w:rsidR="00E35B25" w:rsidRPr="007E6321">
        <w:t xml:space="preserve">s a </w:t>
      </w:r>
      <w:r w:rsidR="00E35B25" w:rsidRPr="00843764">
        <w:t xml:space="preserve">low-pressure liquefied gas composed of </w:t>
      </w:r>
      <w:r w:rsidR="00E35B25" w:rsidRPr="00821F29">
        <w:rPr>
          <w:u w:val="single"/>
        </w:rPr>
        <w:t>propane and/or butane or mixtures of the two, which can also include dimethyl ether (UN 1033) up to 12</w:t>
      </w:r>
      <w:r w:rsidR="004B7FA6" w:rsidRPr="00821F29">
        <w:rPr>
          <w:u w:val="single"/>
        </w:rPr>
        <w:t xml:space="preserve"> </w:t>
      </w:r>
      <w:r w:rsidR="00E35B25" w:rsidRPr="00821F29">
        <w:rPr>
          <w:u w:val="single"/>
        </w:rPr>
        <w:t>% by mass, as well as</w:t>
      </w:r>
      <w:r w:rsidR="00E35B25" w:rsidRPr="00843764">
        <w:t xml:space="preserve"> one or more </w:t>
      </w:r>
      <w:r w:rsidR="00E35B25" w:rsidRPr="004F3D1F">
        <w:rPr>
          <w:u w:val="single"/>
        </w:rPr>
        <w:t>other</w:t>
      </w:r>
      <w:r w:rsidR="00E35B25" w:rsidRPr="00843764">
        <w:t xml:space="preserve"> light hydrocarbons </w:t>
      </w:r>
      <w:r w:rsidR="00E35B25" w:rsidRPr="004F3D1F">
        <w:rPr>
          <w:u w:val="single"/>
        </w:rPr>
        <w:t>such as propene (propylene), isobutane, isobutylene or butene (butylene)</w:t>
      </w:r>
      <w:r w:rsidR="00E35B25">
        <w:t>,</w:t>
      </w:r>
      <w:r w:rsidR="00E35B25" w:rsidRPr="00843764">
        <w:t xml:space="preserve"> which are assigned to UN Nos. 1011, </w:t>
      </w:r>
      <w:r w:rsidR="00E35B25" w:rsidRPr="00275333">
        <w:rPr>
          <w:u w:val="single"/>
        </w:rPr>
        <w:t>1012, 1055,</w:t>
      </w:r>
      <w:r w:rsidR="00E35B25" w:rsidRPr="00843764">
        <w:t xml:space="preserve"> 1075, </w:t>
      </w:r>
      <w:r w:rsidR="00E35B25" w:rsidRPr="00DC69F7">
        <w:rPr>
          <w:u w:val="single"/>
        </w:rPr>
        <w:t>1077,</w:t>
      </w:r>
      <w:r w:rsidR="00E35B25">
        <w:t xml:space="preserve"> </w:t>
      </w:r>
      <w:r w:rsidR="00E35B25" w:rsidRPr="00843764">
        <w:t>1965, 1969 or 1978 with traces of other hydrocarbon gases</w:t>
      </w:r>
      <w:r w:rsidR="00E35B25">
        <w:t>;</w:t>
      </w:r>
      <w:r w:rsidRPr="00FF60E6">
        <w:rPr>
          <w:iCs/>
        </w:rPr>
        <w:t xml:space="preserve"> </w:t>
      </w:r>
      <w:r w:rsidRPr="00AF4339">
        <w:rPr>
          <w:iCs/>
        </w:rPr>
        <w:t>"</w:t>
      </w:r>
      <w:r w:rsidR="0095484A">
        <w:t xml:space="preserve"> (The notes remain unchanged.)</w:t>
      </w:r>
      <w:r>
        <w:t>;</w:t>
      </w:r>
    </w:p>
    <w:p w14:paraId="3D9A445C" w14:textId="205D5F97" w:rsidR="00E35B25" w:rsidRDefault="000E2651" w:rsidP="007F69A8">
      <w:pPr>
        <w:pStyle w:val="SingleTxtG"/>
      </w:pPr>
      <w:r>
        <w:tab/>
      </w:r>
      <w:r w:rsidR="007F69A8">
        <w:t>(</w:t>
      </w:r>
      <w:r w:rsidR="00FF60E6">
        <w:t>b</w:t>
      </w:r>
      <w:r w:rsidR="007F69A8">
        <w:t>)</w:t>
      </w:r>
      <w:r w:rsidR="00D818A4">
        <w:tab/>
      </w:r>
      <w:r w:rsidR="00E653BC">
        <w:t>Consequential amendments to replace</w:t>
      </w:r>
      <w:r w:rsidR="00E35B25">
        <w:t xml:space="preserve"> ″</w:t>
      </w:r>
      <w:r w:rsidR="00E35B25" w:rsidRPr="007F71DA">
        <w:t>Liquid Petroleum Gas</w:t>
      </w:r>
      <w:r w:rsidR="006C7A9F">
        <w:t>″</w:t>
      </w:r>
      <w:r w:rsidR="00E35B25" w:rsidRPr="007F71DA">
        <w:t xml:space="preserve"> </w:t>
      </w:r>
      <w:r w:rsidR="00E653BC">
        <w:t>by</w:t>
      </w:r>
      <w:r w:rsidR="00E35B25" w:rsidRPr="007F71DA">
        <w:t xml:space="preserve"> </w:t>
      </w:r>
      <w:r w:rsidR="00E35B25">
        <w:t>″</w:t>
      </w:r>
      <w:r w:rsidR="00E35B25" w:rsidRPr="007F71DA">
        <w:t>LPG</w:t>
      </w:r>
      <w:r w:rsidR="00C97341">
        <w:t>″</w:t>
      </w:r>
      <w:r w:rsidR="00F07D74">
        <w:t xml:space="preserve"> (</w:t>
      </w:r>
      <w:r w:rsidR="00090008">
        <w:t>new text in bold, deleted text is stri</w:t>
      </w:r>
      <w:r w:rsidR="00DA58FD">
        <w:t>c</w:t>
      </w:r>
      <w:r w:rsidR="00090008">
        <w:t>ken</w:t>
      </w:r>
      <w:r w:rsidR="00DA58FD">
        <w:t xml:space="preserve"> </w:t>
      </w:r>
      <w:r w:rsidR="00090008">
        <w:t>through</w:t>
      </w:r>
      <w:r w:rsidR="00F07D74">
        <w:t>)</w:t>
      </w:r>
      <w:r w:rsidR="00E35B25" w:rsidRPr="007F71DA">
        <w:t>:</w:t>
      </w:r>
    </w:p>
    <w:p w14:paraId="65945F28" w14:textId="2232C47F" w:rsidR="00E35B25" w:rsidRPr="005531FB" w:rsidRDefault="00295090" w:rsidP="00295090">
      <w:pPr>
        <w:pStyle w:val="SingleTxtG"/>
        <w:ind w:left="1701"/>
      </w:pPr>
      <w:r>
        <w:t>“</w:t>
      </w:r>
      <w:r w:rsidR="000C48A2">
        <w:t>(ADR</w:t>
      </w:r>
      <w:r w:rsidR="00AF4EFE">
        <w:t xml:space="preserve">:) </w:t>
      </w:r>
      <w:r w:rsidR="00E35B25" w:rsidRPr="007F71DA">
        <w:t xml:space="preserve">1.1.3.2 (a) </w:t>
      </w:r>
      <w:r w:rsidR="00D64276">
        <w:t xml:space="preserve">the table </w:t>
      </w:r>
      <w:r w:rsidR="00E35B25" w:rsidRPr="007F71DA">
        <w:t xml:space="preserve">– </w:t>
      </w:r>
      <w:r w:rsidR="00E35B25" w:rsidRPr="00C96C34">
        <w:rPr>
          <w:strike/>
        </w:rPr>
        <w:t>Liquefied Petroleum Gas (</w:t>
      </w:r>
      <w:r w:rsidR="00E35B25">
        <w:t>LPG</w:t>
      </w:r>
      <w:r w:rsidR="00E35B25" w:rsidRPr="00C96C34">
        <w:rPr>
          <w:strike/>
        </w:rPr>
        <w:t>)</w:t>
      </w:r>
    </w:p>
    <w:p w14:paraId="0813785F" w14:textId="7E3EBE9D" w:rsidR="00E35B25" w:rsidRPr="00AF7E4A" w:rsidRDefault="00E35B25" w:rsidP="007449E9">
      <w:pPr>
        <w:pStyle w:val="SingleTxtG"/>
        <w:ind w:left="1701"/>
        <w:rPr>
          <w:color w:val="000000" w:themeColor="text1"/>
        </w:rPr>
      </w:pPr>
      <w:r w:rsidRPr="00766B47">
        <w:t>1.2.3 – “</w:t>
      </w:r>
      <w:r w:rsidRPr="00766B47">
        <w:rPr>
          <w:i/>
          <w:iCs/>
        </w:rPr>
        <w:t>LPG</w:t>
      </w:r>
      <w:r w:rsidRPr="00766B47">
        <w:t xml:space="preserve">” </w:t>
      </w:r>
      <w:r w:rsidRPr="00771AB2">
        <w:rPr>
          <w:strike/>
        </w:rPr>
        <w:t>means liquefied petroleum gas</w:t>
      </w:r>
      <w:r w:rsidRPr="00766B47">
        <w:t xml:space="preserve"> (see 1.2.1)</w:t>
      </w:r>
    </w:p>
    <w:p w14:paraId="79E6030A" w14:textId="77777777" w:rsidR="00AC1009" w:rsidRDefault="00E35B25">
      <w:pPr>
        <w:pStyle w:val="SingleTxtG"/>
        <w:ind w:left="1701"/>
      </w:pPr>
      <w:r w:rsidRPr="007F71DA">
        <w:t>3.3.1</w:t>
      </w:r>
      <w:r>
        <w:t xml:space="preserve"> </w:t>
      </w:r>
      <w:r w:rsidR="006E0ED6" w:rsidRPr="00766B47">
        <w:t>–</w:t>
      </w:r>
      <w:r w:rsidR="006E0ED6">
        <w:t xml:space="preserve"> </w:t>
      </w:r>
      <w:r w:rsidRPr="007F71DA">
        <w:t>S</w:t>
      </w:r>
      <w:r w:rsidR="00D8050C">
        <w:t>pecial provision</w:t>
      </w:r>
      <w:r w:rsidRPr="007F71DA">
        <w:t xml:space="preserve"> 201</w:t>
      </w:r>
    </w:p>
    <w:p w14:paraId="6DFD8B22" w14:textId="594FE3A0" w:rsidR="00E35B25" w:rsidRDefault="00F929A0" w:rsidP="00FA245D">
      <w:pPr>
        <w:pStyle w:val="SingleTxtG"/>
        <w:tabs>
          <w:tab w:val="clear" w:pos="1701"/>
        </w:tabs>
        <w:ind w:left="2268" w:hanging="567"/>
      </w:pPr>
      <w:r>
        <w:t>201</w:t>
      </w:r>
      <w:r w:rsidR="00AC1009">
        <w:tab/>
      </w:r>
      <w:r w:rsidR="00E35B25">
        <w:t>Lighters and lighter refills shall comply with the provisions of the country in which they were filled. They shall be provided with protection against inadvertent discharge. The liquid portion of t</w:t>
      </w:r>
      <w:r w:rsidR="00187D36">
        <w:t>h</w:t>
      </w:r>
      <w:r w:rsidR="00E35B25">
        <w:t>e gas shall not exceed 85% of the capacity of the recept</w:t>
      </w:r>
      <w:r w:rsidR="00187D36">
        <w:t>a</w:t>
      </w:r>
      <w:r w:rsidR="00E35B25">
        <w:t xml:space="preserve">cle at 15 </w:t>
      </w:r>
      <w:r w:rsidR="00E35B25" w:rsidRPr="00255B9E">
        <w:rPr>
          <w:vertAlign w:val="superscript"/>
        </w:rPr>
        <w:t>0</w:t>
      </w:r>
      <w:r w:rsidR="00E35B25">
        <w:t xml:space="preserve">C. The receptacles, including closures, shall be capable of withstanding an internal pressure of twice the pressure of the </w:t>
      </w:r>
      <w:r w:rsidR="00E35B25" w:rsidRPr="00553CF0">
        <w:rPr>
          <w:strike/>
        </w:rPr>
        <w:t xml:space="preserve">liquefied </w:t>
      </w:r>
      <w:r w:rsidR="00E35B25" w:rsidRPr="006F2F6F">
        <w:rPr>
          <w:strike/>
        </w:rPr>
        <w:t>pet</w:t>
      </w:r>
      <w:r w:rsidR="00F07D74">
        <w:rPr>
          <w:strike/>
        </w:rPr>
        <w:t>r</w:t>
      </w:r>
      <w:r w:rsidR="00E35B25" w:rsidRPr="006F2F6F">
        <w:rPr>
          <w:strike/>
        </w:rPr>
        <w:t>oleum gas</w:t>
      </w:r>
      <w:r w:rsidR="00E35B25">
        <w:t xml:space="preserve"> </w:t>
      </w:r>
      <w:r w:rsidR="00E35B25">
        <w:rPr>
          <w:b/>
          <w:bCs/>
        </w:rPr>
        <w:t xml:space="preserve">LPG </w:t>
      </w:r>
      <w:r w:rsidR="00E35B25">
        <w:t xml:space="preserve">at 55 </w:t>
      </w:r>
      <w:r w:rsidR="00E35B25">
        <w:rPr>
          <w:vertAlign w:val="superscript"/>
        </w:rPr>
        <w:t>0</w:t>
      </w:r>
      <w:r w:rsidR="00E35B25">
        <w:t xml:space="preserve">C. The valve </w:t>
      </w:r>
      <w:r w:rsidR="00187D36">
        <w:t>mechanism</w:t>
      </w:r>
      <w:r w:rsidR="00E35B25">
        <w:t xml:space="preserve"> and ignition devices shall be securely sealed, </w:t>
      </w:r>
      <w:proofErr w:type="gramStart"/>
      <w:r w:rsidR="00E35B25">
        <w:t>taped</w:t>
      </w:r>
      <w:proofErr w:type="gramEnd"/>
      <w:r w:rsidR="00E35B25">
        <w:t xml:space="preserve"> or otherwise fastened or designed to prevent operation or leakage of the contents during </w:t>
      </w:r>
      <w:r w:rsidR="00187D36">
        <w:t>carriage</w:t>
      </w:r>
      <w:r w:rsidR="00E35B25">
        <w:t xml:space="preserve">. Lighters shall not contain more than 10 g of </w:t>
      </w:r>
      <w:r w:rsidR="00E35B25" w:rsidRPr="00553CF0">
        <w:rPr>
          <w:strike/>
        </w:rPr>
        <w:t xml:space="preserve">liquefied </w:t>
      </w:r>
      <w:r w:rsidR="00E35B25" w:rsidRPr="006F2F6F">
        <w:rPr>
          <w:strike/>
        </w:rPr>
        <w:t>pet</w:t>
      </w:r>
      <w:r w:rsidR="00FA245D">
        <w:rPr>
          <w:strike/>
        </w:rPr>
        <w:t>r</w:t>
      </w:r>
      <w:r w:rsidR="00E35B25" w:rsidRPr="006F2F6F">
        <w:rPr>
          <w:strike/>
        </w:rPr>
        <w:t>oleum gas</w:t>
      </w:r>
      <w:r w:rsidR="00E35B25">
        <w:t xml:space="preserve"> </w:t>
      </w:r>
      <w:r w:rsidR="00E35B25">
        <w:rPr>
          <w:b/>
          <w:bCs/>
        </w:rPr>
        <w:t>LPG</w:t>
      </w:r>
      <w:r w:rsidR="00E35B25">
        <w:t>. Lighter refills shall not contain more tha</w:t>
      </w:r>
      <w:r w:rsidR="00BF471B">
        <w:t>n</w:t>
      </w:r>
      <w:r w:rsidR="00E35B25">
        <w:t xml:space="preserve"> 65 g of </w:t>
      </w:r>
      <w:r w:rsidR="00E35B25" w:rsidRPr="00553CF0">
        <w:rPr>
          <w:strike/>
        </w:rPr>
        <w:t xml:space="preserve">liquefied </w:t>
      </w:r>
      <w:r w:rsidR="00E35B25" w:rsidRPr="006F2F6F">
        <w:rPr>
          <w:strike/>
        </w:rPr>
        <w:t>pet</w:t>
      </w:r>
      <w:r w:rsidR="00FA245D">
        <w:rPr>
          <w:strike/>
        </w:rPr>
        <w:t>r</w:t>
      </w:r>
      <w:r w:rsidR="00E35B25" w:rsidRPr="006F2F6F">
        <w:rPr>
          <w:strike/>
        </w:rPr>
        <w:t>oleum gas</w:t>
      </w:r>
      <w:r w:rsidR="00E35B25">
        <w:t xml:space="preserve"> </w:t>
      </w:r>
      <w:r w:rsidR="00E35B25">
        <w:rPr>
          <w:b/>
          <w:bCs/>
        </w:rPr>
        <w:t>LPG</w:t>
      </w:r>
      <w:r w:rsidR="00E35B25">
        <w:t>.</w:t>
      </w:r>
    </w:p>
    <w:p w14:paraId="4202336E" w14:textId="5260B3AD" w:rsidR="00E35B25" w:rsidRPr="00DC3376" w:rsidRDefault="00E35B25" w:rsidP="001508B5">
      <w:pPr>
        <w:pStyle w:val="SingleTxtG"/>
        <w:ind w:left="1701"/>
      </w:pPr>
      <w:r w:rsidRPr="007F71DA">
        <w:t>5.2.2.2.1.6 (d)</w:t>
      </w:r>
      <w:r>
        <w:t xml:space="preserve"> – Labels conforming to model No. 2.1 displayed on cylinders and gas </w:t>
      </w:r>
      <w:r w:rsidR="003760A9">
        <w:t>cartridges</w:t>
      </w:r>
      <w:r>
        <w:t xml:space="preserve"> for </w:t>
      </w:r>
      <w:r w:rsidRPr="00553CF0">
        <w:rPr>
          <w:strike/>
        </w:rPr>
        <w:t xml:space="preserve">liquefied </w:t>
      </w:r>
      <w:r w:rsidRPr="006F2F6F">
        <w:rPr>
          <w:strike/>
        </w:rPr>
        <w:t>pet</w:t>
      </w:r>
      <w:r w:rsidR="001C4B65">
        <w:rPr>
          <w:strike/>
        </w:rPr>
        <w:t>r</w:t>
      </w:r>
      <w:r w:rsidRPr="006F2F6F">
        <w:rPr>
          <w:strike/>
        </w:rPr>
        <w:t>oleum gas</w:t>
      </w:r>
      <w:r>
        <w:t xml:space="preserve"> </w:t>
      </w:r>
      <w:r>
        <w:rPr>
          <w:b/>
          <w:bCs/>
        </w:rPr>
        <w:t>LPG</w:t>
      </w:r>
      <w:r>
        <w:t xml:space="preserve">, where they may be shown in the background colour of the </w:t>
      </w:r>
      <w:r w:rsidR="00BF471B">
        <w:t>receptacle</w:t>
      </w:r>
      <w:r>
        <w:t xml:space="preserve"> if adequate contrast is provid</w:t>
      </w:r>
      <w:r w:rsidR="00DC3376">
        <w:t>ed.</w:t>
      </w:r>
      <w:r w:rsidR="00295090">
        <w:t>”</w:t>
      </w:r>
    </w:p>
    <w:p w14:paraId="6B7AADDA" w14:textId="2C0CC745" w:rsidR="00670D28" w:rsidRDefault="00670D28" w:rsidP="00234BEC">
      <w:pPr>
        <w:spacing w:before="240"/>
        <w:jc w:val="center"/>
        <w:rPr>
          <w:u w:val="single"/>
        </w:rPr>
      </w:pPr>
    </w:p>
    <w:p w14:paraId="4D5D85C9" w14:textId="3E95921C" w:rsidR="00670D28" w:rsidRPr="00185E19" w:rsidRDefault="00185E19" w:rsidP="00185E19">
      <w:pPr>
        <w:spacing w:before="240"/>
        <w:jc w:val="center"/>
        <w:rPr>
          <w:u w:val="single"/>
        </w:rPr>
      </w:pPr>
      <w:r>
        <w:rPr>
          <w:u w:val="single"/>
        </w:rPr>
        <w:tab/>
      </w:r>
      <w:r>
        <w:rPr>
          <w:u w:val="single"/>
        </w:rPr>
        <w:tab/>
      </w:r>
      <w:r>
        <w:rPr>
          <w:u w:val="single"/>
        </w:rPr>
        <w:tab/>
      </w:r>
    </w:p>
    <w:sectPr w:rsidR="00670D28" w:rsidRPr="00185E19" w:rsidSect="000E440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CA84" w14:textId="77777777" w:rsidR="00006984" w:rsidRDefault="00006984"/>
  </w:endnote>
  <w:endnote w:type="continuationSeparator" w:id="0">
    <w:p w14:paraId="76BFF415" w14:textId="77777777" w:rsidR="00006984" w:rsidRDefault="00006984"/>
  </w:endnote>
  <w:endnote w:type="continuationNotice" w:id="1">
    <w:p w14:paraId="56263955" w14:textId="77777777" w:rsidR="00006984" w:rsidRDefault="00006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53A" w14:textId="19BCC10A" w:rsidR="000E440A" w:rsidRPr="000E440A" w:rsidRDefault="000E440A" w:rsidP="000E440A">
    <w:pPr>
      <w:pStyle w:val="Footer"/>
      <w:tabs>
        <w:tab w:val="right" w:pos="9638"/>
      </w:tabs>
      <w:rPr>
        <w:sz w:val="18"/>
      </w:rPr>
    </w:pPr>
    <w:r w:rsidRPr="000E440A">
      <w:rPr>
        <w:b/>
        <w:sz w:val="18"/>
      </w:rPr>
      <w:fldChar w:fldCharType="begin"/>
    </w:r>
    <w:r w:rsidRPr="000E440A">
      <w:rPr>
        <w:b/>
        <w:sz w:val="18"/>
      </w:rPr>
      <w:instrText xml:space="preserve"> PAGE  \* MERGEFORMAT </w:instrText>
    </w:r>
    <w:r w:rsidRPr="000E440A">
      <w:rPr>
        <w:b/>
        <w:sz w:val="18"/>
      </w:rPr>
      <w:fldChar w:fldCharType="separate"/>
    </w:r>
    <w:r w:rsidRPr="000E440A">
      <w:rPr>
        <w:b/>
        <w:noProof/>
        <w:sz w:val="18"/>
      </w:rPr>
      <w:t>2</w:t>
    </w:r>
    <w:r w:rsidRPr="000E44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FBE4" w14:textId="610CAF76" w:rsidR="000E440A" w:rsidRPr="000E440A" w:rsidRDefault="000E440A" w:rsidP="000E440A">
    <w:pPr>
      <w:pStyle w:val="Footer"/>
      <w:tabs>
        <w:tab w:val="right" w:pos="9638"/>
      </w:tabs>
      <w:rPr>
        <w:b/>
        <w:sz w:val="18"/>
      </w:rPr>
    </w:pPr>
    <w:r>
      <w:tab/>
    </w:r>
    <w:r w:rsidRPr="000E440A">
      <w:rPr>
        <w:b/>
        <w:sz w:val="18"/>
      </w:rPr>
      <w:fldChar w:fldCharType="begin"/>
    </w:r>
    <w:r w:rsidRPr="000E440A">
      <w:rPr>
        <w:b/>
        <w:sz w:val="18"/>
      </w:rPr>
      <w:instrText xml:space="preserve"> PAGE  \* MERGEFORMAT </w:instrText>
    </w:r>
    <w:r w:rsidRPr="000E440A">
      <w:rPr>
        <w:b/>
        <w:sz w:val="18"/>
      </w:rPr>
      <w:fldChar w:fldCharType="separate"/>
    </w:r>
    <w:r w:rsidRPr="000E440A">
      <w:rPr>
        <w:b/>
        <w:noProof/>
        <w:sz w:val="18"/>
      </w:rPr>
      <w:t>3</w:t>
    </w:r>
    <w:r w:rsidRPr="000E44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E82" w14:textId="7E4CE47F" w:rsidR="007B1AD7" w:rsidRDefault="007B1AD7" w:rsidP="007B1AD7">
    <w:pPr>
      <w:pStyle w:val="Footer"/>
    </w:pPr>
    <w:r w:rsidRPr="0027112F">
      <w:rPr>
        <w:noProof/>
        <w:lang w:val="en-US"/>
      </w:rPr>
      <w:drawing>
        <wp:anchor distT="0" distB="0" distL="114300" distR="114300" simplePos="0" relativeHeight="251659264" behindDoc="0" locked="1" layoutInCell="1" allowOverlap="1" wp14:anchorId="13CCDEBD" wp14:editId="3589B0B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E6C6AF" w14:textId="32979927" w:rsidR="007B1AD7" w:rsidRPr="007B1AD7" w:rsidRDefault="007B1AD7" w:rsidP="007B1AD7">
    <w:pPr>
      <w:pStyle w:val="Footer"/>
      <w:ind w:right="1134"/>
      <w:rPr>
        <w:sz w:val="20"/>
      </w:rPr>
    </w:pPr>
    <w:r>
      <w:rPr>
        <w:sz w:val="20"/>
      </w:rPr>
      <w:t>GE.23-25716(E)</w:t>
    </w:r>
    <w:r>
      <w:rPr>
        <w:noProof/>
        <w:sz w:val="20"/>
      </w:rPr>
      <w:drawing>
        <wp:anchor distT="0" distB="0" distL="114300" distR="114300" simplePos="0" relativeHeight="251660288" behindDoc="0" locked="0" layoutInCell="1" allowOverlap="1" wp14:anchorId="36F7D5FE" wp14:editId="6A9AA1B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C062" w14:textId="77777777" w:rsidR="00006984" w:rsidRPr="000B175B" w:rsidRDefault="00006984" w:rsidP="000B175B">
      <w:pPr>
        <w:tabs>
          <w:tab w:val="right" w:pos="2155"/>
        </w:tabs>
        <w:spacing w:after="80"/>
        <w:ind w:left="680"/>
        <w:rPr>
          <w:u w:val="single"/>
        </w:rPr>
      </w:pPr>
      <w:r>
        <w:rPr>
          <w:u w:val="single"/>
        </w:rPr>
        <w:tab/>
      </w:r>
    </w:p>
  </w:footnote>
  <w:footnote w:type="continuationSeparator" w:id="0">
    <w:p w14:paraId="7B7FA716" w14:textId="77777777" w:rsidR="00006984" w:rsidRPr="00FC68B7" w:rsidRDefault="00006984" w:rsidP="00FC68B7">
      <w:pPr>
        <w:tabs>
          <w:tab w:val="left" w:pos="2155"/>
        </w:tabs>
        <w:spacing w:after="80"/>
        <w:ind w:left="680"/>
        <w:rPr>
          <w:u w:val="single"/>
        </w:rPr>
      </w:pPr>
      <w:r>
        <w:rPr>
          <w:u w:val="single"/>
        </w:rPr>
        <w:tab/>
      </w:r>
    </w:p>
  </w:footnote>
  <w:footnote w:type="continuationNotice" w:id="1">
    <w:p w14:paraId="28181E92" w14:textId="77777777" w:rsidR="00006984" w:rsidRDefault="00006984"/>
  </w:footnote>
  <w:footnote w:id="2">
    <w:p w14:paraId="6DB3C602" w14:textId="0B130408" w:rsidR="00D64B4B" w:rsidRPr="00D64B4B" w:rsidRDefault="00D64B4B">
      <w:pPr>
        <w:pStyle w:val="FootnoteText"/>
        <w:rPr>
          <w:lang w:val="fr-CH"/>
        </w:rPr>
      </w:pPr>
      <w:r>
        <w:rPr>
          <w:rStyle w:val="FootnoteReference"/>
        </w:rPr>
        <w:tab/>
      </w:r>
      <w:r w:rsidRPr="00D82763">
        <w:rPr>
          <w:rStyle w:val="FootnoteReference"/>
          <w:b/>
        </w:rPr>
        <w:t>*</w:t>
      </w:r>
      <w:r>
        <w:rPr>
          <w:rStyle w:val="FootnoteReference"/>
          <w:sz w:val="20"/>
          <w:vertAlign w:val="baseline"/>
        </w:rPr>
        <w:tab/>
      </w:r>
      <w:r w:rsidR="00185E19">
        <w:rPr>
          <w:sz w:val="20"/>
        </w:rPr>
        <w:t xml:space="preserve"> </w:t>
      </w:r>
      <w:r w:rsidR="0080004A">
        <w:rPr>
          <w:sz w:val="20"/>
        </w:rPr>
        <w:t>A/78/6 (Sect.20), table 20.5.</w:t>
      </w:r>
    </w:p>
  </w:footnote>
  <w:footnote w:id="3">
    <w:p w14:paraId="66AB1492" w14:textId="738E61CC" w:rsidR="00563AA0" w:rsidRPr="00D62D90" w:rsidRDefault="00563AA0" w:rsidP="00563AA0">
      <w:pPr>
        <w:pStyle w:val="FootnoteText"/>
        <w:rPr>
          <w:lang w:val="fr-CH"/>
        </w:rPr>
      </w:pPr>
      <w:r>
        <w:rPr>
          <w:rStyle w:val="FootnoteReference"/>
        </w:rPr>
        <w:tab/>
      </w:r>
      <w:r w:rsidRPr="00D82763">
        <w:rPr>
          <w:rStyle w:val="FootnoteReference"/>
          <w:b/>
        </w:rPr>
        <w:t>**</w:t>
      </w:r>
      <w:r>
        <w:rPr>
          <w:rStyle w:val="FootnoteReference"/>
          <w:sz w:val="20"/>
          <w:vertAlign w:val="baseline"/>
        </w:rPr>
        <w:tab/>
      </w:r>
      <w:r w:rsidR="00185E19">
        <w:rPr>
          <w:sz w:val="20"/>
        </w:rPr>
        <w:t xml:space="preserve"> </w:t>
      </w:r>
      <w:r w:rsidRPr="00F30C99">
        <w:t xml:space="preserve">Circulated by the Intergovernmental Organisation for International Carriage by Rail (OTIF) under the symbol </w:t>
      </w:r>
      <w:r w:rsidRPr="00561474">
        <w:t>OTIF/RID/RC/20</w:t>
      </w:r>
      <w:r>
        <w:t>24</w:t>
      </w:r>
      <w:r w:rsidRPr="00561474">
        <w:t>/</w:t>
      </w:r>
      <w:r w:rsidR="00D82763">
        <w:t>11</w:t>
      </w:r>
      <w:r w:rsidRPr="00561474">
        <w:t>.</w:t>
      </w:r>
    </w:p>
    <w:p w14:paraId="5EDC27DF" w14:textId="4C4107A5" w:rsidR="00563AA0" w:rsidRPr="00563AA0" w:rsidRDefault="00563AA0">
      <w:pPr>
        <w:pStyle w:val="FootnoteText"/>
        <w:rPr>
          <w:lang w:val="fr-CH"/>
        </w:rPr>
      </w:pPr>
    </w:p>
  </w:footnote>
  <w:footnote w:id="4">
    <w:p w14:paraId="667B1D9C" w14:textId="77777777" w:rsidR="0005642B" w:rsidRPr="00C266A1" w:rsidRDefault="0005642B" w:rsidP="0005642B">
      <w:pPr>
        <w:pStyle w:val="FootnoteText"/>
        <w:rPr>
          <w:lang w:val="fr-CH"/>
        </w:rPr>
      </w:pPr>
      <w:r>
        <w:tab/>
      </w:r>
      <w:r>
        <w:rPr>
          <w:rStyle w:val="FootnoteReference"/>
        </w:rPr>
        <w:footnoteRef/>
      </w:r>
      <w:r>
        <w:t xml:space="preserve"> </w:t>
      </w:r>
      <w:r>
        <w:rPr>
          <w:lang w:val="fr-CH"/>
        </w:rPr>
        <w:tab/>
      </w:r>
      <w:hyperlink r:id="rId1" w:history="1">
        <w:r w:rsidRPr="007C7B25">
          <w:rPr>
            <w:rStyle w:val="Hyperlink"/>
            <w:lang w:val="fr-CH"/>
          </w:rPr>
          <w:t>https://unece.org/sites/default/files/2023-11/UN-SCETDG-63-INF18e.pdf</w:t>
        </w:r>
      </w:hyperlink>
    </w:p>
  </w:footnote>
  <w:footnote w:id="5">
    <w:p w14:paraId="487E69D1" w14:textId="77777777" w:rsidR="0005642B" w:rsidRPr="00FB45FE" w:rsidRDefault="0005642B" w:rsidP="0005642B">
      <w:pPr>
        <w:pStyle w:val="FootnoteText"/>
        <w:rPr>
          <w:lang w:val="fr-CH"/>
        </w:rPr>
      </w:pPr>
      <w:r>
        <w:tab/>
      </w:r>
      <w:r>
        <w:rPr>
          <w:rStyle w:val="FootnoteReference"/>
        </w:rPr>
        <w:footnoteRef/>
      </w:r>
      <w:r>
        <w:t xml:space="preserve"> </w:t>
      </w:r>
      <w:r>
        <w:tab/>
      </w:r>
      <w:hyperlink r:id="rId2" w:history="1">
        <w:r w:rsidRPr="007C7B25">
          <w:rPr>
            <w:rStyle w:val="Hyperlink"/>
          </w:rPr>
          <w:t>https://unece.org/sites/default/files/2023-11/UN-SCETDG-63-INF19e.pdf</w:t>
        </w:r>
      </w:hyperlink>
    </w:p>
  </w:footnote>
  <w:footnote w:id="6">
    <w:p w14:paraId="3D84EF04" w14:textId="77777777" w:rsidR="0005642B" w:rsidRPr="00036C74" w:rsidRDefault="0005642B" w:rsidP="0005642B">
      <w:pPr>
        <w:pStyle w:val="FootnoteText"/>
        <w:rPr>
          <w:lang w:val="fr-CH"/>
        </w:rPr>
      </w:pPr>
      <w:r>
        <w:tab/>
      </w:r>
      <w:r>
        <w:rPr>
          <w:rStyle w:val="FootnoteReference"/>
        </w:rPr>
        <w:footnoteRef/>
      </w:r>
      <w:r>
        <w:t xml:space="preserve"> </w:t>
      </w:r>
      <w:r>
        <w:rPr>
          <w:lang w:val="fr-CH"/>
        </w:rPr>
        <w:tab/>
      </w:r>
      <w:hyperlink r:id="rId3" w:history="1">
        <w:r w:rsidRPr="007C7B25">
          <w:rPr>
            <w:rStyle w:val="Hyperlink"/>
            <w:lang w:val="fr-CH"/>
          </w:rPr>
          <w:t>https://unece.org/sites/default/files/2023-11/UN-SCETDG-63-INF35e.pdf</w:t>
        </w:r>
      </w:hyperlink>
    </w:p>
  </w:footnote>
  <w:footnote w:id="7">
    <w:p w14:paraId="119EA14E" w14:textId="5BF60B16" w:rsidR="00E60349" w:rsidRPr="00610078" w:rsidRDefault="00E60349" w:rsidP="00E60349">
      <w:pPr>
        <w:pStyle w:val="FootnoteText"/>
        <w:rPr>
          <w:lang w:val="fr-CH"/>
        </w:rPr>
      </w:pPr>
      <w:r>
        <w:tab/>
      </w:r>
      <w:r w:rsidR="00610078">
        <w:rPr>
          <w:rStyle w:val="FootnoteReference"/>
        </w:rPr>
        <w:footnoteRef/>
      </w:r>
      <w:r w:rsidR="00610078">
        <w:t xml:space="preserve"> </w:t>
      </w:r>
      <w:r>
        <w:rPr>
          <w:lang w:val="fr-CH"/>
        </w:rPr>
        <w:tab/>
      </w:r>
      <w:hyperlink r:id="rId4" w:history="1">
        <w:r w:rsidRPr="007C7B25">
          <w:rPr>
            <w:rStyle w:val="Hyperlink"/>
            <w:lang w:val="fr-CH"/>
          </w:rPr>
          <w:t>https://unece.org/sites/default/files/2023-10/UN-SCETDG-63-INF12e.pdf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8E39" w14:textId="7E87BD73" w:rsidR="000E440A" w:rsidRPr="000E440A" w:rsidRDefault="007B1AD7">
    <w:pPr>
      <w:pStyle w:val="Header"/>
    </w:pPr>
    <w:r>
      <w:fldChar w:fldCharType="begin"/>
    </w:r>
    <w:r>
      <w:instrText xml:space="preserve"> TITLE  \* MERGEFORMAT </w:instrText>
    </w:r>
    <w:r>
      <w:fldChar w:fldCharType="separate"/>
    </w:r>
    <w:r w:rsidR="00DC2034">
      <w:t>ECE/TRANS/WP.15/AC.1/2024/11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C4C" w14:textId="017FC037" w:rsidR="000E440A" w:rsidRPr="000E440A" w:rsidRDefault="007B1AD7" w:rsidP="000E440A">
    <w:pPr>
      <w:pStyle w:val="Header"/>
      <w:jc w:val="right"/>
    </w:pPr>
    <w:r>
      <w:fldChar w:fldCharType="begin"/>
    </w:r>
    <w:r>
      <w:instrText xml:space="preserve"> TITLE  \* MERGEFORMAT </w:instrText>
    </w:r>
    <w:r>
      <w:fldChar w:fldCharType="separate"/>
    </w:r>
    <w:r w:rsidR="00DC2034">
      <w:t>ECE/TRANS/WP.15/AC.1/2024/11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A51876"/>
    <w:multiLevelType w:val="hybridMultilevel"/>
    <w:tmpl w:val="4134CC4E"/>
    <w:lvl w:ilvl="0" w:tplc="CB484360">
      <w:start w:val="1"/>
      <w:numFmt w:val="upperRoman"/>
      <w:lvlText w:val="%1."/>
      <w:lvlJc w:val="left"/>
      <w:pPr>
        <w:ind w:left="1080" w:hanging="720"/>
      </w:pPr>
      <w:rPr>
        <w:rFonts w:hint="default"/>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DA0218"/>
    <w:multiLevelType w:val="hybridMultilevel"/>
    <w:tmpl w:val="E74254A2"/>
    <w:lvl w:ilvl="0" w:tplc="20142058">
      <w:start w:val="11"/>
      <w:numFmt w:val="decimal"/>
      <w:lvlText w:val="%1."/>
      <w:lvlJc w:val="left"/>
      <w:pPr>
        <w:ind w:left="1494" w:hanging="36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3FB46A1"/>
    <w:multiLevelType w:val="hybridMultilevel"/>
    <w:tmpl w:val="37FE9786"/>
    <w:lvl w:ilvl="0" w:tplc="4928D894">
      <w:start w:val="1"/>
      <w:numFmt w:val="upperRoman"/>
      <w:lvlText w:val="%1."/>
      <w:lvlJc w:val="left"/>
      <w:pPr>
        <w:ind w:left="1215" w:hanging="855"/>
      </w:pPr>
      <w:rPr>
        <w:rFonts w:hint="default"/>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853A05"/>
    <w:multiLevelType w:val="hybridMultilevel"/>
    <w:tmpl w:val="D068D1AE"/>
    <w:lvl w:ilvl="0" w:tplc="72D00608">
      <w:start w:val="1"/>
      <w:numFmt w:val="lowerLetter"/>
      <w:lvlText w:val="%1)"/>
      <w:lvlJc w:val="left"/>
      <w:pPr>
        <w:ind w:left="1362" w:hanging="360"/>
      </w:pPr>
      <w:rPr>
        <w:rFonts w:hint="default"/>
      </w:rPr>
    </w:lvl>
    <w:lvl w:ilvl="1" w:tplc="040C0019">
      <w:start w:val="1"/>
      <w:numFmt w:val="lowerLetter"/>
      <w:lvlText w:val="%2."/>
      <w:lvlJc w:val="left"/>
      <w:pPr>
        <w:ind w:left="2082" w:hanging="360"/>
      </w:pPr>
    </w:lvl>
    <w:lvl w:ilvl="2" w:tplc="040C001B" w:tentative="1">
      <w:start w:val="1"/>
      <w:numFmt w:val="lowerRoman"/>
      <w:lvlText w:val="%3."/>
      <w:lvlJc w:val="right"/>
      <w:pPr>
        <w:ind w:left="2802" w:hanging="180"/>
      </w:pPr>
    </w:lvl>
    <w:lvl w:ilvl="3" w:tplc="040C000F" w:tentative="1">
      <w:start w:val="1"/>
      <w:numFmt w:val="decimal"/>
      <w:lvlText w:val="%4."/>
      <w:lvlJc w:val="left"/>
      <w:pPr>
        <w:ind w:left="3522" w:hanging="360"/>
      </w:pPr>
    </w:lvl>
    <w:lvl w:ilvl="4" w:tplc="040C0019" w:tentative="1">
      <w:start w:val="1"/>
      <w:numFmt w:val="lowerLetter"/>
      <w:lvlText w:val="%5."/>
      <w:lvlJc w:val="left"/>
      <w:pPr>
        <w:ind w:left="4242" w:hanging="360"/>
      </w:pPr>
    </w:lvl>
    <w:lvl w:ilvl="5" w:tplc="040C001B" w:tentative="1">
      <w:start w:val="1"/>
      <w:numFmt w:val="lowerRoman"/>
      <w:lvlText w:val="%6."/>
      <w:lvlJc w:val="right"/>
      <w:pPr>
        <w:ind w:left="4962" w:hanging="180"/>
      </w:pPr>
    </w:lvl>
    <w:lvl w:ilvl="6" w:tplc="040C000F" w:tentative="1">
      <w:start w:val="1"/>
      <w:numFmt w:val="decimal"/>
      <w:lvlText w:val="%7."/>
      <w:lvlJc w:val="left"/>
      <w:pPr>
        <w:ind w:left="5682" w:hanging="360"/>
      </w:pPr>
    </w:lvl>
    <w:lvl w:ilvl="7" w:tplc="040C0019" w:tentative="1">
      <w:start w:val="1"/>
      <w:numFmt w:val="lowerLetter"/>
      <w:lvlText w:val="%8."/>
      <w:lvlJc w:val="left"/>
      <w:pPr>
        <w:ind w:left="6402" w:hanging="360"/>
      </w:pPr>
    </w:lvl>
    <w:lvl w:ilvl="8" w:tplc="040C001B" w:tentative="1">
      <w:start w:val="1"/>
      <w:numFmt w:val="lowerRoman"/>
      <w:lvlText w:val="%9."/>
      <w:lvlJc w:val="right"/>
      <w:pPr>
        <w:ind w:left="7122" w:hanging="180"/>
      </w:pPr>
    </w:lvl>
  </w:abstractNum>
  <w:abstractNum w:abstractNumId="22" w15:restartNumberingAfterBreak="0">
    <w:nsid w:val="63AD238D"/>
    <w:multiLevelType w:val="hybridMultilevel"/>
    <w:tmpl w:val="D068D1AE"/>
    <w:lvl w:ilvl="0" w:tplc="FFFFFFFF">
      <w:start w:val="1"/>
      <w:numFmt w:val="lowerLetter"/>
      <w:lvlText w:val="%1)"/>
      <w:lvlJc w:val="left"/>
      <w:pPr>
        <w:ind w:left="1362" w:hanging="360"/>
      </w:pPr>
      <w:rPr>
        <w:rFonts w:hint="default"/>
      </w:rPr>
    </w:lvl>
    <w:lvl w:ilvl="1" w:tplc="FFFFFFFF">
      <w:start w:val="1"/>
      <w:numFmt w:val="lowerLetter"/>
      <w:lvlText w:val="%2."/>
      <w:lvlJc w:val="left"/>
      <w:pPr>
        <w:ind w:left="2082" w:hanging="360"/>
      </w:pPr>
    </w:lvl>
    <w:lvl w:ilvl="2" w:tplc="FFFFFFFF" w:tentative="1">
      <w:start w:val="1"/>
      <w:numFmt w:val="lowerRoman"/>
      <w:lvlText w:val="%3."/>
      <w:lvlJc w:val="right"/>
      <w:pPr>
        <w:ind w:left="2802" w:hanging="180"/>
      </w:pPr>
    </w:lvl>
    <w:lvl w:ilvl="3" w:tplc="FFFFFFFF" w:tentative="1">
      <w:start w:val="1"/>
      <w:numFmt w:val="decimal"/>
      <w:lvlText w:val="%4."/>
      <w:lvlJc w:val="left"/>
      <w:pPr>
        <w:ind w:left="3522" w:hanging="360"/>
      </w:pPr>
    </w:lvl>
    <w:lvl w:ilvl="4" w:tplc="FFFFFFFF" w:tentative="1">
      <w:start w:val="1"/>
      <w:numFmt w:val="lowerLetter"/>
      <w:lvlText w:val="%5."/>
      <w:lvlJc w:val="left"/>
      <w:pPr>
        <w:ind w:left="4242" w:hanging="360"/>
      </w:pPr>
    </w:lvl>
    <w:lvl w:ilvl="5" w:tplc="FFFFFFFF" w:tentative="1">
      <w:start w:val="1"/>
      <w:numFmt w:val="lowerRoman"/>
      <w:lvlText w:val="%6."/>
      <w:lvlJc w:val="right"/>
      <w:pPr>
        <w:ind w:left="4962" w:hanging="180"/>
      </w:pPr>
    </w:lvl>
    <w:lvl w:ilvl="6" w:tplc="FFFFFFFF" w:tentative="1">
      <w:start w:val="1"/>
      <w:numFmt w:val="decimal"/>
      <w:lvlText w:val="%7."/>
      <w:lvlJc w:val="left"/>
      <w:pPr>
        <w:ind w:left="5682" w:hanging="360"/>
      </w:pPr>
    </w:lvl>
    <w:lvl w:ilvl="7" w:tplc="FFFFFFFF" w:tentative="1">
      <w:start w:val="1"/>
      <w:numFmt w:val="lowerLetter"/>
      <w:lvlText w:val="%8."/>
      <w:lvlJc w:val="left"/>
      <w:pPr>
        <w:ind w:left="6402" w:hanging="360"/>
      </w:pPr>
    </w:lvl>
    <w:lvl w:ilvl="8" w:tplc="FFFFFFFF" w:tentative="1">
      <w:start w:val="1"/>
      <w:numFmt w:val="lowerRoman"/>
      <w:lvlText w:val="%9."/>
      <w:lvlJc w:val="right"/>
      <w:pPr>
        <w:ind w:left="7122" w:hanging="180"/>
      </w:pPr>
    </w:lvl>
  </w:abstractNum>
  <w:abstractNum w:abstractNumId="23" w15:restartNumberingAfterBreak="0">
    <w:nsid w:val="63BE393F"/>
    <w:multiLevelType w:val="hybridMultilevel"/>
    <w:tmpl w:val="0EB20B3E"/>
    <w:lvl w:ilvl="0" w:tplc="B3E012F8">
      <w:start w:val="1"/>
      <w:numFmt w:val="upperRoman"/>
      <w:lvlText w:val="%1."/>
      <w:lvlJc w:val="left"/>
      <w:pPr>
        <w:ind w:left="1080" w:hanging="720"/>
      </w:pPr>
      <w:rPr>
        <w:rFonts w:hint="default"/>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E7FFA"/>
    <w:multiLevelType w:val="hybridMultilevel"/>
    <w:tmpl w:val="E1FAF6E4"/>
    <w:lvl w:ilvl="0" w:tplc="573400F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66662411">
    <w:abstractNumId w:val="1"/>
  </w:num>
  <w:num w:numId="2" w16cid:durableId="1138646907">
    <w:abstractNumId w:val="0"/>
  </w:num>
  <w:num w:numId="3" w16cid:durableId="1188837786">
    <w:abstractNumId w:val="2"/>
  </w:num>
  <w:num w:numId="4" w16cid:durableId="1958901333">
    <w:abstractNumId w:val="3"/>
  </w:num>
  <w:num w:numId="5" w16cid:durableId="1121339152">
    <w:abstractNumId w:val="8"/>
  </w:num>
  <w:num w:numId="6" w16cid:durableId="778376416">
    <w:abstractNumId w:val="9"/>
  </w:num>
  <w:num w:numId="7" w16cid:durableId="653292904">
    <w:abstractNumId w:val="7"/>
  </w:num>
  <w:num w:numId="8" w16cid:durableId="25645291">
    <w:abstractNumId w:val="6"/>
  </w:num>
  <w:num w:numId="9" w16cid:durableId="1815948424">
    <w:abstractNumId w:val="5"/>
  </w:num>
  <w:num w:numId="10" w16cid:durableId="1206794366">
    <w:abstractNumId w:val="4"/>
  </w:num>
  <w:num w:numId="11" w16cid:durableId="1565023882">
    <w:abstractNumId w:val="19"/>
  </w:num>
  <w:num w:numId="12" w16cid:durableId="1647390455">
    <w:abstractNumId w:val="18"/>
  </w:num>
  <w:num w:numId="13" w16cid:durableId="683748843">
    <w:abstractNumId w:val="10"/>
  </w:num>
  <w:num w:numId="14" w16cid:durableId="2020498389">
    <w:abstractNumId w:val="16"/>
  </w:num>
  <w:num w:numId="15" w16cid:durableId="708262959">
    <w:abstractNumId w:val="20"/>
  </w:num>
  <w:num w:numId="16" w16cid:durableId="1058043824">
    <w:abstractNumId w:val="17"/>
  </w:num>
  <w:num w:numId="17" w16cid:durableId="428625777">
    <w:abstractNumId w:val="24"/>
  </w:num>
  <w:num w:numId="18" w16cid:durableId="1337003128">
    <w:abstractNumId w:val="26"/>
  </w:num>
  <w:num w:numId="19" w16cid:durableId="218051123">
    <w:abstractNumId w:val="13"/>
  </w:num>
  <w:num w:numId="20" w16cid:durableId="599223618">
    <w:abstractNumId w:val="13"/>
  </w:num>
  <w:num w:numId="21" w16cid:durableId="699550143">
    <w:abstractNumId w:val="21"/>
  </w:num>
  <w:num w:numId="22" w16cid:durableId="2069255773">
    <w:abstractNumId w:val="25"/>
  </w:num>
  <w:num w:numId="23" w16cid:durableId="1690335138">
    <w:abstractNumId w:val="14"/>
  </w:num>
  <w:num w:numId="24" w16cid:durableId="1542477040">
    <w:abstractNumId w:val="22"/>
  </w:num>
  <w:num w:numId="25" w16cid:durableId="908230322">
    <w:abstractNumId w:val="23"/>
  </w:num>
  <w:num w:numId="26" w16cid:durableId="859853508">
    <w:abstractNumId w:val="12"/>
  </w:num>
  <w:num w:numId="27" w16cid:durableId="769282464">
    <w:abstractNumId w:val="15"/>
  </w:num>
  <w:num w:numId="28" w16cid:durableId="3866089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0A"/>
    <w:rsid w:val="00002A7D"/>
    <w:rsid w:val="000038A8"/>
    <w:rsid w:val="00005412"/>
    <w:rsid w:val="00006790"/>
    <w:rsid w:val="00006984"/>
    <w:rsid w:val="00013A62"/>
    <w:rsid w:val="000215D5"/>
    <w:rsid w:val="00027624"/>
    <w:rsid w:val="00036C74"/>
    <w:rsid w:val="00050F6B"/>
    <w:rsid w:val="0005642B"/>
    <w:rsid w:val="000678CD"/>
    <w:rsid w:val="00072C8C"/>
    <w:rsid w:val="00081CE0"/>
    <w:rsid w:val="00084D30"/>
    <w:rsid w:val="00090008"/>
    <w:rsid w:val="00090320"/>
    <w:rsid w:val="000931C0"/>
    <w:rsid w:val="0009732C"/>
    <w:rsid w:val="000A01F9"/>
    <w:rsid w:val="000A2E09"/>
    <w:rsid w:val="000B175B"/>
    <w:rsid w:val="000B3A0F"/>
    <w:rsid w:val="000C48A2"/>
    <w:rsid w:val="000D01E7"/>
    <w:rsid w:val="000E0415"/>
    <w:rsid w:val="000E2651"/>
    <w:rsid w:val="000E440A"/>
    <w:rsid w:val="000F5900"/>
    <w:rsid w:val="000F7715"/>
    <w:rsid w:val="001000B1"/>
    <w:rsid w:val="00120EC1"/>
    <w:rsid w:val="001508B5"/>
    <w:rsid w:val="0015387B"/>
    <w:rsid w:val="00156B99"/>
    <w:rsid w:val="00166124"/>
    <w:rsid w:val="00174E4A"/>
    <w:rsid w:val="00184DDA"/>
    <w:rsid w:val="00185E19"/>
    <w:rsid w:val="00187D36"/>
    <w:rsid w:val="001900CD"/>
    <w:rsid w:val="001A0452"/>
    <w:rsid w:val="001B4B04"/>
    <w:rsid w:val="001B5875"/>
    <w:rsid w:val="001C4B65"/>
    <w:rsid w:val="001C4B9C"/>
    <w:rsid w:val="001C6663"/>
    <w:rsid w:val="001C7895"/>
    <w:rsid w:val="001D0A77"/>
    <w:rsid w:val="001D26DF"/>
    <w:rsid w:val="001E555D"/>
    <w:rsid w:val="001E6DD8"/>
    <w:rsid w:val="001F1599"/>
    <w:rsid w:val="001F19C4"/>
    <w:rsid w:val="002043F0"/>
    <w:rsid w:val="00211E0B"/>
    <w:rsid w:val="00232575"/>
    <w:rsid w:val="00234BEC"/>
    <w:rsid w:val="00240076"/>
    <w:rsid w:val="002417AD"/>
    <w:rsid w:val="00247258"/>
    <w:rsid w:val="0025688E"/>
    <w:rsid w:val="00256C20"/>
    <w:rsid w:val="00257CAC"/>
    <w:rsid w:val="00264441"/>
    <w:rsid w:val="0027237A"/>
    <w:rsid w:val="00272882"/>
    <w:rsid w:val="00275333"/>
    <w:rsid w:val="00277169"/>
    <w:rsid w:val="002814D7"/>
    <w:rsid w:val="00295090"/>
    <w:rsid w:val="002974E9"/>
    <w:rsid w:val="002A22DA"/>
    <w:rsid w:val="002A2F8C"/>
    <w:rsid w:val="002A7F94"/>
    <w:rsid w:val="002B109A"/>
    <w:rsid w:val="002B6A3B"/>
    <w:rsid w:val="002C6D45"/>
    <w:rsid w:val="002D6E53"/>
    <w:rsid w:val="002E74D3"/>
    <w:rsid w:val="002F046D"/>
    <w:rsid w:val="002F3023"/>
    <w:rsid w:val="00301764"/>
    <w:rsid w:val="003117B7"/>
    <w:rsid w:val="0031341C"/>
    <w:rsid w:val="00316C9D"/>
    <w:rsid w:val="00317EF6"/>
    <w:rsid w:val="003229D8"/>
    <w:rsid w:val="00333E6B"/>
    <w:rsid w:val="00336C97"/>
    <w:rsid w:val="00337F88"/>
    <w:rsid w:val="00342432"/>
    <w:rsid w:val="0035223F"/>
    <w:rsid w:val="00352D4B"/>
    <w:rsid w:val="0035638C"/>
    <w:rsid w:val="003625E4"/>
    <w:rsid w:val="0036665A"/>
    <w:rsid w:val="003760A9"/>
    <w:rsid w:val="003A46BB"/>
    <w:rsid w:val="003A4EC7"/>
    <w:rsid w:val="003A7295"/>
    <w:rsid w:val="003B1F60"/>
    <w:rsid w:val="003C2CC4"/>
    <w:rsid w:val="003C74E2"/>
    <w:rsid w:val="003D4B23"/>
    <w:rsid w:val="003D6E82"/>
    <w:rsid w:val="003E278A"/>
    <w:rsid w:val="003F1B49"/>
    <w:rsid w:val="003F2BED"/>
    <w:rsid w:val="00413520"/>
    <w:rsid w:val="00420A16"/>
    <w:rsid w:val="00430D57"/>
    <w:rsid w:val="004325CB"/>
    <w:rsid w:val="00434F8D"/>
    <w:rsid w:val="00440A07"/>
    <w:rsid w:val="004439CC"/>
    <w:rsid w:val="00445DE4"/>
    <w:rsid w:val="00461390"/>
    <w:rsid w:val="00462578"/>
    <w:rsid w:val="00462880"/>
    <w:rsid w:val="00476F24"/>
    <w:rsid w:val="004B5227"/>
    <w:rsid w:val="004B7FA6"/>
    <w:rsid w:val="004C55B0"/>
    <w:rsid w:val="004D3D87"/>
    <w:rsid w:val="004E219D"/>
    <w:rsid w:val="004F3D1F"/>
    <w:rsid w:val="004F6BA0"/>
    <w:rsid w:val="00503BEA"/>
    <w:rsid w:val="00524E1E"/>
    <w:rsid w:val="00527B16"/>
    <w:rsid w:val="00533616"/>
    <w:rsid w:val="00535ABA"/>
    <w:rsid w:val="0053768B"/>
    <w:rsid w:val="005420F2"/>
    <w:rsid w:val="0054285C"/>
    <w:rsid w:val="00550C0E"/>
    <w:rsid w:val="00563AA0"/>
    <w:rsid w:val="00563B5D"/>
    <w:rsid w:val="00584173"/>
    <w:rsid w:val="00591088"/>
    <w:rsid w:val="00595520"/>
    <w:rsid w:val="005A44B9"/>
    <w:rsid w:val="005B1BA0"/>
    <w:rsid w:val="005B3DB3"/>
    <w:rsid w:val="005C220A"/>
    <w:rsid w:val="005C4013"/>
    <w:rsid w:val="005D15CA"/>
    <w:rsid w:val="005D7969"/>
    <w:rsid w:val="005E1F96"/>
    <w:rsid w:val="005F08DF"/>
    <w:rsid w:val="005F3066"/>
    <w:rsid w:val="005F3E61"/>
    <w:rsid w:val="005F4770"/>
    <w:rsid w:val="00604DDD"/>
    <w:rsid w:val="00606492"/>
    <w:rsid w:val="00610078"/>
    <w:rsid w:val="006115CC"/>
    <w:rsid w:val="00611FC4"/>
    <w:rsid w:val="006176FB"/>
    <w:rsid w:val="00630FCB"/>
    <w:rsid w:val="00640B26"/>
    <w:rsid w:val="00646486"/>
    <w:rsid w:val="00656FEF"/>
    <w:rsid w:val="0065766B"/>
    <w:rsid w:val="00670D28"/>
    <w:rsid w:val="006770B2"/>
    <w:rsid w:val="006861D6"/>
    <w:rsid w:val="00686A48"/>
    <w:rsid w:val="0069394B"/>
    <w:rsid w:val="006940E1"/>
    <w:rsid w:val="006A3C72"/>
    <w:rsid w:val="006A7392"/>
    <w:rsid w:val="006B03A1"/>
    <w:rsid w:val="006B1C8B"/>
    <w:rsid w:val="006B1EF2"/>
    <w:rsid w:val="006B294A"/>
    <w:rsid w:val="006B67D9"/>
    <w:rsid w:val="006C5535"/>
    <w:rsid w:val="006C7A9F"/>
    <w:rsid w:val="006D0589"/>
    <w:rsid w:val="006D1953"/>
    <w:rsid w:val="006E0ED6"/>
    <w:rsid w:val="006E2876"/>
    <w:rsid w:val="006E564B"/>
    <w:rsid w:val="006E7154"/>
    <w:rsid w:val="006F20D4"/>
    <w:rsid w:val="007003CD"/>
    <w:rsid w:val="00703536"/>
    <w:rsid w:val="00706D36"/>
    <w:rsid w:val="0070701E"/>
    <w:rsid w:val="007173E0"/>
    <w:rsid w:val="00720DB9"/>
    <w:rsid w:val="0072632A"/>
    <w:rsid w:val="007358E8"/>
    <w:rsid w:val="00736ECE"/>
    <w:rsid w:val="007449E9"/>
    <w:rsid w:val="0074533B"/>
    <w:rsid w:val="00750E3E"/>
    <w:rsid w:val="007635C7"/>
    <w:rsid w:val="007643BC"/>
    <w:rsid w:val="00765F04"/>
    <w:rsid w:val="007801C5"/>
    <w:rsid w:val="00780C68"/>
    <w:rsid w:val="00781F89"/>
    <w:rsid w:val="007959FE"/>
    <w:rsid w:val="007A0CF1"/>
    <w:rsid w:val="007A478E"/>
    <w:rsid w:val="007B1AD7"/>
    <w:rsid w:val="007B48A9"/>
    <w:rsid w:val="007B6BA5"/>
    <w:rsid w:val="007C3390"/>
    <w:rsid w:val="007C42D8"/>
    <w:rsid w:val="007C4F4B"/>
    <w:rsid w:val="007D7362"/>
    <w:rsid w:val="007E0832"/>
    <w:rsid w:val="007F0888"/>
    <w:rsid w:val="007F5CE2"/>
    <w:rsid w:val="007F6611"/>
    <w:rsid w:val="007F69A8"/>
    <w:rsid w:val="0080004A"/>
    <w:rsid w:val="00800522"/>
    <w:rsid w:val="00810BAC"/>
    <w:rsid w:val="008175E9"/>
    <w:rsid w:val="00821F29"/>
    <w:rsid w:val="008242D7"/>
    <w:rsid w:val="0082577B"/>
    <w:rsid w:val="008272DD"/>
    <w:rsid w:val="0083667A"/>
    <w:rsid w:val="0085163B"/>
    <w:rsid w:val="00864EC4"/>
    <w:rsid w:val="00866893"/>
    <w:rsid w:val="00866F02"/>
    <w:rsid w:val="00867D18"/>
    <w:rsid w:val="00871F9A"/>
    <w:rsid w:val="00871FD5"/>
    <w:rsid w:val="00874A2F"/>
    <w:rsid w:val="00874C7E"/>
    <w:rsid w:val="008755E8"/>
    <w:rsid w:val="0088172E"/>
    <w:rsid w:val="00881EF3"/>
    <w:rsid w:val="00881EFA"/>
    <w:rsid w:val="008879CB"/>
    <w:rsid w:val="00892936"/>
    <w:rsid w:val="008979B1"/>
    <w:rsid w:val="008A6B25"/>
    <w:rsid w:val="008A6C4F"/>
    <w:rsid w:val="008A77AE"/>
    <w:rsid w:val="008B389E"/>
    <w:rsid w:val="008C4433"/>
    <w:rsid w:val="008D045E"/>
    <w:rsid w:val="008D3F25"/>
    <w:rsid w:val="008D4D82"/>
    <w:rsid w:val="008E0E46"/>
    <w:rsid w:val="008E7116"/>
    <w:rsid w:val="008F143B"/>
    <w:rsid w:val="008F3882"/>
    <w:rsid w:val="008F4B7C"/>
    <w:rsid w:val="0090743E"/>
    <w:rsid w:val="00920242"/>
    <w:rsid w:val="00926E47"/>
    <w:rsid w:val="00936CD3"/>
    <w:rsid w:val="00942A76"/>
    <w:rsid w:val="00946616"/>
    <w:rsid w:val="00947162"/>
    <w:rsid w:val="0095484A"/>
    <w:rsid w:val="009610D0"/>
    <w:rsid w:val="0096375C"/>
    <w:rsid w:val="009662E6"/>
    <w:rsid w:val="0097095E"/>
    <w:rsid w:val="00975919"/>
    <w:rsid w:val="00983984"/>
    <w:rsid w:val="0098592B"/>
    <w:rsid w:val="00985FC4"/>
    <w:rsid w:val="00990766"/>
    <w:rsid w:val="00991261"/>
    <w:rsid w:val="009921E5"/>
    <w:rsid w:val="009964C4"/>
    <w:rsid w:val="00996949"/>
    <w:rsid w:val="009A24BD"/>
    <w:rsid w:val="009A7B81"/>
    <w:rsid w:val="009A7CA7"/>
    <w:rsid w:val="009D01C0"/>
    <w:rsid w:val="009D6A08"/>
    <w:rsid w:val="009E0A16"/>
    <w:rsid w:val="009E6CB7"/>
    <w:rsid w:val="009E7970"/>
    <w:rsid w:val="009F2EAC"/>
    <w:rsid w:val="009F57E3"/>
    <w:rsid w:val="00A10F4F"/>
    <w:rsid w:val="00A11067"/>
    <w:rsid w:val="00A128D7"/>
    <w:rsid w:val="00A1704A"/>
    <w:rsid w:val="00A17A04"/>
    <w:rsid w:val="00A20373"/>
    <w:rsid w:val="00A24464"/>
    <w:rsid w:val="00A31E6A"/>
    <w:rsid w:val="00A425EB"/>
    <w:rsid w:val="00A47310"/>
    <w:rsid w:val="00A55DBE"/>
    <w:rsid w:val="00A72F22"/>
    <w:rsid w:val="00A733BC"/>
    <w:rsid w:val="00A748A6"/>
    <w:rsid w:val="00A76A69"/>
    <w:rsid w:val="00A76DDD"/>
    <w:rsid w:val="00A879A4"/>
    <w:rsid w:val="00AA0FF8"/>
    <w:rsid w:val="00AA3DA4"/>
    <w:rsid w:val="00AC0F2C"/>
    <w:rsid w:val="00AC1009"/>
    <w:rsid w:val="00AC502A"/>
    <w:rsid w:val="00AE4A76"/>
    <w:rsid w:val="00AF4EFE"/>
    <w:rsid w:val="00AF58C1"/>
    <w:rsid w:val="00B04A3F"/>
    <w:rsid w:val="00B04AC8"/>
    <w:rsid w:val="00B06643"/>
    <w:rsid w:val="00B15055"/>
    <w:rsid w:val="00B16EEC"/>
    <w:rsid w:val="00B20551"/>
    <w:rsid w:val="00B23D55"/>
    <w:rsid w:val="00B30179"/>
    <w:rsid w:val="00B33FC7"/>
    <w:rsid w:val="00B37B15"/>
    <w:rsid w:val="00B45C02"/>
    <w:rsid w:val="00B70B63"/>
    <w:rsid w:val="00B72A1E"/>
    <w:rsid w:val="00B80CEE"/>
    <w:rsid w:val="00B81998"/>
    <w:rsid w:val="00B81E12"/>
    <w:rsid w:val="00BA339B"/>
    <w:rsid w:val="00BB23CC"/>
    <w:rsid w:val="00BB7ED9"/>
    <w:rsid w:val="00BC1E7E"/>
    <w:rsid w:val="00BC5E1E"/>
    <w:rsid w:val="00BC74E9"/>
    <w:rsid w:val="00BE300E"/>
    <w:rsid w:val="00BE36A9"/>
    <w:rsid w:val="00BE618E"/>
    <w:rsid w:val="00BE7BEC"/>
    <w:rsid w:val="00BF0A5A"/>
    <w:rsid w:val="00BF0E63"/>
    <w:rsid w:val="00BF12A3"/>
    <w:rsid w:val="00BF154F"/>
    <w:rsid w:val="00BF16D7"/>
    <w:rsid w:val="00BF2373"/>
    <w:rsid w:val="00BF471B"/>
    <w:rsid w:val="00C00BB5"/>
    <w:rsid w:val="00C0294F"/>
    <w:rsid w:val="00C044E2"/>
    <w:rsid w:val="00C048CB"/>
    <w:rsid w:val="00C066F3"/>
    <w:rsid w:val="00C266A1"/>
    <w:rsid w:val="00C33ADE"/>
    <w:rsid w:val="00C408B7"/>
    <w:rsid w:val="00C411EB"/>
    <w:rsid w:val="00C463DD"/>
    <w:rsid w:val="00C5280E"/>
    <w:rsid w:val="00C557CB"/>
    <w:rsid w:val="00C62CAC"/>
    <w:rsid w:val="00C674F0"/>
    <w:rsid w:val="00C745C3"/>
    <w:rsid w:val="00C7472B"/>
    <w:rsid w:val="00C8123A"/>
    <w:rsid w:val="00C96C34"/>
    <w:rsid w:val="00C97341"/>
    <w:rsid w:val="00C978F5"/>
    <w:rsid w:val="00C97CF2"/>
    <w:rsid w:val="00CA24A4"/>
    <w:rsid w:val="00CB348D"/>
    <w:rsid w:val="00CD38CB"/>
    <w:rsid w:val="00CD46F5"/>
    <w:rsid w:val="00CE4A8F"/>
    <w:rsid w:val="00CE75B8"/>
    <w:rsid w:val="00CE78F6"/>
    <w:rsid w:val="00CF071D"/>
    <w:rsid w:val="00CF72CE"/>
    <w:rsid w:val="00D0123D"/>
    <w:rsid w:val="00D05AA4"/>
    <w:rsid w:val="00D114C7"/>
    <w:rsid w:val="00D15B04"/>
    <w:rsid w:val="00D2031B"/>
    <w:rsid w:val="00D25FE2"/>
    <w:rsid w:val="00D300A7"/>
    <w:rsid w:val="00D34AE0"/>
    <w:rsid w:val="00D368BE"/>
    <w:rsid w:val="00D37DA9"/>
    <w:rsid w:val="00D406A7"/>
    <w:rsid w:val="00D40765"/>
    <w:rsid w:val="00D43252"/>
    <w:rsid w:val="00D44390"/>
    <w:rsid w:val="00D44D86"/>
    <w:rsid w:val="00D50B7D"/>
    <w:rsid w:val="00D52012"/>
    <w:rsid w:val="00D64276"/>
    <w:rsid w:val="00D64B4B"/>
    <w:rsid w:val="00D704E5"/>
    <w:rsid w:val="00D72727"/>
    <w:rsid w:val="00D8050C"/>
    <w:rsid w:val="00D818A4"/>
    <w:rsid w:val="00D82763"/>
    <w:rsid w:val="00D92C9D"/>
    <w:rsid w:val="00D978C6"/>
    <w:rsid w:val="00DA0956"/>
    <w:rsid w:val="00DA357F"/>
    <w:rsid w:val="00DA3E12"/>
    <w:rsid w:val="00DA58FD"/>
    <w:rsid w:val="00DB6908"/>
    <w:rsid w:val="00DC18AD"/>
    <w:rsid w:val="00DC2034"/>
    <w:rsid w:val="00DC3376"/>
    <w:rsid w:val="00DC69F7"/>
    <w:rsid w:val="00DE2613"/>
    <w:rsid w:val="00DE2CA7"/>
    <w:rsid w:val="00DF3375"/>
    <w:rsid w:val="00DF558D"/>
    <w:rsid w:val="00DF7CAE"/>
    <w:rsid w:val="00E16FC8"/>
    <w:rsid w:val="00E35B25"/>
    <w:rsid w:val="00E35D63"/>
    <w:rsid w:val="00E423C0"/>
    <w:rsid w:val="00E60349"/>
    <w:rsid w:val="00E6414C"/>
    <w:rsid w:val="00E653BC"/>
    <w:rsid w:val="00E7260F"/>
    <w:rsid w:val="00E84674"/>
    <w:rsid w:val="00E8702D"/>
    <w:rsid w:val="00E905F4"/>
    <w:rsid w:val="00E916A9"/>
    <w:rsid w:val="00E916DE"/>
    <w:rsid w:val="00E925AD"/>
    <w:rsid w:val="00E96630"/>
    <w:rsid w:val="00EA1FC5"/>
    <w:rsid w:val="00EB6046"/>
    <w:rsid w:val="00EC376F"/>
    <w:rsid w:val="00ED18DC"/>
    <w:rsid w:val="00ED2F39"/>
    <w:rsid w:val="00ED6201"/>
    <w:rsid w:val="00ED7A2A"/>
    <w:rsid w:val="00EE2924"/>
    <w:rsid w:val="00EF1D7F"/>
    <w:rsid w:val="00EF405E"/>
    <w:rsid w:val="00F0137E"/>
    <w:rsid w:val="00F0647C"/>
    <w:rsid w:val="00F07D74"/>
    <w:rsid w:val="00F21786"/>
    <w:rsid w:val="00F3742B"/>
    <w:rsid w:val="00F40427"/>
    <w:rsid w:val="00F40D56"/>
    <w:rsid w:val="00F41FDB"/>
    <w:rsid w:val="00F50596"/>
    <w:rsid w:val="00F517B3"/>
    <w:rsid w:val="00F5294E"/>
    <w:rsid w:val="00F56D63"/>
    <w:rsid w:val="00F609A9"/>
    <w:rsid w:val="00F6220F"/>
    <w:rsid w:val="00F80C99"/>
    <w:rsid w:val="00F83D8D"/>
    <w:rsid w:val="00F8426A"/>
    <w:rsid w:val="00F867EC"/>
    <w:rsid w:val="00F91B2B"/>
    <w:rsid w:val="00F929A0"/>
    <w:rsid w:val="00FA245D"/>
    <w:rsid w:val="00FB45FE"/>
    <w:rsid w:val="00FC03CD"/>
    <w:rsid w:val="00FC0646"/>
    <w:rsid w:val="00FC62A4"/>
    <w:rsid w:val="00FC68B7"/>
    <w:rsid w:val="00FE2A5E"/>
    <w:rsid w:val="00FE6985"/>
    <w:rsid w:val="00FF1B5F"/>
    <w:rsid w:val="00FF60E6"/>
    <w:rsid w:val="00FF7A0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E3FA5"/>
  <w15:docId w15:val="{2BFBD1CB-8AA9-471B-B98C-DB30728E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7B3"/>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qFormat/>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563AA0"/>
    <w:rPr>
      <w:sz w:val="18"/>
      <w:lang w:val="en-GB"/>
    </w:rPr>
  </w:style>
  <w:style w:type="paragraph" w:styleId="ListParagraph">
    <w:name w:val="List Paragraph"/>
    <w:basedOn w:val="Normal"/>
    <w:uiPriority w:val="34"/>
    <w:qFormat/>
    <w:rsid w:val="00E35B25"/>
    <w:pPr>
      <w:tabs>
        <w:tab w:val="left" w:pos="74"/>
        <w:tab w:val="left" w:pos="1366"/>
        <w:tab w:val="left" w:pos="2665"/>
        <w:tab w:val="left" w:pos="3963"/>
        <w:tab w:val="left" w:pos="5256"/>
        <w:tab w:val="left" w:pos="6555"/>
        <w:tab w:val="left" w:pos="7847"/>
        <w:tab w:val="left" w:pos="9146"/>
      </w:tabs>
      <w:spacing w:line="240" w:lineRule="auto"/>
      <w:ind w:left="720"/>
    </w:pPr>
    <w:rPr>
      <w:sz w:val="22"/>
      <w:szCs w:val="22"/>
      <w:lang w:val="nb-NO" w:eastAsia="nb-NO"/>
    </w:rPr>
  </w:style>
  <w:style w:type="paragraph" w:customStyle="1" w:styleId="GHS1stline">
    <w:name w:val="GHS_1st line"/>
    <w:basedOn w:val="Normal"/>
    <w:qFormat/>
    <w:rsid w:val="00E35B25"/>
    <w:pPr>
      <w:tabs>
        <w:tab w:val="left" w:pos="1418"/>
        <w:tab w:val="left" w:pos="1985"/>
        <w:tab w:val="left" w:pos="2552"/>
        <w:tab w:val="left" w:pos="3119"/>
        <w:tab w:val="left" w:pos="3686"/>
      </w:tabs>
      <w:autoSpaceDE w:val="0"/>
      <w:autoSpaceDN w:val="0"/>
      <w:adjustRightInd w:val="0"/>
      <w:spacing w:after="240" w:line="240" w:lineRule="auto"/>
      <w:ind w:firstLine="1418"/>
      <w:jc w:val="both"/>
    </w:pPr>
    <w:rPr>
      <w:lang w:eastAsia="en-US"/>
    </w:rPr>
  </w:style>
  <w:style w:type="character" w:customStyle="1" w:styleId="HChGChar">
    <w:name w:val="_ H _Ch_G Char"/>
    <w:link w:val="HChG"/>
    <w:qFormat/>
    <w:rsid w:val="006861D6"/>
    <w:rPr>
      <w:b/>
      <w:sz w:val="28"/>
      <w:lang w:val="en-GB"/>
    </w:rPr>
  </w:style>
  <w:style w:type="paragraph" w:customStyle="1" w:styleId="Default">
    <w:name w:val="Default"/>
    <w:rsid w:val="006861D6"/>
    <w:pPr>
      <w:autoSpaceDE w:val="0"/>
      <w:autoSpaceDN w:val="0"/>
      <w:adjustRightInd w:val="0"/>
      <w:spacing w:line="240" w:lineRule="auto"/>
    </w:pPr>
    <w:rPr>
      <w:color w:val="000000"/>
      <w:sz w:val="24"/>
      <w:szCs w:val="24"/>
      <w:lang w:val="en-GB" w:eastAsia="zh-CN"/>
    </w:rPr>
  </w:style>
  <w:style w:type="character" w:customStyle="1" w:styleId="H1GChar">
    <w:name w:val="_ H_1_G Char"/>
    <w:link w:val="H1G"/>
    <w:qFormat/>
    <w:locked/>
    <w:rsid w:val="006861D6"/>
    <w:rPr>
      <w:b/>
      <w:sz w:val="24"/>
      <w:lang w:val="en-GB"/>
    </w:rPr>
  </w:style>
  <w:style w:type="paragraph" w:styleId="Revision">
    <w:name w:val="Revision"/>
    <w:hidden/>
    <w:uiPriority w:val="99"/>
    <w:semiHidden/>
    <w:rsid w:val="00A31E6A"/>
    <w:pPr>
      <w:spacing w:line="240" w:lineRule="auto"/>
    </w:pPr>
    <w:rPr>
      <w:lang w:val="en-GB"/>
    </w:rPr>
  </w:style>
  <w:style w:type="character" w:styleId="CommentReference">
    <w:name w:val="annotation reference"/>
    <w:basedOn w:val="DefaultParagraphFont"/>
    <w:semiHidden/>
    <w:unhideWhenUsed/>
    <w:rsid w:val="00A31E6A"/>
    <w:rPr>
      <w:sz w:val="16"/>
      <w:szCs w:val="16"/>
    </w:rPr>
  </w:style>
  <w:style w:type="paragraph" w:styleId="CommentText">
    <w:name w:val="annotation text"/>
    <w:basedOn w:val="Normal"/>
    <w:link w:val="CommentTextChar"/>
    <w:unhideWhenUsed/>
    <w:rsid w:val="00A31E6A"/>
    <w:pPr>
      <w:spacing w:line="240" w:lineRule="auto"/>
    </w:pPr>
  </w:style>
  <w:style w:type="character" w:customStyle="1" w:styleId="CommentTextChar">
    <w:name w:val="Comment Text Char"/>
    <w:basedOn w:val="DefaultParagraphFont"/>
    <w:link w:val="CommentText"/>
    <w:rsid w:val="00A31E6A"/>
    <w:rPr>
      <w:lang w:val="en-GB"/>
    </w:rPr>
  </w:style>
  <w:style w:type="paragraph" w:styleId="CommentSubject">
    <w:name w:val="annotation subject"/>
    <w:basedOn w:val="CommentText"/>
    <w:next w:val="CommentText"/>
    <w:link w:val="CommentSubjectChar"/>
    <w:semiHidden/>
    <w:unhideWhenUsed/>
    <w:rsid w:val="00A31E6A"/>
    <w:rPr>
      <w:b/>
      <w:bCs/>
    </w:rPr>
  </w:style>
  <w:style w:type="character" w:customStyle="1" w:styleId="CommentSubjectChar">
    <w:name w:val="Comment Subject Char"/>
    <w:basedOn w:val="CommentTextChar"/>
    <w:link w:val="CommentSubject"/>
    <w:semiHidden/>
    <w:rsid w:val="00A31E6A"/>
    <w:rPr>
      <w:b/>
      <w:bCs/>
      <w:lang w:val="en-GB"/>
    </w:rPr>
  </w:style>
  <w:style w:type="character" w:styleId="UnresolvedMention">
    <w:name w:val="Unresolved Mention"/>
    <w:basedOn w:val="DefaultParagraphFont"/>
    <w:uiPriority w:val="99"/>
    <w:semiHidden/>
    <w:unhideWhenUsed/>
    <w:rsid w:val="0052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3-11/UN-SCETDG-63-INF35e.pdf" TargetMode="External"/><Relationship Id="rId2" Type="http://schemas.openxmlformats.org/officeDocument/2006/relationships/hyperlink" Target="https://unece.org/sites/default/files/2023-11/UN-SCETDG-63-INF19e.pdf" TargetMode="External"/><Relationship Id="rId1" Type="http://schemas.openxmlformats.org/officeDocument/2006/relationships/hyperlink" Target="https://unece.org/sites/default/files/2023-11/UN-SCETDG-63-INF18e.pdf" TargetMode="External"/><Relationship Id="rId4" Type="http://schemas.openxmlformats.org/officeDocument/2006/relationships/hyperlink" Target="https://unece.org/sites/default/files/2023-10/UN-SCETDG-63-INF1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02C6EFAE-6DB8-4412-8EB8-5EB619B7B1FD}"/>
</file>

<file path=docProps/app.xml><?xml version="1.0" encoding="utf-8"?>
<Properties xmlns="http://schemas.openxmlformats.org/officeDocument/2006/extended-properties" xmlns:vt="http://schemas.openxmlformats.org/officeDocument/2006/docPropsVTypes">
  <Template>TRANS_WP1_24_E.dotm</Template>
  <TotalTime>0</TotalTime>
  <Pages>4</Pages>
  <Words>1695</Words>
  <Characters>9059</Characters>
  <Application>Microsoft Office Word</Application>
  <DocSecurity>0</DocSecurity>
  <Lines>194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ECE/TRANS/WP.15/AC.1/2024/11</vt:lpstr>
      <vt:lpstr/>
    </vt:vector>
  </TitlesOfParts>
  <Company>CSD</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ECE/TRANS/WP.15/AC.1/2024/11</dc:title>
  <dc:subject>2325716</dc:subject>
  <dc:creator>Alicia DORCA-GARCIA</dc:creator>
  <cp:keywords/>
  <dc:description/>
  <cp:lastModifiedBy>Pauline Anne Escalante</cp:lastModifiedBy>
  <cp:revision>2</cp:revision>
  <cp:lastPrinted>2009-02-18T09:36:00Z</cp:lastPrinted>
  <dcterms:created xsi:type="dcterms:W3CDTF">2023-12-21T08:58:00Z</dcterms:created>
  <dcterms:modified xsi:type="dcterms:W3CDTF">2023-12-21T08:58:00Z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