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1C0C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A8B528" w14:textId="77777777" w:rsidR="002D5AAC" w:rsidRDefault="002D5AAC" w:rsidP="007D66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3A84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ED27C8" w14:textId="05005BA4" w:rsidR="002D5AAC" w:rsidRDefault="007D663E" w:rsidP="007D663E">
            <w:pPr>
              <w:jc w:val="right"/>
            </w:pPr>
            <w:r w:rsidRPr="007D663E">
              <w:rPr>
                <w:sz w:val="40"/>
              </w:rPr>
              <w:t>ECE</w:t>
            </w:r>
            <w:r>
              <w:t>/TRANS/WP.15/AC.1/2024/2</w:t>
            </w:r>
          </w:p>
        </w:tc>
      </w:tr>
      <w:tr w:rsidR="002D5AAC" w14:paraId="22DA30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4C9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8BD86D" wp14:editId="06FABB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72A8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CE21BA" w14:textId="77777777" w:rsidR="002D5AAC" w:rsidRDefault="007D66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148487" w14:textId="77777777" w:rsidR="007D663E" w:rsidRDefault="007D663E" w:rsidP="007D6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2023</w:t>
            </w:r>
          </w:p>
          <w:p w14:paraId="239FB61E" w14:textId="77777777" w:rsidR="007D663E" w:rsidRDefault="007D663E" w:rsidP="007D6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C69F4E" w14:textId="2D221B2A" w:rsidR="007D663E" w:rsidRPr="008D53B6" w:rsidRDefault="007D663E" w:rsidP="007D6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8B3A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CBD9B33" w14:textId="77777777" w:rsidR="007D663E" w:rsidRPr="007D663E" w:rsidRDefault="007D663E" w:rsidP="007D663E">
      <w:pPr>
        <w:spacing w:before="120"/>
        <w:rPr>
          <w:sz w:val="28"/>
          <w:szCs w:val="28"/>
        </w:rPr>
      </w:pPr>
      <w:r w:rsidRPr="007D663E">
        <w:rPr>
          <w:sz w:val="28"/>
          <w:szCs w:val="28"/>
        </w:rPr>
        <w:t>Комитет по внутреннему транспорту</w:t>
      </w:r>
    </w:p>
    <w:p w14:paraId="40F7DB01" w14:textId="77777777" w:rsidR="007D663E" w:rsidRPr="007D663E" w:rsidRDefault="007D663E" w:rsidP="007D663E">
      <w:pPr>
        <w:spacing w:before="120"/>
        <w:rPr>
          <w:b/>
          <w:bCs/>
          <w:sz w:val="24"/>
          <w:szCs w:val="24"/>
        </w:rPr>
      </w:pPr>
      <w:r w:rsidRPr="007D663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F99895B" w14:textId="1C8D8289" w:rsidR="007D663E" w:rsidRPr="006D0CA6" w:rsidRDefault="007D663E" w:rsidP="007D663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03759A6" w14:textId="47BD7B06" w:rsidR="007D663E" w:rsidRPr="006D0CA6" w:rsidRDefault="007D663E" w:rsidP="007D663E">
      <w:r>
        <w:t>Берн, 25</w:t>
      </w:r>
      <w:r>
        <w:rPr>
          <w:lang w:val="en-US"/>
        </w:rPr>
        <w:t>–</w:t>
      </w:r>
      <w:r>
        <w:t>28 марта 2024 года</w:t>
      </w:r>
    </w:p>
    <w:p w14:paraId="26771D3B" w14:textId="77777777" w:rsidR="007D663E" w:rsidRPr="006D0CA6" w:rsidRDefault="007D663E" w:rsidP="007D663E">
      <w:r>
        <w:t>Пункт 5 b) предварительной повестки дня</w:t>
      </w:r>
    </w:p>
    <w:p w14:paraId="42A937CD" w14:textId="4B256B1F" w:rsidR="007D663E" w:rsidRPr="006D0CA6" w:rsidRDefault="007D663E" w:rsidP="007D663E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МПОГ/ДОПОГ/ВОПОГ:</w:t>
      </w:r>
    </w:p>
    <w:p w14:paraId="70CE855E" w14:textId="77777777" w:rsidR="007D663E" w:rsidRPr="006D0CA6" w:rsidRDefault="007D663E" w:rsidP="007D663E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3DDF5571" w14:textId="77777777" w:rsidR="007D663E" w:rsidRPr="006D0CA6" w:rsidRDefault="007D663E" w:rsidP="007D663E">
      <w:pPr>
        <w:pStyle w:val="HChG"/>
      </w:pPr>
      <w:r>
        <w:tab/>
      </w:r>
      <w:r>
        <w:tab/>
      </w:r>
      <w:r>
        <w:rPr>
          <w:bCs/>
        </w:rPr>
        <w:t>Наполнение многоэлементных газовых контейнеров</w:t>
      </w:r>
    </w:p>
    <w:p w14:paraId="3BDDB847" w14:textId="009CE67D" w:rsidR="007D663E" w:rsidRPr="007D663E" w:rsidRDefault="007D663E" w:rsidP="007D663E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Испании</w:t>
      </w:r>
      <w:r w:rsidRPr="007D663E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>
        <w:rPr>
          <w:b w:val="0"/>
          <w:bCs/>
          <w:sz w:val="20"/>
          <w:szCs w:val="22"/>
          <w:lang w:val="en-US"/>
        </w:rPr>
        <w:t xml:space="preserve"> </w:t>
      </w:r>
      <w:r w:rsidRPr="007D663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7D663E">
        <w:rPr>
          <w:b w:val="0"/>
          <w:bCs/>
        </w:rPr>
        <w:t xml:space="preserve"> </w:t>
      </w:r>
    </w:p>
    <w:p w14:paraId="43F348AB" w14:textId="77777777" w:rsidR="007D663E" w:rsidRPr="006D0CA6" w:rsidRDefault="007D663E" w:rsidP="007D663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737AFE5" w14:textId="77777777" w:rsidR="007D663E" w:rsidRPr="006D0CA6" w:rsidRDefault="007D663E" w:rsidP="007D663E">
      <w:pPr>
        <w:pStyle w:val="SingleTxtG"/>
      </w:pPr>
      <w:r>
        <w:t>1.</w:t>
      </w:r>
      <w:r>
        <w:tab/>
        <w:t>В главе 4.2 МПОГ/ДОПОГ требования к наполнению многоэлементных газовых контейнеров (МЭГК) непосредственно указаны в следующих пунктах:</w:t>
      </w:r>
    </w:p>
    <w:p w14:paraId="5E63D3FC" w14:textId="09C70B2E" w:rsidR="007D663E" w:rsidRPr="006D0CA6" w:rsidRDefault="007D663E" w:rsidP="007D663E">
      <w:pPr>
        <w:pStyle w:val="SingleTxtG"/>
        <w:rPr>
          <w:b/>
          <w:bCs/>
        </w:rPr>
      </w:pPr>
      <w:r w:rsidRPr="007D663E">
        <w:t>«</w:t>
      </w:r>
      <w:r w:rsidRPr="00CB2479">
        <w:rPr>
          <w:b/>
          <w:bCs/>
        </w:rPr>
        <w:t>4.2.4.5</w:t>
      </w:r>
      <w:r>
        <w:tab/>
      </w:r>
      <w:r>
        <w:rPr>
          <w:b/>
          <w:bCs/>
        </w:rPr>
        <w:t>Наполнение</w:t>
      </w:r>
    </w:p>
    <w:p w14:paraId="36C844B0" w14:textId="77777777" w:rsidR="007D663E" w:rsidRPr="006D0CA6" w:rsidRDefault="007D663E" w:rsidP="007D663E">
      <w:pPr>
        <w:pStyle w:val="SingleTxtG"/>
        <w:ind w:left="2268" w:hanging="1134"/>
      </w:pPr>
      <w:r>
        <w:t>4.2.4.5.1</w:t>
      </w:r>
      <w:r>
        <w:tab/>
        <w:t>До наполнения МЭГК должен пройти проверку, с тем чтобы убедиться в том, что он допущен к перевозке данного газа и удовлетворяет требованиям применимых положений МПОГ/ДОПОГ.</w:t>
      </w:r>
    </w:p>
    <w:p w14:paraId="3BFFDB1F" w14:textId="6E51D52D" w:rsidR="007D663E" w:rsidRPr="006D0CA6" w:rsidRDefault="007D663E" w:rsidP="007D663E">
      <w:pPr>
        <w:pStyle w:val="SingleTxtG"/>
        <w:ind w:left="2268" w:hanging="1134"/>
      </w:pPr>
      <w:r>
        <w:t>4.2.4.5.2</w:t>
      </w:r>
      <w:r>
        <w:tab/>
        <w:t>Элементы МЭГК должны наполняться в соответствии со значениями рабочего давления и коэффициента наполнения, а также положениями, касающимися наполнения, приведенными в инструкции по упаковке</w:t>
      </w:r>
      <w:r w:rsidR="00D222D9">
        <w:t> </w:t>
      </w:r>
      <w:r>
        <w:t xml:space="preserve">Р200 в подразделе 4.1.4.1 для конкретного газа, загружаемого в каждый элемент. Ни при каких обстоятельствах МЭГК или группа элементов не должны наполняться в качестве единого целого с превышением </w:t>
      </w:r>
      <w:r w:rsidRPr="002735EF">
        <w:t>наименьшего значения рабочего давления любого данного элемента</w:t>
      </w:r>
      <w:r>
        <w:t>.</w:t>
      </w:r>
    </w:p>
    <w:p w14:paraId="6185FD2A" w14:textId="770D6A7F" w:rsidR="007D663E" w:rsidRPr="006D0CA6" w:rsidRDefault="007D663E" w:rsidP="00D222D9">
      <w:pPr>
        <w:pStyle w:val="SingleTxtG"/>
        <w:ind w:left="2268" w:hanging="1134"/>
      </w:pPr>
      <w:r>
        <w:t>4.2.4.5.3</w:t>
      </w:r>
      <w:r>
        <w:tab/>
        <w:t>МЭГК не должны наполняться с превышением их максимально допустимой массы брутто</w:t>
      </w:r>
      <w:r w:rsidR="00D222D9">
        <w:t>»</w:t>
      </w:r>
      <w:r>
        <w:t>.</w:t>
      </w:r>
    </w:p>
    <w:p w14:paraId="6C4E2A58" w14:textId="77777777" w:rsidR="007D663E" w:rsidRDefault="007D663E" w:rsidP="00D222D9">
      <w:pPr>
        <w:pStyle w:val="SingleTxtG"/>
        <w:pageBreakBefore/>
      </w:pPr>
      <w:r>
        <w:lastRenderedPageBreak/>
        <w:t>2.</w:t>
      </w:r>
      <w:r>
        <w:tab/>
        <w:t>Когда в главе 4.2 упоминаются многоэлементные газовые контейнеры, речь идет о МЭГК «UN». Вместе с тем общие требования главы 4.1 и специальные требования к МЭГК, отличным от МЭГК «UN», не содержат столь подробных предписаний по наполнению МЭГК.</w:t>
      </w:r>
    </w:p>
    <w:p w14:paraId="0DBB5600" w14:textId="77777777" w:rsidR="007D663E" w:rsidRPr="006D0CA6" w:rsidRDefault="007D663E" w:rsidP="007D663E">
      <w:pPr>
        <w:pStyle w:val="SingleTxtG"/>
      </w:pPr>
      <w:r>
        <w:t>3.</w:t>
      </w:r>
      <w:r>
        <w:tab/>
        <w:t>Требования пункта 4.2.4.5 должны применяться не только для наполнения МЭГК «UN», но и для других МЭГК. Это общие указания по безопасности, которые должны распространяться на все виды МЭГК. По этой причине Испания считает необходимым включить в главу 4.3 требования, содержащиеся в подразделе 4.2.4.5.</w:t>
      </w:r>
    </w:p>
    <w:p w14:paraId="66DF045B" w14:textId="77777777" w:rsidR="007D663E" w:rsidRPr="006D0CA6" w:rsidRDefault="007D663E" w:rsidP="007D663E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14B70668" w14:textId="24FEBC71" w:rsidR="007D663E" w:rsidRPr="006D0CA6" w:rsidRDefault="007D663E" w:rsidP="007D663E">
      <w:pPr>
        <w:pStyle w:val="SingleTxtG"/>
      </w:pPr>
      <w:r>
        <w:t>4.</w:t>
      </w:r>
      <w:r>
        <w:tab/>
        <w:t>Предлагаемая поправка может быть внесена либо путем ссылки на подраздел</w:t>
      </w:r>
      <w:r w:rsidR="00D222D9">
        <w:t> </w:t>
      </w:r>
      <w:r>
        <w:t>4.2.4.5 в главе 4.3, либо посредством включения формулировок из пункта</w:t>
      </w:r>
      <w:r w:rsidR="00D222D9">
        <w:t> </w:t>
      </w:r>
      <w:r>
        <w:t>4.2.4.5 в соответствующие положения главы 4.3.</w:t>
      </w:r>
    </w:p>
    <w:p w14:paraId="4C7D741C" w14:textId="77777777" w:rsidR="007D663E" w:rsidRPr="006D0CA6" w:rsidRDefault="007D663E" w:rsidP="007D663E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Вариант 1</w:t>
      </w:r>
    </w:p>
    <w:p w14:paraId="03DC3616" w14:textId="77777777" w:rsidR="007D663E" w:rsidRPr="006D0CA6" w:rsidRDefault="007D663E" w:rsidP="007D663E">
      <w:pPr>
        <w:pStyle w:val="SingleTxtG"/>
      </w:pPr>
      <w:r>
        <w:t>5.</w:t>
      </w:r>
      <w:r>
        <w:tab/>
        <w:t>Включить новый пункт 4.3.3.2.5 следующего содержания:</w:t>
      </w:r>
    </w:p>
    <w:p w14:paraId="32138A4A" w14:textId="0C820956" w:rsidR="007D663E" w:rsidRPr="006D0CA6" w:rsidRDefault="00D222D9" w:rsidP="007D663E">
      <w:pPr>
        <w:pStyle w:val="SingleTxtG"/>
        <w:rPr>
          <w:bCs/>
        </w:rPr>
      </w:pPr>
      <w:r>
        <w:t>«</w:t>
      </w:r>
      <w:r w:rsidR="007D663E">
        <w:t>4.3.3.2.5</w:t>
      </w:r>
      <w:r w:rsidR="007D663E">
        <w:tab/>
        <w:t>МЭГК наполняют в соответствии с подразделом 4.2.4.5</w:t>
      </w:r>
      <w:r>
        <w:t>»</w:t>
      </w:r>
      <w:r w:rsidR="007D663E">
        <w:t>.</w:t>
      </w:r>
    </w:p>
    <w:p w14:paraId="32ACF760" w14:textId="77777777" w:rsidR="007D663E" w:rsidRPr="006D0CA6" w:rsidRDefault="007D663E" w:rsidP="007D663E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Вариант 2</w:t>
      </w:r>
    </w:p>
    <w:p w14:paraId="309AE416" w14:textId="03123D59" w:rsidR="007D663E" w:rsidRPr="006D0CA6" w:rsidRDefault="007D663E" w:rsidP="00D222D9">
      <w:pPr>
        <w:pStyle w:val="SingleTxtG"/>
      </w:pPr>
      <w:r>
        <w:t>6.</w:t>
      </w:r>
      <w:r>
        <w:tab/>
        <w:t xml:space="preserve">Включить новый пункт 4.3.3.2.5 следующего содержания: </w:t>
      </w:r>
      <w:r w:rsidR="00D222D9">
        <w:br/>
      </w:r>
      <w:r>
        <w:t>(та же формулировка, что и в пунктах 4.2.4.5.1</w:t>
      </w:r>
      <w:r w:rsidR="00D222D9">
        <w:t>–</w:t>
      </w:r>
      <w:r>
        <w:t>4.2.4.5.3):</w:t>
      </w:r>
    </w:p>
    <w:p w14:paraId="412CDB09" w14:textId="4AA98452" w:rsidR="007D663E" w:rsidRPr="00D222D9" w:rsidRDefault="00D222D9" w:rsidP="00D222D9">
      <w:pPr>
        <w:pStyle w:val="SingleTxtG"/>
        <w:ind w:left="2268" w:hanging="1134"/>
      </w:pPr>
      <w:r>
        <w:t>«</w:t>
      </w:r>
      <w:r w:rsidR="007D663E">
        <w:t>4.3.3.2.5</w:t>
      </w:r>
      <w:r w:rsidR="007D663E">
        <w:tab/>
        <w:t>До наполнения МЭГК должен пройти проверку, с тем чтобы убедиться в том, что он допущен к перевозке данного газа и удовлетворяет требованиям применимых положений МПОГ/ДОПОГ. Элементы МЭГК должны наполняться в соответствии со значениями рабочего давления и коэффициента наполнения, а также положениями, касающимися наполнения, приведенными в инструкции по упаковке Р200 в подразделе</w:t>
      </w:r>
      <w:r>
        <w:t> </w:t>
      </w:r>
      <w:r w:rsidR="007D663E">
        <w:t xml:space="preserve">4.1.4.1 для конкретного газа, загружаемого в каждый элемент. Ни при каких обстоятельствах МЭГК или группа элементов не должны наполняться в качестве единого целого с превышением </w:t>
      </w:r>
      <w:bookmarkStart w:id="0" w:name="_Hlk155856470"/>
      <w:r w:rsidR="007D663E">
        <w:t>наименьшего значения рабочего давления любого данного элемента</w:t>
      </w:r>
      <w:bookmarkEnd w:id="0"/>
      <w:r w:rsidR="007D663E">
        <w:t>. МЭГК не должны наполняться с превышением их максимально допустимой массы брутто</w:t>
      </w:r>
      <w:r>
        <w:t>»</w:t>
      </w:r>
      <w:r w:rsidR="007D663E">
        <w:t>.</w:t>
      </w:r>
    </w:p>
    <w:p w14:paraId="70DBC733" w14:textId="77777777" w:rsidR="007D663E" w:rsidRPr="006D0CA6" w:rsidRDefault="007D663E" w:rsidP="007D663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Сопутствующие поправки</w:t>
      </w:r>
    </w:p>
    <w:p w14:paraId="3A75F50D" w14:textId="77777777" w:rsidR="007D663E" w:rsidRPr="006D0CA6" w:rsidRDefault="007D663E" w:rsidP="007D663E">
      <w:pPr>
        <w:pStyle w:val="SingleTxtG"/>
      </w:pPr>
      <w:r>
        <w:t>7.</w:t>
      </w:r>
      <w:r>
        <w:tab/>
        <w:t>Изменить нумерацию нынешнего пункта 4.3.3.2.5 на 4.3.3.2.6.</w:t>
      </w:r>
    </w:p>
    <w:p w14:paraId="5A46C192" w14:textId="77777777" w:rsidR="007D663E" w:rsidRPr="006D0CA6" w:rsidRDefault="007D663E" w:rsidP="007D663E">
      <w:pPr>
        <w:pStyle w:val="SingleTxtG"/>
      </w:pPr>
      <w:r>
        <w:t>8.</w:t>
      </w:r>
      <w:r>
        <w:tab/>
        <w:t>Изменить пункты 4.3.3.1.1, 6.8.2.4.1 и 6.8.3.4.2 следующим образом:</w:t>
      </w:r>
    </w:p>
    <w:p w14:paraId="677CF3AD" w14:textId="0B7B1AE1" w:rsidR="007D663E" w:rsidRPr="006D0CA6" w:rsidRDefault="007D663E" w:rsidP="00D222D9">
      <w:pPr>
        <w:pStyle w:val="SingleTxtG"/>
        <w:ind w:left="2268" w:hanging="1134"/>
      </w:pPr>
      <w:r>
        <w:t>4.3.3.1.1</w:t>
      </w:r>
      <w:r>
        <w:tab/>
        <w:t xml:space="preserve">В таблице, в строке </w:t>
      </w:r>
      <w:r w:rsidR="00D222D9">
        <w:t>«</w:t>
      </w:r>
      <w:r>
        <w:t>2 Расчетное давление</w:t>
      </w:r>
      <w:r w:rsidR="00D222D9">
        <w:t>»</w:t>
      </w:r>
      <w:r>
        <w:t xml:space="preserve">, колонка </w:t>
      </w:r>
      <w:r w:rsidR="00D222D9">
        <w:t>«</w:t>
      </w:r>
      <w:r>
        <w:t>Код цистерны</w:t>
      </w:r>
      <w:r w:rsidR="00D222D9">
        <w:t>»</w:t>
      </w:r>
      <w:r>
        <w:t xml:space="preserve">, в пояснении к </w:t>
      </w:r>
      <w:r w:rsidR="00D222D9">
        <w:t>«</w:t>
      </w:r>
      <w:r>
        <w:t>Х</w:t>
      </w:r>
      <w:r w:rsidR="00D222D9">
        <w:t>»</w:t>
      </w:r>
      <w:r>
        <w:t xml:space="preserve"> заменить </w:t>
      </w:r>
      <w:r w:rsidR="00D222D9">
        <w:t>«</w:t>
      </w:r>
      <w:r>
        <w:t>4.3.2.2.5</w:t>
      </w:r>
      <w:r w:rsidR="00D222D9">
        <w:t>»</w:t>
      </w:r>
      <w:r>
        <w:t xml:space="preserve"> на </w:t>
      </w:r>
      <w:r w:rsidR="00D222D9">
        <w:t>«</w:t>
      </w:r>
      <w:r>
        <w:t>4.3.2.2.6</w:t>
      </w:r>
      <w:r w:rsidR="00D222D9">
        <w:t>»</w:t>
      </w:r>
      <w:r>
        <w:t>.</w:t>
      </w:r>
    </w:p>
    <w:p w14:paraId="3F9D146E" w14:textId="316A37F7" w:rsidR="007D663E" w:rsidRPr="006D0CA6" w:rsidRDefault="007D663E" w:rsidP="007D663E">
      <w:pPr>
        <w:pStyle w:val="SingleTxtG"/>
        <w:rPr>
          <w:b/>
          <w:bCs/>
        </w:rPr>
      </w:pPr>
      <w:r>
        <w:t>6.8.2.4.1</w:t>
      </w:r>
      <w:r>
        <w:tab/>
        <w:t xml:space="preserve">В предложении после таблицы заменить </w:t>
      </w:r>
      <w:r w:rsidR="00D222D9">
        <w:t>«</w:t>
      </w:r>
      <w:r>
        <w:t>4.3.3.2.5</w:t>
      </w:r>
      <w:r w:rsidR="00D222D9">
        <w:t>»</w:t>
      </w:r>
      <w:r>
        <w:t xml:space="preserve"> на </w:t>
      </w:r>
      <w:r w:rsidR="00D222D9">
        <w:t>«</w:t>
      </w:r>
      <w:r>
        <w:t>4.3.3.2.6</w:t>
      </w:r>
      <w:r w:rsidR="00D222D9">
        <w:t>»</w:t>
      </w:r>
      <w:r>
        <w:t>.</w:t>
      </w:r>
    </w:p>
    <w:p w14:paraId="08259EF9" w14:textId="4C45C58F" w:rsidR="007D663E" w:rsidRPr="006D0CA6" w:rsidRDefault="007D663E" w:rsidP="007D663E">
      <w:pPr>
        <w:pStyle w:val="SingleTxtG"/>
      </w:pPr>
      <w:r>
        <w:t>6.8.3.4.2</w:t>
      </w:r>
      <w:r>
        <w:tab/>
        <w:t xml:space="preserve">Заменить </w:t>
      </w:r>
      <w:r w:rsidR="00D222D9">
        <w:t>«</w:t>
      </w:r>
      <w:r>
        <w:t>4.3.3.2.5</w:t>
      </w:r>
      <w:r w:rsidR="00D222D9">
        <w:t>»</w:t>
      </w:r>
      <w:r>
        <w:t xml:space="preserve"> на </w:t>
      </w:r>
      <w:r w:rsidR="00D222D9">
        <w:t>«</w:t>
      </w:r>
      <w:r>
        <w:t>4.3.3.2.6</w:t>
      </w:r>
      <w:r w:rsidR="00D222D9">
        <w:t>»</w:t>
      </w:r>
      <w:r>
        <w:t>.</w:t>
      </w:r>
    </w:p>
    <w:p w14:paraId="26507639" w14:textId="77777777" w:rsidR="007D663E" w:rsidRPr="006D0CA6" w:rsidRDefault="007D663E" w:rsidP="007D663E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77D43249" w14:textId="7EA4EC9B" w:rsidR="007D663E" w:rsidRPr="006D0CA6" w:rsidRDefault="007D663E" w:rsidP="007D663E">
      <w:pPr>
        <w:pStyle w:val="SingleTxtG"/>
      </w:pPr>
      <w:r>
        <w:t>9.</w:t>
      </w:r>
      <w:r>
        <w:tab/>
        <w:t xml:space="preserve">Цель данного предложения </w:t>
      </w:r>
      <w:r w:rsidR="00207955">
        <w:t>—</w:t>
      </w:r>
      <w:r>
        <w:t xml:space="preserve"> добавить в главу 4.3 необходимые требования для наполнения МЭГК.</w:t>
      </w:r>
    </w:p>
    <w:p w14:paraId="229A0299" w14:textId="00F21C05" w:rsidR="007D663E" w:rsidRPr="006D0CA6" w:rsidRDefault="007D663E" w:rsidP="007D663E">
      <w:pPr>
        <w:pStyle w:val="SingleTxtG"/>
      </w:pPr>
      <w:r>
        <w:t>10.</w:t>
      </w:r>
      <w:r>
        <w:tab/>
        <w:t>Более систематичный подход и более тщательное обоснование положений МПОГ/ДОПОГ позволяют сделать правовые тексты более четкими и избежать различий в критериях, применяемых разными Договаривающимися сторонами/</w:t>
      </w:r>
      <w:r w:rsidR="00207955">
        <w:t xml:space="preserve"> </w:t>
      </w:r>
      <w:r>
        <w:t xml:space="preserve">Договаривающимися государствами и инспекционными службами, и тем самым </w:t>
      </w:r>
      <w:r>
        <w:lastRenderedPageBreak/>
        <w:t>способствуют достижению цели № 16 Организации Объединенных Наций в области устойчивого развития «Мир, правосудие и эффективные учреждения».</w:t>
      </w:r>
    </w:p>
    <w:p w14:paraId="0962669A" w14:textId="61F7BFB6" w:rsidR="007D663E" w:rsidRPr="006D0CA6" w:rsidRDefault="007D663E" w:rsidP="007D663E">
      <w:pPr>
        <w:pStyle w:val="SingleTxtG"/>
      </w:pPr>
      <w:r>
        <w:t>11.</w:t>
      </w:r>
      <w:r>
        <w:tab/>
        <w:t>Применение правил перевозки опасных грузов, основанных на Типовых правилах, разработанных Совместным совещанием, обеспечивает безопасность перевозок. Таким образом, предприятия, страны, работники и потребители могут рассчитывать на безопасные условия для импортируемой, производимой, обрабатываемой, перевозимой или используемой ими продукции, что позволяет внести вклад в охрану здоровья людей и снижение экологических рисков на протяжении всего жизненного цикла продукции, а это в свою очередь способствует достижению цели №</w:t>
      </w:r>
      <w:r w:rsidR="00207955">
        <w:t> </w:t>
      </w:r>
      <w:r>
        <w:t xml:space="preserve">3 Организации Объединенных Наций в области устойчивого развития </w:t>
      </w:r>
      <w:r w:rsidR="00207955">
        <w:t>«</w:t>
      </w:r>
      <w:r>
        <w:t>Здоровье и благополучие</w:t>
      </w:r>
      <w:r w:rsidR="00207955">
        <w:t>»</w:t>
      </w:r>
      <w:r>
        <w:t>.</w:t>
      </w:r>
    </w:p>
    <w:p w14:paraId="1F06CC35" w14:textId="77777777" w:rsidR="007D663E" w:rsidRPr="006D0CA6" w:rsidRDefault="007D663E" w:rsidP="007D663E">
      <w:pPr>
        <w:spacing w:before="240"/>
        <w:jc w:val="center"/>
        <w:rPr>
          <w:u w:val="single"/>
        </w:rPr>
      </w:pPr>
      <w:r w:rsidRPr="006D0CA6">
        <w:rPr>
          <w:u w:val="single"/>
        </w:rPr>
        <w:tab/>
      </w:r>
      <w:r w:rsidRPr="006D0CA6">
        <w:rPr>
          <w:u w:val="single"/>
        </w:rPr>
        <w:tab/>
      </w:r>
      <w:r w:rsidRPr="006D0CA6">
        <w:rPr>
          <w:u w:val="single"/>
        </w:rPr>
        <w:tab/>
      </w:r>
    </w:p>
    <w:p w14:paraId="2DB42D17" w14:textId="77777777" w:rsidR="00E12C5F" w:rsidRPr="00DF3A22" w:rsidRDefault="00E12C5F" w:rsidP="00D9145B">
      <w:pPr>
        <w:rPr>
          <w:lang w:val="en-US"/>
        </w:rPr>
      </w:pPr>
    </w:p>
    <w:sectPr w:rsidR="00E12C5F" w:rsidRPr="00DF3A22" w:rsidSect="007D66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3711" w14:textId="77777777" w:rsidR="00F2322C" w:rsidRPr="00A312BC" w:rsidRDefault="00F2322C" w:rsidP="00A312BC"/>
  </w:endnote>
  <w:endnote w:type="continuationSeparator" w:id="0">
    <w:p w14:paraId="449C372F" w14:textId="77777777" w:rsidR="00F2322C" w:rsidRPr="00A312BC" w:rsidRDefault="00F232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60D" w14:textId="43ECECDF" w:rsidR="007D663E" w:rsidRPr="007D663E" w:rsidRDefault="007D663E">
    <w:pPr>
      <w:pStyle w:val="a8"/>
    </w:pPr>
    <w:r w:rsidRPr="007D663E">
      <w:rPr>
        <w:b/>
        <w:sz w:val="18"/>
      </w:rPr>
      <w:fldChar w:fldCharType="begin"/>
    </w:r>
    <w:r w:rsidRPr="007D663E">
      <w:rPr>
        <w:b/>
        <w:sz w:val="18"/>
      </w:rPr>
      <w:instrText xml:space="preserve"> PAGE  \* MERGEFORMAT </w:instrText>
    </w:r>
    <w:r w:rsidRPr="007D663E">
      <w:rPr>
        <w:b/>
        <w:sz w:val="18"/>
      </w:rPr>
      <w:fldChar w:fldCharType="separate"/>
    </w:r>
    <w:r w:rsidRPr="007D663E">
      <w:rPr>
        <w:b/>
        <w:noProof/>
        <w:sz w:val="18"/>
      </w:rPr>
      <w:t>2</w:t>
    </w:r>
    <w:r w:rsidRPr="007D663E">
      <w:rPr>
        <w:b/>
        <w:sz w:val="18"/>
      </w:rPr>
      <w:fldChar w:fldCharType="end"/>
    </w:r>
    <w:r>
      <w:rPr>
        <w:b/>
        <w:sz w:val="18"/>
      </w:rPr>
      <w:tab/>
    </w:r>
    <w:r>
      <w:t>GE.23-25221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4E35" w14:textId="3DB855F4" w:rsidR="007D663E" w:rsidRPr="007D663E" w:rsidRDefault="007D663E" w:rsidP="007D663E">
    <w:pPr>
      <w:pStyle w:val="a8"/>
      <w:tabs>
        <w:tab w:val="clear" w:pos="9639"/>
        <w:tab w:val="right" w:pos="9638"/>
      </w:tabs>
      <w:rPr>
        <w:b/>
        <w:sz w:val="18"/>
      </w:rPr>
    </w:pPr>
    <w:r>
      <w:t>GE.23-25221</w:t>
    </w:r>
    <w:r>
      <w:tab/>
    </w:r>
    <w:r w:rsidRPr="007D663E">
      <w:rPr>
        <w:b/>
        <w:sz w:val="18"/>
      </w:rPr>
      <w:fldChar w:fldCharType="begin"/>
    </w:r>
    <w:r w:rsidRPr="007D663E">
      <w:rPr>
        <w:b/>
        <w:sz w:val="18"/>
      </w:rPr>
      <w:instrText xml:space="preserve"> PAGE  \* MERGEFORMAT </w:instrText>
    </w:r>
    <w:r w:rsidRPr="007D663E">
      <w:rPr>
        <w:b/>
        <w:sz w:val="18"/>
      </w:rPr>
      <w:fldChar w:fldCharType="separate"/>
    </w:r>
    <w:r w:rsidRPr="007D663E">
      <w:rPr>
        <w:b/>
        <w:noProof/>
        <w:sz w:val="18"/>
      </w:rPr>
      <w:t>3</w:t>
    </w:r>
    <w:r w:rsidRPr="007D66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B3E" w14:textId="33D49E1A" w:rsidR="00042B72" w:rsidRPr="007D663E" w:rsidRDefault="007D663E" w:rsidP="007D663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EB15DF" wp14:editId="5FE710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23-25221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90BCBF" wp14:editId="089C32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110124  110124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2337" w14:textId="77777777" w:rsidR="00F2322C" w:rsidRPr="001075E9" w:rsidRDefault="00F232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E4B651" w14:textId="77777777" w:rsidR="00F2322C" w:rsidRDefault="00F232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D4D1D0" w14:textId="77777777" w:rsidR="007D663E" w:rsidRPr="007D663E" w:rsidRDefault="007D663E" w:rsidP="007D663E">
      <w:pPr>
        <w:pStyle w:val="ad"/>
        <w:rPr>
          <w:sz w:val="20"/>
        </w:rPr>
      </w:pPr>
      <w:r>
        <w:tab/>
      </w:r>
      <w:r w:rsidRPr="007D663E">
        <w:rPr>
          <w:sz w:val="20"/>
        </w:rPr>
        <w:t>*</w:t>
      </w:r>
      <w:r w:rsidRPr="007D663E">
        <w:rPr>
          <w:sz w:val="20"/>
        </w:rPr>
        <w:tab/>
      </w:r>
      <w:r w:rsidRPr="007D663E">
        <w:t>A/78/6 (разд. 20), таблица 20.5.</w:t>
      </w:r>
    </w:p>
  </w:footnote>
  <w:footnote w:id="2">
    <w:p w14:paraId="1981FA1F" w14:textId="466F51FD" w:rsidR="007D663E" w:rsidRPr="006D0CA6" w:rsidRDefault="007D663E" w:rsidP="007D663E">
      <w:pPr>
        <w:pStyle w:val="ad"/>
      </w:pPr>
      <w:r w:rsidRPr="007D663E">
        <w:rPr>
          <w:sz w:val="20"/>
        </w:rPr>
        <w:tab/>
        <w:t>**</w:t>
      </w:r>
      <w:r>
        <w:tab/>
        <w:t xml:space="preserve">Распространено Межправительственной организацией по международным </w:t>
      </w:r>
      <w:r w:rsidR="00D222D9">
        <w:br/>
      </w:r>
      <w:r>
        <w:t>железнодорожным перевозкам (ОТИФ) под условным обозначением OTIF/RID/RC/2024/2.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391A" w14:textId="31400711" w:rsidR="007D663E" w:rsidRPr="007D663E" w:rsidRDefault="007D663E">
    <w:pPr>
      <w:pStyle w:val="a5"/>
    </w:pPr>
    <w:fldSimple w:instr=" TITLE  \* MERGEFORMAT ">
      <w:r w:rsidR="00F756B2">
        <w:t>ECE/TRANS/WP.15/AC.1/2024/2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C898" w14:textId="609C0ABF" w:rsidR="007D663E" w:rsidRPr="007D663E" w:rsidRDefault="007D663E" w:rsidP="007D663E">
    <w:pPr>
      <w:pStyle w:val="a5"/>
      <w:jc w:val="right"/>
    </w:pPr>
    <w:fldSimple w:instr=" TITLE  \* MERGEFORMAT ">
      <w:r w:rsidR="00F756B2">
        <w:t>ECE/TRANS/WP.15/AC.1/2024/2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35207379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795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8E0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8DA"/>
    <w:rsid w:val="006F35EE"/>
    <w:rsid w:val="007021FF"/>
    <w:rsid w:val="00712895"/>
    <w:rsid w:val="00734ACB"/>
    <w:rsid w:val="00757357"/>
    <w:rsid w:val="00792497"/>
    <w:rsid w:val="007D663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C2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2D9"/>
    <w:rsid w:val="00D33D63"/>
    <w:rsid w:val="00D5253A"/>
    <w:rsid w:val="00D873A8"/>
    <w:rsid w:val="00D90028"/>
    <w:rsid w:val="00D90138"/>
    <w:rsid w:val="00D9145B"/>
    <w:rsid w:val="00DD78D1"/>
    <w:rsid w:val="00DE32CD"/>
    <w:rsid w:val="00DF3A22"/>
    <w:rsid w:val="00DF5767"/>
    <w:rsid w:val="00DF71B9"/>
    <w:rsid w:val="00E12C5F"/>
    <w:rsid w:val="00E73F76"/>
    <w:rsid w:val="00E84ABD"/>
    <w:rsid w:val="00E91A4A"/>
    <w:rsid w:val="00EA2C9F"/>
    <w:rsid w:val="00EA420E"/>
    <w:rsid w:val="00EA547D"/>
    <w:rsid w:val="00ED0BDA"/>
    <w:rsid w:val="00EE142A"/>
    <w:rsid w:val="00EF1360"/>
    <w:rsid w:val="00EF3220"/>
    <w:rsid w:val="00F2322C"/>
    <w:rsid w:val="00F2523A"/>
    <w:rsid w:val="00F43903"/>
    <w:rsid w:val="00F73C9D"/>
    <w:rsid w:val="00F756B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B5E9"/>
  <w15:docId w15:val="{AF37EE14-D622-4428-8250-EA04B23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D663E"/>
    <w:rPr>
      <w:lang w:val="ru-RU" w:eastAsia="en-US"/>
    </w:rPr>
  </w:style>
  <w:style w:type="paragraph" w:customStyle="1" w:styleId="ParNoG">
    <w:name w:val="_ParNo_G"/>
    <w:basedOn w:val="a"/>
    <w:qFormat/>
    <w:rsid w:val="007D663E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1GChar">
    <w:name w:val="_ H_1_G Char"/>
    <w:link w:val="H1G"/>
    <w:rsid w:val="007D663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D663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7D663E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EDE53-46DD-4CE5-B869-5E6D5F22DDE8}"/>
</file>

<file path=customXml/itemProps2.xml><?xml version="1.0" encoding="utf-8"?>
<ds:datastoreItem xmlns:ds="http://schemas.openxmlformats.org/officeDocument/2006/customXml" ds:itemID="{D9846C76-36EB-45BC-A1CF-6A9149FAAEC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623</Words>
  <Characters>4187</Characters>
  <Application>Microsoft Office Word</Application>
  <DocSecurity>0</DocSecurity>
  <Lines>97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</dc:title>
  <dc:subject/>
  <dc:creator>Elena IZOTOVA</dc:creator>
  <cp:keywords/>
  <cp:lastModifiedBy>Elena Izotova</cp:lastModifiedBy>
  <cp:revision>3</cp:revision>
  <cp:lastPrinted>2024-01-11T11:54:00Z</cp:lastPrinted>
  <dcterms:created xsi:type="dcterms:W3CDTF">2024-01-11T11:54:00Z</dcterms:created>
  <dcterms:modified xsi:type="dcterms:W3CDTF">2024-01-11T11:54:00Z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