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4E4A7D" w14:textId="77777777" w:rsidTr="00C97039">
        <w:trPr>
          <w:trHeight w:hRule="exact" w:val="851"/>
        </w:trPr>
        <w:tc>
          <w:tcPr>
            <w:tcW w:w="1276" w:type="dxa"/>
            <w:tcBorders>
              <w:bottom w:val="single" w:sz="4" w:space="0" w:color="auto"/>
            </w:tcBorders>
          </w:tcPr>
          <w:p w14:paraId="68B5E735" w14:textId="77777777" w:rsidR="00F35BAF" w:rsidRPr="00DB58B5" w:rsidRDefault="00F35BAF" w:rsidP="00B93E46"/>
        </w:tc>
        <w:tc>
          <w:tcPr>
            <w:tcW w:w="2268" w:type="dxa"/>
            <w:tcBorders>
              <w:bottom w:val="single" w:sz="4" w:space="0" w:color="auto"/>
            </w:tcBorders>
            <w:vAlign w:val="bottom"/>
          </w:tcPr>
          <w:p w14:paraId="2573BF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7958BE" w14:textId="4863EB66" w:rsidR="00F35BAF" w:rsidRPr="00DB58B5" w:rsidRDefault="00B93E46" w:rsidP="00B93E46">
            <w:pPr>
              <w:jc w:val="right"/>
            </w:pPr>
            <w:r w:rsidRPr="00B93E46">
              <w:rPr>
                <w:sz w:val="40"/>
              </w:rPr>
              <w:t>ECE</w:t>
            </w:r>
            <w:r>
              <w:t>/TRANS/WP.29/2024/8</w:t>
            </w:r>
          </w:p>
        </w:tc>
      </w:tr>
      <w:tr w:rsidR="00F35BAF" w:rsidRPr="00DB58B5" w14:paraId="3F5A235B" w14:textId="77777777" w:rsidTr="00C97039">
        <w:trPr>
          <w:trHeight w:hRule="exact" w:val="2835"/>
        </w:trPr>
        <w:tc>
          <w:tcPr>
            <w:tcW w:w="1276" w:type="dxa"/>
            <w:tcBorders>
              <w:top w:val="single" w:sz="4" w:space="0" w:color="auto"/>
              <w:bottom w:val="single" w:sz="12" w:space="0" w:color="auto"/>
            </w:tcBorders>
          </w:tcPr>
          <w:p w14:paraId="3C8C729B" w14:textId="77777777" w:rsidR="00F35BAF" w:rsidRPr="00DB58B5" w:rsidRDefault="00F35BAF" w:rsidP="00C97039">
            <w:pPr>
              <w:spacing w:before="120"/>
              <w:jc w:val="center"/>
            </w:pPr>
            <w:r>
              <w:rPr>
                <w:noProof/>
                <w:lang w:eastAsia="fr-CH"/>
              </w:rPr>
              <w:drawing>
                <wp:inline distT="0" distB="0" distL="0" distR="0" wp14:anchorId="6317B96D" wp14:editId="203187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56B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BDE426" w14:textId="77777777" w:rsidR="00F35BAF" w:rsidRDefault="00B93E46" w:rsidP="00C97039">
            <w:pPr>
              <w:spacing w:before="240"/>
            </w:pPr>
            <w:r>
              <w:t>Distr. générale</w:t>
            </w:r>
          </w:p>
          <w:p w14:paraId="690EA0AE" w14:textId="174981F6" w:rsidR="00B93E46" w:rsidRDefault="00B93E46" w:rsidP="00B93E46">
            <w:pPr>
              <w:spacing w:line="240" w:lineRule="exact"/>
            </w:pPr>
            <w:r>
              <w:t>21 décembre 2023</w:t>
            </w:r>
          </w:p>
          <w:p w14:paraId="36106BF2" w14:textId="77777777" w:rsidR="00B93E46" w:rsidRDefault="00B93E46" w:rsidP="00B93E46">
            <w:pPr>
              <w:spacing w:line="240" w:lineRule="exact"/>
            </w:pPr>
            <w:r>
              <w:t>Français</w:t>
            </w:r>
          </w:p>
          <w:p w14:paraId="17DAC8E8" w14:textId="254234F8" w:rsidR="00B93E46" w:rsidRPr="00DB58B5" w:rsidRDefault="00B93E46" w:rsidP="00B93E46">
            <w:pPr>
              <w:spacing w:line="240" w:lineRule="exact"/>
            </w:pPr>
            <w:r>
              <w:t>Original : anglais</w:t>
            </w:r>
          </w:p>
        </w:tc>
      </w:tr>
    </w:tbl>
    <w:p w14:paraId="000B20F2" w14:textId="77777777" w:rsidR="007F20FA" w:rsidRPr="000312C0" w:rsidRDefault="007F20FA" w:rsidP="007F20FA">
      <w:pPr>
        <w:spacing w:before="120"/>
        <w:rPr>
          <w:b/>
          <w:sz w:val="28"/>
          <w:szCs w:val="28"/>
        </w:rPr>
      </w:pPr>
      <w:r w:rsidRPr="000312C0">
        <w:rPr>
          <w:b/>
          <w:sz w:val="28"/>
          <w:szCs w:val="28"/>
        </w:rPr>
        <w:t>Commission économique pour l’Europe</w:t>
      </w:r>
    </w:p>
    <w:p w14:paraId="45FB90F2" w14:textId="77777777" w:rsidR="007F20FA" w:rsidRDefault="007F20FA" w:rsidP="007F20FA">
      <w:pPr>
        <w:spacing w:before="120"/>
        <w:rPr>
          <w:sz w:val="28"/>
          <w:szCs w:val="28"/>
        </w:rPr>
      </w:pPr>
      <w:r w:rsidRPr="00685843">
        <w:rPr>
          <w:sz w:val="28"/>
          <w:szCs w:val="28"/>
        </w:rPr>
        <w:t>Comité des transports intérieurs</w:t>
      </w:r>
    </w:p>
    <w:p w14:paraId="55B07114" w14:textId="77777777" w:rsidR="00B93E46" w:rsidRDefault="00B93E46" w:rsidP="00B93E46">
      <w:pPr>
        <w:spacing w:before="120"/>
        <w:rPr>
          <w:b/>
          <w:sz w:val="32"/>
          <w:szCs w:val="32"/>
          <w:lang w:val="fr-FR"/>
        </w:rPr>
      </w:pPr>
      <w:r w:rsidRPr="00A544A5">
        <w:rPr>
          <w:b/>
          <w:bCs/>
          <w:sz w:val="24"/>
          <w:szCs w:val="24"/>
          <w:lang w:val="fr-FR"/>
        </w:rPr>
        <w:t>Forum mondial de l</w:t>
      </w:r>
      <w:r>
        <w:rPr>
          <w:b/>
          <w:bCs/>
          <w:sz w:val="24"/>
          <w:szCs w:val="24"/>
          <w:lang w:val="fr-FR"/>
        </w:rPr>
        <w:t>’</w:t>
      </w:r>
      <w:r w:rsidRPr="00A544A5">
        <w:rPr>
          <w:b/>
          <w:bCs/>
          <w:sz w:val="24"/>
          <w:szCs w:val="24"/>
          <w:lang w:val="fr-FR"/>
        </w:rPr>
        <w:t xml:space="preserve">harmonisation des Règlements </w:t>
      </w:r>
      <w:r>
        <w:rPr>
          <w:b/>
          <w:bCs/>
          <w:sz w:val="24"/>
          <w:szCs w:val="24"/>
          <w:lang w:val="fr-FR"/>
        </w:rPr>
        <w:br/>
      </w:r>
      <w:r w:rsidRPr="00A544A5">
        <w:rPr>
          <w:b/>
          <w:bCs/>
          <w:sz w:val="24"/>
          <w:szCs w:val="24"/>
          <w:lang w:val="fr-FR"/>
        </w:rPr>
        <w:t>concernant les véhicules</w:t>
      </w:r>
    </w:p>
    <w:p w14:paraId="6CEEF78F" w14:textId="2D6B8AE2" w:rsidR="00B93E46" w:rsidRPr="005903E4" w:rsidRDefault="00B93E46" w:rsidP="00B93E46">
      <w:pPr>
        <w:spacing w:before="120"/>
        <w:rPr>
          <w:b/>
          <w:lang w:val="fr-FR"/>
        </w:rPr>
      </w:pPr>
      <w:r>
        <w:rPr>
          <w:b/>
          <w:bCs/>
          <w:lang w:val="fr-FR"/>
        </w:rPr>
        <w:t>192</w:t>
      </w:r>
      <w:r w:rsidRPr="00B93E46">
        <w:rPr>
          <w:b/>
          <w:bCs/>
          <w:vertAlign w:val="superscript"/>
          <w:lang w:val="fr-FR"/>
        </w:rPr>
        <w:t>e</w:t>
      </w:r>
      <w:r>
        <w:rPr>
          <w:b/>
          <w:bCs/>
          <w:lang w:val="fr-FR"/>
        </w:rPr>
        <w:t> </w:t>
      </w:r>
      <w:r>
        <w:rPr>
          <w:b/>
          <w:bCs/>
          <w:lang w:val="fr-FR"/>
        </w:rPr>
        <w:t>session</w:t>
      </w:r>
    </w:p>
    <w:p w14:paraId="269C2D59" w14:textId="68113457" w:rsidR="00B93E46" w:rsidRPr="005903E4" w:rsidRDefault="00B93E46" w:rsidP="00B93E46">
      <w:pPr>
        <w:rPr>
          <w:bCs/>
          <w:lang w:val="fr-FR"/>
        </w:rPr>
      </w:pPr>
      <w:r>
        <w:rPr>
          <w:lang w:val="fr-FR"/>
        </w:rPr>
        <w:t>Genève, 5-8</w:t>
      </w:r>
      <w:r>
        <w:rPr>
          <w:lang w:val="fr-FR"/>
        </w:rPr>
        <w:t> </w:t>
      </w:r>
      <w:r>
        <w:rPr>
          <w:lang w:val="fr-FR"/>
        </w:rPr>
        <w:t>mars 2024</w:t>
      </w:r>
    </w:p>
    <w:p w14:paraId="508487AC" w14:textId="054496BB" w:rsidR="00B93E46" w:rsidRPr="005903E4" w:rsidRDefault="00B93E46" w:rsidP="00B93E46">
      <w:pPr>
        <w:rPr>
          <w:bCs/>
          <w:lang w:val="fr-FR"/>
        </w:rPr>
      </w:pPr>
      <w:r>
        <w:rPr>
          <w:lang w:val="fr-FR"/>
        </w:rPr>
        <w:t>Point</w:t>
      </w:r>
      <w:r>
        <w:rPr>
          <w:lang w:val="fr-FR"/>
        </w:rPr>
        <w:t> </w:t>
      </w:r>
      <w:r>
        <w:rPr>
          <w:lang w:val="fr-FR"/>
        </w:rPr>
        <w:t>4.7.5 de l’ordre du jour provisoire</w:t>
      </w:r>
    </w:p>
    <w:p w14:paraId="7D7D769B" w14:textId="7B6B97CD" w:rsidR="00B93E46" w:rsidRPr="005903E4" w:rsidRDefault="00B93E46" w:rsidP="00B93E46">
      <w:pPr>
        <w:rPr>
          <w:b/>
          <w:bCs/>
          <w:lang w:val="fr-FR"/>
        </w:rPr>
      </w:pPr>
      <w:r>
        <w:rPr>
          <w:b/>
          <w:bCs/>
          <w:lang w:val="fr-FR"/>
        </w:rPr>
        <w:t>Accord de 1958 :</w:t>
      </w:r>
      <w:r>
        <w:rPr>
          <w:b/>
          <w:bCs/>
          <w:lang w:val="fr-FR"/>
        </w:rPr>
        <w:t xml:space="preserve"> </w:t>
      </w:r>
      <w:r>
        <w:rPr>
          <w:b/>
          <w:bCs/>
          <w:lang w:val="fr-FR"/>
        </w:rPr>
        <w:br/>
      </w:r>
      <w:r w:rsidRPr="00874181">
        <w:rPr>
          <w:b/>
          <w:bCs/>
          <w:lang w:val="fr-FR"/>
        </w:rPr>
        <w:t>Examen de projets d</w:t>
      </w:r>
      <w:r>
        <w:rPr>
          <w:b/>
          <w:bCs/>
          <w:lang w:val="fr-FR"/>
        </w:rPr>
        <w:t>’</w:t>
      </w:r>
      <w:r w:rsidRPr="00874181">
        <w:rPr>
          <w:b/>
          <w:bCs/>
          <w:lang w:val="fr-FR"/>
        </w:rPr>
        <w:t xml:space="preserve">amendements à des Règlements ONU existants, </w:t>
      </w:r>
      <w:r>
        <w:rPr>
          <w:b/>
          <w:bCs/>
          <w:lang w:val="fr-FR"/>
        </w:rPr>
        <w:br/>
      </w:r>
      <w:r w:rsidRPr="00874181">
        <w:rPr>
          <w:b/>
          <w:bCs/>
          <w:lang w:val="fr-FR"/>
        </w:rPr>
        <w:t xml:space="preserve">soumis par le </w:t>
      </w:r>
      <w:r>
        <w:rPr>
          <w:b/>
          <w:bCs/>
          <w:lang w:val="fr-FR"/>
        </w:rPr>
        <w:t>GRVA</w:t>
      </w:r>
    </w:p>
    <w:p w14:paraId="513C0567" w14:textId="6E0C1C5D" w:rsidR="00B93E46" w:rsidRPr="005903E4" w:rsidRDefault="00B93E46" w:rsidP="00B93E46">
      <w:pPr>
        <w:pStyle w:val="HChG"/>
        <w:rPr>
          <w:lang w:val="fr-FR"/>
        </w:rPr>
      </w:pPr>
      <w:r>
        <w:rPr>
          <w:lang w:val="fr-FR"/>
        </w:rPr>
        <w:tab/>
      </w:r>
      <w:r>
        <w:rPr>
          <w:lang w:val="fr-FR"/>
        </w:rPr>
        <w:tab/>
        <w:t>Proposition de complément</w:t>
      </w:r>
      <w:r>
        <w:rPr>
          <w:lang w:val="fr-FR"/>
        </w:rPr>
        <w:t> </w:t>
      </w:r>
      <w:r>
        <w:rPr>
          <w:lang w:val="fr-FR"/>
        </w:rPr>
        <w:t>5 à la série</w:t>
      </w:r>
      <w:r>
        <w:rPr>
          <w:lang w:val="fr-FR"/>
        </w:rPr>
        <w:t> </w:t>
      </w:r>
      <w:r>
        <w:rPr>
          <w:lang w:val="fr-FR"/>
        </w:rPr>
        <w:t xml:space="preserve">04 d’amendements </w:t>
      </w:r>
      <w:r>
        <w:rPr>
          <w:lang w:val="fr-FR"/>
        </w:rPr>
        <w:br/>
        <w:t>au Règlement ONU n</w:t>
      </w:r>
      <w:r>
        <w:rPr>
          <w:vertAlign w:val="superscript"/>
          <w:lang w:val="fr-FR"/>
        </w:rPr>
        <w:t>o</w:t>
      </w:r>
      <w:r>
        <w:rPr>
          <w:lang w:val="fr-FR"/>
        </w:rPr>
        <w:t> 79 (Équipement de direction)</w:t>
      </w:r>
    </w:p>
    <w:p w14:paraId="06A82C3E" w14:textId="044E1067" w:rsidR="00B93E46" w:rsidRPr="005903E4" w:rsidRDefault="00B93E46" w:rsidP="00B93E46">
      <w:pPr>
        <w:pStyle w:val="H1G"/>
        <w:rPr>
          <w:lang w:val="fr-FR"/>
        </w:rPr>
      </w:pPr>
      <w:r>
        <w:rPr>
          <w:lang w:val="fr-FR"/>
        </w:rPr>
        <w:tab/>
      </w:r>
      <w:r>
        <w:rPr>
          <w:lang w:val="fr-FR"/>
        </w:rPr>
        <w:tab/>
        <w:t xml:space="preserve">Communication du </w:t>
      </w:r>
      <w:r>
        <w:rPr>
          <w:bCs/>
          <w:lang w:val="fr-FR"/>
        </w:rPr>
        <w:t>Groupe de travail des véhicules automatisés/autonomes et connectés</w:t>
      </w:r>
      <w:r w:rsidRPr="00B93E46">
        <w:rPr>
          <w:rStyle w:val="Appelnotedebasdep"/>
          <w:b w:val="0"/>
          <w:sz w:val="20"/>
          <w:vertAlign w:val="baseline"/>
        </w:rPr>
        <w:footnoteReference w:customMarkFollows="1" w:id="2"/>
        <w:t>*</w:t>
      </w:r>
    </w:p>
    <w:p w14:paraId="19AC913E" w14:textId="1E873FAA" w:rsidR="00F9573C" w:rsidRDefault="00B93E46" w:rsidP="00B93E46">
      <w:pPr>
        <w:pStyle w:val="SingleTxtG"/>
        <w:ind w:firstLine="567"/>
        <w:rPr>
          <w:lang w:val="fr-FR"/>
        </w:rPr>
      </w:pPr>
      <w:r>
        <w:rPr>
          <w:lang w:val="fr-FR"/>
        </w:rPr>
        <w:t xml:space="preserve">Le texte ci-après, adopté par le </w:t>
      </w:r>
      <w:r w:rsidRPr="00194028">
        <w:rPr>
          <w:lang w:val="fr-FR"/>
        </w:rPr>
        <w:t>Groupe de travail des véhicules automatisés/autonomes et connectés</w:t>
      </w:r>
      <w:r>
        <w:rPr>
          <w:lang w:val="fr-FR"/>
        </w:rPr>
        <w:t xml:space="preserve"> à sa dix-septième session (voir ECE/TRANS/WP.29/GRVA/17, par.</w:t>
      </w:r>
      <w:r>
        <w:rPr>
          <w:lang w:val="fr-FR"/>
        </w:rPr>
        <w:t> </w:t>
      </w:r>
      <w:r>
        <w:rPr>
          <w:lang w:val="fr-FR"/>
        </w:rPr>
        <w:t xml:space="preserve">86), est fondé sur le document </w:t>
      </w:r>
      <w:r w:rsidRPr="00BE03D1">
        <w:rPr>
          <w:rFonts w:eastAsia="MS Mincho"/>
        </w:rPr>
        <w:t>ECE/TRANS/WP.29/GRVA/2023/26</w:t>
      </w:r>
      <w:r>
        <w:rPr>
          <w:rFonts w:eastAsia="MS Mincho"/>
        </w:rPr>
        <w:t xml:space="preserve">.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 de</w:t>
      </w:r>
      <w:r>
        <w:t xml:space="preserve"> mars 2024</w:t>
      </w:r>
      <w:r>
        <w:rPr>
          <w:lang w:val="fr-FR"/>
        </w:rPr>
        <w:t>.</w:t>
      </w:r>
    </w:p>
    <w:p w14:paraId="51D929C1" w14:textId="5C1FB044" w:rsidR="00B93E46" w:rsidRDefault="00B93E46" w:rsidP="00B93E46">
      <w:pPr>
        <w:rPr>
          <w:lang w:val="fr-FR"/>
        </w:rPr>
      </w:pPr>
      <w:r>
        <w:rPr>
          <w:lang w:val="fr-FR"/>
        </w:rPr>
        <w:br w:type="page"/>
      </w:r>
    </w:p>
    <w:p w14:paraId="31F2A812" w14:textId="77777777" w:rsidR="00B93E46" w:rsidRPr="005903E4" w:rsidRDefault="00B93E46" w:rsidP="00B93E46">
      <w:pPr>
        <w:pStyle w:val="SingleTxtG"/>
        <w:rPr>
          <w:lang w:val="fr-FR"/>
        </w:rPr>
      </w:pPr>
      <w:r w:rsidRPr="00A544A5">
        <w:rPr>
          <w:i/>
          <w:iCs/>
          <w:lang w:val="fr-FR"/>
        </w:rPr>
        <w:lastRenderedPageBreak/>
        <w:t>Paragraphe 5.6.2.2.3</w:t>
      </w:r>
      <w:r>
        <w:rPr>
          <w:lang w:val="fr-FR"/>
        </w:rPr>
        <w:t>, lire :</w:t>
      </w:r>
    </w:p>
    <w:p w14:paraId="45268D2F" w14:textId="38C4B260" w:rsidR="00B93E46" w:rsidRPr="005903E4" w:rsidRDefault="00B93E46" w:rsidP="00B93E46">
      <w:pPr>
        <w:pStyle w:val="SingleTxtG"/>
        <w:ind w:left="2268" w:hanging="1134"/>
        <w:rPr>
          <w:lang w:val="fr-FR"/>
        </w:rPr>
      </w:pPr>
      <w:r>
        <w:rPr>
          <w:lang w:val="fr-FR"/>
        </w:rPr>
        <w:t>« 5.6.2.2.3</w:t>
      </w:r>
      <w:r>
        <w:rPr>
          <w:lang w:val="fr-FR"/>
        </w:rPr>
        <w:tab/>
        <w:t>Lorsqu’il atteint les conditions limites visées au paragraphe 5.6.2.3.1.1 du présent Règlement (par exemple, l’accélération latérale maximale indiquée ay</w:t>
      </w:r>
      <w:r>
        <w:rPr>
          <w:vertAlign w:val="subscript"/>
          <w:lang w:val="fr-FR"/>
        </w:rPr>
        <w:t>smax</w:t>
      </w:r>
      <w:r>
        <w:rPr>
          <w:lang w:val="fr-FR"/>
        </w:rPr>
        <w:t xml:space="preserve">), en l’absence de toute action du conducteur sur la commande de direction et lorsqu’une roue avant du véhicule franchit les marques routières, le système doit éviter toute perte soudaine de direction en continuant de fournir une assistance dans la mesure du possible, comme décrit dans le concept de sécurité du constructeur du véhicule, et informer clairement le conducteur de </w:t>
      </w:r>
      <w:r w:rsidRPr="00B93E46">
        <w:rPr>
          <w:spacing w:val="-1"/>
          <w:lang w:val="fr-FR"/>
        </w:rPr>
        <w:t>l’état du système par un signal visuel ainsi que par un signal sonore ou</w:t>
      </w:r>
      <w:r w:rsidRPr="00B93E46">
        <w:rPr>
          <w:spacing w:val="-1"/>
          <w:lang w:val="fr-FR"/>
        </w:rPr>
        <w:t xml:space="preserve"> </w:t>
      </w:r>
      <w:r w:rsidRPr="00B93E46">
        <w:rPr>
          <w:spacing w:val="-1"/>
          <w:lang w:val="fr-FR"/>
        </w:rPr>
        <w:t>haptique.</w:t>
      </w:r>
    </w:p>
    <w:p w14:paraId="73032B53" w14:textId="1EB046DD" w:rsidR="00B93E46" w:rsidRPr="005903E4" w:rsidRDefault="00B93E46" w:rsidP="00B93E46">
      <w:pPr>
        <w:pStyle w:val="SingleTxtG"/>
        <w:tabs>
          <w:tab w:val="left" w:pos="8505"/>
        </w:tabs>
        <w:ind w:left="2268" w:right="1133"/>
        <w:rPr>
          <w:lang w:val="fr-FR"/>
        </w:rPr>
      </w:pPr>
      <w:r>
        <w:rPr>
          <w:lang w:val="fr-FR"/>
        </w:rPr>
        <w:t>Pour les véhicules des catégories</w:t>
      </w:r>
      <w:r>
        <w:rPr>
          <w:lang w:val="fr-FR"/>
        </w:rPr>
        <w:t> </w:t>
      </w:r>
      <w:r>
        <w:rPr>
          <w:lang w:val="fr-FR"/>
        </w:rPr>
        <w:t>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lang w:val="fr-FR"/>
        </w:rPr>
        <w:t xml:space="preserve">, cette prescription est considérée comme étant satisfaite si le véhicule est équipé d’un système </w:t>
      </w:r>
      <w:r w:rsidRPr="00C25446">
        <w:rPr>
          <w:lang w:val="fr-FR"/>
        </w:rPr>
        <w:t>d</w:t>
      </w:r>
      <w:r>
        <w:rPr>
          <w:lang w:val="fr-FR"/>
        </w:rPr>
        <w:t>’</w:t>
      </w:r>
      <w:r w:rsidRPr="00C25446">
        <w:rPr>
          <w:lang w:val="fr-FR"/>
        </w:rPr>
        <w:t>avertissement de franchissement de ligne (LDWS) satisfaisant aux prescriptions techniques du Règlement ONU n</w:t>
      </w:r>
      <w:r w:rsidRPr="00C25446">
        <w:rPr>
          <w:vertAlign w:val="superscript"/>
          <w:lang w:val="fr-FR"/>
        </w:rPr>
        <w:t>o</w:t>
      </w:r>
      <w:r w:rsidRPr="00C25446">
        <w:rPr>
          <w:lang w:val="fr-FR"/>
        </w:rPr>
        <w:t xml:space="preserve"> 130 </w:t>
      </w:r>
      <w:r w:rsidRPr="001B2DA4">
        <w:rPr>
          <w:lang w:val="fr-FR"/>
        </w:rPr>
        <w:t>dans sa version originale (série</w:t>
      </w:r>
      <w:r>
        <w:rPr>
          <w:lang w:val="fr-FR"/>
        </w:rPr>
        <w:t> </w:t>
      </w:r>
      <w:r>
        <w:rPr>
          <w:lang w:val="fr-FR"/>
        </w:rPr>
        <w:t>00</w:t>
      </w:r>
      <w:r w:rsidRPr="001B2DA4">
        <w:rPr>
          <w:lang w:val="fr-FR"/>
        </w:rPr>
        <w:t xml:space="preserve"> d</w:t>
      </w:r>
      <w:r>
        <w:rPr>
          <w:lang w:val="fr-FR"/>
        </w:rPr>
        <w:t>’</w:t>
      </w:r>
      <w:r w:rsidRPr="001B2DA4">
        <w:rPr>
          <w:lang w:val="fr-FR"/>
        </w:rPr>
        <w:t>amendements)</w:t>
      </w:r>
      <w:r w:rsidRPr="00C25446">
        <w:rPr>
          <w:lang w:val="fr-FR"/>
        </w:rPr>
        <w:t>. ».</w:t>
      </w:r>
    </w:p>
    <w:p w14:paraId="5BA1F487" w14:textId="77777777" w:rsidR="00B93E46" w:rsidRPr="005903E4" w:rsidRDefault="00B93E46" w:rsidP="00B93E46">
      <w:pPr>
        <w:pStyle w:val="SingleTxtG"/>
        <w:rPr>
          <w:i/>
          <w:lang w:val="fr-FR"/>
        </w:rPr>
      </w:pPr>
      <w:r>
        <w:rPr>
          <w:i/>
          <w:iCs/>
          <w:lang w:val="fr-FR"/>
        </w:rPr>
        <w:t>Annexe 8</w:t>
      </w:r>
    </w:p>
    <w:p w14:paraId="6F2ED61A" w14:textId="3562EE06" w:rsidR="00B93E46" w:rsidRPr="005903E4" w:rsidRDefault="00B93E46" w:rsidP="00B93E46">
      <w:pPr>
        <w:pStyle w:val="SingleTxtG"/>
        <w:rPr>
          <w:lang w:val="fr-FR"/>
        </w:rPr>
      </w:pPr>
      <w:r>
        <w:rPr>
          <w:i/>
          <w:iCs/>
          <w:lang w:val="fr-FR"/>
        </w:rPr>
        <w:t>Paragraphe</w:t>
      </w:r>
      <w:r>
        <w:rPr>
          <w:i/>
          <w:iCs/>
          <w:lang w:val="fr-FR"/>
        </w:rPr>
        <w:t> </w:t>
      </w:r>
      <w:r>
        <w:rPr>
          <w:i/>
          <w:iCs/>
          <w:lang w:val="fr-FR"/>
        </w:rPr>
        <w:t>2.1</w:t>
      </w:r>
      <w:r>
        <w:rPr>
          <w:lang w:val="fr-FR"/>
        </w:rPr>
        <w:t>, lire</w:t>
      </w:r>
      <w:r>
        <w:rPr>
          <w:lang w:val="fr-FR"/>
        </w:rPr>
        <w:t> </w:t>
      </w:r>
      <w:r>
        <w:rPr>
          <w:lang w:val="fr-FR"/>
        </w:rPr>
        <w:t>:</w:t>
      </w:r>
    </w:p>
    <w:p w14:paraId="72D89555" w14:textId="77777777" w:rsidR="00B93E46" w:rsidRPr="005903E4" w:rsidRDefault="00B93E46" w:rsidP="00B93E46">
      <w:pPr>
        <w:pStyle w:val="SingleTxtG"/>
        <w:ind w:left="2268" w:hanging="1134"/>
        <w:rPr>
          <w:lang w:val="fr-FR"/>
        </w:rPr>
      </w:pPr>
      <w:r>
        <w:rPr>
          <w:lang w:val="fr-FR"/>
        </w:rPr>
        <w:t>« 2.1</w:t>
      </w:r>
      <w:r>
        <w:rPr>
          <w:lang w:val="fr-FR"/>
        </w:rPr>
        <w:tab/>
        <w:t>Marques routières</w:t>
      </w:r>
    </w:p>
    <w:p w14:paraId="79E5E1AD" w14:textId="6D72CD46" w:rsidR="00B93E46" w:rsidRPr="00C25446" w:rsidRDefault="00B93E46" w:rsidP="00B93E46">
      <w:pPr>
        <w:pStyle w:val="SingleTxtG"/>
        <w:tabs>
          <w:tab w:val="left" w:pos="8505"/>
        </w:tabs>
        <w:ind w:left="2268" w:right="1133"/>
        <w:rPr>
          <w:lang w:val="fr-FR"/>
        </w:rPr>
      </w:pPr>
      <w:r>
        <w:rPr>
          <w:lang w:val="fr-FR"/>
        </w:rPr>
        <w:t xml:space="preserve">Les marques routières de la </w:t>
      </w:r>
      <w:r w:rsidRPr="00C25446">
        <w:rPr>
          <w:lang w:val="fr-FR"/>
        </w:rPr>
        <w:t>chaussée utilisée pour les essais doivent être conformes aux prescriptions de l</w:t>
      </w:r>
      <w:r>
        <w:rPr>
          <w:lang w:val="fr-FR"/>
        </w:rPr>
        <w:t>’</w:t>
      </w:r>
      <w:r w:rsidRPr="00C25446">
        <w:rPr>
          <w:lang w:val="fr-FR"/>
        </w:rPr>
        <w:t>annexe</w:t>
      </w:r>
      <w:r>
        <w:rPr>
          <w:lang w:val="fr-FR"/>
        </w:rPr>
        <w:t> </w:t>
      </w:r>
      <w:r w:rsidRPr="00C25446">
        <w:rPr>
          <w:lang w:val="fr-FR"/>
        </w:rPr>
        <w:t>3 du Règlement ONU n</w:t>
      </w:r>
      <w:r w:rsidRPr="00C25446">
        <w:rPr>
          <w:vertAlign w:val="superscript"/>
          <w:lang w:val="fr-FR"/>
        </w:rPr>
        <w:t>o</w:t>
      </w:r>
      <w:r w:rsidRPr="00C25446">
        <w:rPr>
          <w:lang w:val="fr-FR"/>
        </w:rPr>
        <w:t> 130</w:t>
      </w:r>
      <w:r w:rsidRPr="001B2DA4">
        <w:rPr>
          <w:lang w:val="fr-FR"/>
        </w:rPr>
        <w:t xml:space="preserve"> dans sa version originale (série</w:t>
      </w:r>
      <w:r>
        <w:rPr>
          <w:lang w:val="fr-FR"/>
        </w:rPr>
        <w:t> </w:t>
      </w:r>
      <w:r>
        <w:rPr>
          <w:lang w:val="fr-FR"/>
        </w:rPr>
        <w:t>00</w:t>
      </w:r>
      <w:r w:rsidRPr="001B2DA4">
        <w:rPr>
          <w:lang w:val="fr-FR"/>
        </w:rPr>
        <w:t xml:space="preserve"> d</w:t>
      </w:r>
      <w:r>
        <w:rPr>
          <w:lang w:val="fr-FR"/>
        </w:rPr>
        <w:t>’</w:t>
      </w:r>
      <w:r w:rsidRPr="001B2DA4">
        <w:rPr>
          <w:lang w:val="fr-FR"/>
        </w:rPr>
        <w:t>amendements)</w:t>
      </w:r>
      <w:r w:rsidRPr="00C25446">
        <w:rPr>
          <w:lang w:val="fr-FR"/>
        </w:rPr>
        <w:t>. Ces marques doivent être en bon état et d</w:t>
      </w:r>
      <w:r>
        <w:rPr>
          <w:lang w:val="fr-FR"/>
        </w:rPr>
        <w:t>’</w:t>
      </w:r>
      <w:r w:rsidRPr="00C25446">
        <w:rPr>
          <w:lang w:val="fr-FR"/>
        </w:rPr>
        <w:t>un matériau se conformant à la norme relative au marquage visible des voies. La configuration des marques utilisées pour les essais doit être consignée dans le procès-verbal d</w:t>
      </w:r>
      <w:r>
        <w:rPr>
          <w:lang w:val="fr-FR"/>
        </w:rPr>
        <w:t>’</w:t>
      </w:r>
      <w:r w:rsidRPr="00C25446">
        <w:rPr>
          <w:lang w:val="fr-FR"/>
        </w:rPr>
        <w:t>essai.</w:t>
      </w:r>
    </w:p>
    <w:p w14:paraId="030F972C" w14:textId="77777777" w:rsidR="00B93E46" w:rsidRPr="00C25446" w:rsidRDefault="00B93E46" w:rsidP="00B93E46">
      <w:pPr>
        <w:pStyle w:val="SingleTxtG"/>
        <w:tabs>
          <w:tab w:val="left" w:pos="8505"/>
        </w:tabs>
        <w:ind w:left="2268" w:right="1133"/>
        <w:rPr>
          <w:lang w:val="fr-FR"/>
        </w:rPr>
      </w:pPr>
      <w:r w:rsidRPr="00C25446">
        <w:rPr>
          <w:lang w:val="fr-FR"/>
        </w:rPr>
        <w:t>Pour les besoins des essais de la présente annexe, la largeur de la voie doit être au minimum de 3,5 m. À la discrétion du constructeur et avec l</w:t>
      </w:r>
      <w:r>
        <w:rPr>
          <w:lang w:val="fr-FR"/>
        </w:rPr>
        <w:t>’</w:t>
      </w:r>
      <w:r w:rsidRPr="00C25446">
        <w:rPr>
          <w:lang w:val="fr-FR"/>
        </w:rPr>
        <w:t>accord du service technique, une voie d</w:t>
      </w:r>
      <w:r>
        <w:rPr>
          <w:lang w:val="fr-FR"/>
        </w:rPr>
        <w:t>’</w:t>
      </w:r>
      <w:r w:rsidRPr="00C25446">
        <w:rPr>
          <w:lang w:val="fr-FR"/>
        </w:rPr>
        <w:t>une largeur inférieure à 3,5 m peut être utilisée si le bon fonctionnement du système sur des routes à voies plus larges peut être démontré.</w:t>
      </w:r>
    </w:p>
    <w:p w14:paraId="2D63C7ED" w14:textId="77777777" w:rsidR="00B93E46" w:rsidRDefault="00B93E46" w:rsidP="00B93E46">
      <w:pPr>
        <w:pStyle w:val="SingleTxtG"/>
        <w:tabs>
          <w:tab w:val="left" w:pos="8505"/>
        </w:tabs>
        <w:ind w:left="2268" w:right="1133"/>
        <w:rPr>
          <w:lang w:val="fr-FR"/>
        </w:rPr>
      </w:pPr>
      <w:r w:rsidRPr="00C25446">
        <w:rPr>
          <w:lang w:val="fr-FR"/>
        </w:rPr>
        <w:t>Les essais doivent être exécutés dans des conditions de visibilité qui assurent une conduite sûre à la vitesse d</w:t>
      </w:r>
      <w:r>
        <w:rPr>
          <w:lang w:val="fr-FR"/>
        </w:rPr>
        <w:t>’</w:t>
      </w:r>
      <w:r w:rsidRPr="00C25446">
        <w:rPr>
          <w:lang w:val="fr-FR"/>
        </w:rPr>
        <w:t>essai requise.</w:t>
      </w:r>
    </w:p>
    <w:p w14:paraId="46BA0781" w14:textId="0EE9025E" w:rsidR="00B93E46" w:rsidRDefault="00B93E46" w:rsidP="00B93E46">
      <w:pPr>
        <w:pStyle w:val="SingleTxtG"/>
        <w:tabs>
          <w:tab w:val="left" w:pos="8505"/>
        </w:tabs>
        <w:ind w:left="2268" w:right="1133"/>
        <w:rPr>
          <w:lang w:val="fr-FR"/>
        </w:rPr>
      </w:pPr>
      <w:r w:rsidRPr="00C25446">
        <w:rPr>
          <w:lang w:val="fr-FR"/>
        </w:rPr>
        <w:t>Le constructeur doit démontrer, documentation à l</w:t>
      </w:r>
      <w:r>
        <w:rPr>
          <w:lang w:val="fr-FR"/>
        </w:rPr>
        <w:t>’</w:t>
      </w:r>
      <w:r w:rsidRPr="00C25446">
        <w:rPr>
          <w:lang w:val="fr-FR"/>
        </w:rPr>
        <w:t>appui, la conformité avec toutes les autres marques routières qui figurent dans l</w:t>
      </w:r>
      <w:r>
        <w:rPr>
          <w:lang w:val="fr-FR"/>
        </w:rPr>
        <w:t>’</w:t>
      </w:r>
      <w:r w:rsidRPr="00C25446">
        <w:rPr>
          <w:lang w:val="fr-FR"/>
        </w:rPr>
        <w:t>annexe 3 du Règlement ONU n</w:t>
      </w:r>
      <w:r w:rsidRPr="00C25446">
        <w:rPr>
          <w:vertAlign w:val="superscript"/>
          <w:lang w:val="fr-FR"/>
        </w:rPr>
        <w:t>o</w:t>
      </w:r>
      <w:r w:rsidRPr="00C25446">
        <w:rPr>
          <w:lang w:val="fr-FR"/>
        </w:rPr>
        <w:t xml:space="preserve"> 130 </w:t>
      </w:r>
      <w:r w:rsidRPr="001B2DA4">
        <w:rPr>
          <w:lang w:val="fr-FR"/>
        </w:rPr>
        <w:t>dans sa version originale (série</w:t>
      </w:r>
      <w:r>
        <w:rPr>
          <w:lang w:val="fr-FR"/>
        </w:rPr>
        <w:t> </w:t>
      </w:r>
      <w:r>
        <w:rPr>
          <w:lang w:val="fr-FR"/>
        </w:rPr>
        <w:t>00</w:t>
      </w:r>
      <w:r w:rsidRPr="001B2DA4">
        <w:rPr>
          <w:lang w:val="fr-FR"/>
        </w:rPr>
        <w:t xml:space="preserve"> d</w:t>
      </w:r>
      <w:r>
        <w:rPr>
          <w:lang w:val="fr-FR"/>
        </w:rPr>
        <w:t>’</w:t>
      </w:r>
      <w:r w:rsidRPr="001B2DA4">
        <w:rPr>
          <w:lang w:val="fr-FR"/>
        </w:rPr>
        <w:t>amendements)</w:t>
      </w:r>
      <w:r w:rsidRPr="00C25446">
        <w:rPr>
          <w:lang w:val="fr-FR"/>
        </w:rPr>
        <w:t>. Tous les documents utilisés à cet effet doivent être jo</w:t>
      </w:r>
      <w:r>
        <w:rPr>
          <w:lang w:val="fr-FR"/>
        </w:rPr>
        <w:t>ints au procès-verbal d’essai. ».</w:t>
      </w:r>
    </w:p>
    <w:p w14:paraId="6B97219D" w14:textId="0C76EBD9" w:rsidR="00B93E46" w:rsidRPr="00B93E46" w:rsidRDefault="00B93E46" w:rsidP="00B93E4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93E46" w:rsidRPr="00B93E46" w:rsidSect="00B93E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787" w14:textId="77777777" w:rsidR="00C014A0" w:rsidRDefault="00C014A0" w:rsidP="00F95C08">
      <w:pPr>
        <w:spacing w:line="240" w:lineRule="auto"/>
      </w:pPr>
    </w:p>
  </w:endnote>
  <w:endnote w:type="continuationSeparator" w:id="0">
    <w:p w14:paraId="005C7A56" w14:textId="77777777" w:rsidR="00C014A0" w:rsidRPr="00AC3823" w:rsidRDefault="00C014A0" w:rsidP="00AC3823">
      <w:pPr>
        <w:pStyle w:val="Pieddepage"/>
      </w:pPr>
    </w:p>
  </w:endnote>
  <w:endnote w:type="continuationNotice" w:id="1">
    <w:p w14:paraId="5299C135" w14:textId="77777777" w:rsidR="00C014A0" w:rsidRDefault="00C01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6F76" w14:textId="7490AC89" w:rsidR="00B93E46" w:rsidRPr="00B93E46" w:rsidRDefault="00B93E46" w:rsidP="00B93E46">
    <w:pPr>
      <w:pStyle w:val="Pieddepage"/>
      <w:tabs>
        <w:tab w:val="right" w:pos="9638"/>
      </w:tabs>
    </w:pPr>
    <w:r w:rsidRPr="00B93E46">
      <w:rPr>
        <w:b/>
        <w:sz w:val="18"/>
      </w:rPr>
      <w:fldChar w:fldCharType="begin"/>
    </w:r>
    <w:r w:rsidRPr="00B93E46">
      <w:rPr>
        <w:b/>
        <w:sz w:val="18"/>
      </w:rPr>
      <w:instrText xml:space="preserve"> PAGE  \* MERGEFORMAT </w:instrText>
    </w:r>
    <w:r w:rsidRPr="00B93E46">
      <w:rPr>
        <w:b/>
        <w:sz w:val="18"/>
      </w:rPr>
      <w:fldChar w:fldCharType="separate"/>
    </w:r>
    <w:r w:rsidRPr="00B93E46">
      <w:rPr>
        <w:b/>
        <w:noProof/>
        <w:sz w:val="18"/>
      </w:rPr>
      <w:t>2</w:t>
    </w:r>
    <w:r w:rsidRPr="00B93E46">
      <w:rPr>
        <w:b/>
        <w:sz w:val="18"/>
      </w:rPr>
      <w:fldChar w:fldCharType="end"/>
    </w:r>
    <w:r>
      <w:rPr>
        <w:b/>
        <w:sz w:val="18"/>
      </w:rPr>
      <w:tab/>
    </w:r>
    <w:r>
      <w:t>GE.23-25800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9E5B" w14:textId="081D6E43" w:rsidR="00B93E46" w:rsidRPr="00B93E46" w:rsidRDefault="00B93E46" w:rsidP="00B93E46">
    <w:pPr>
      <w:pStyle w:val="Pieddepage"/>
      <w:tabs>
        <w:tab w:val="right" w:pos="9638"/>
      </w:tabs>
      <w:rPr>
        <w:b/>
        <w:sz w:val="18"/>
      </w:rPr>
    </w:pPr>
    <w:r>
      <w:t>GE.23-25800</w:t>
    </w:r>
    <w:r>
      <w:tab/>
    </w:r>
    <w:r w:rsidRPr="00B93E46">
      <w:rPr>
        <w:b/>
        <w:sz w:val="18"/>
      </w:rPr>
      <w:fldChar w:fldCharType="begin"/>
    </w:r>
    <w:r w:rsidRPr="00B93E46">
      <w:rPr>
        <w:b/>
        <w:sz w:val="18"/>
      </w:rPr>
      <w:instrText xml:space="preserve"> PAGE  \* MERGEFORMAT </w:instrText>
    </w:r>
    <w:r w:rsidRPr="00B93E46">
      <w:rPr>
        <w:b/>
        <w:sz w:val="18"/>
      </w:rPr>
      <w:fldChar w:fldCharType="separate"/>
    </w:r>
    <w:r w:rsidRPr="00B93E46">
      <w:rPr>
        <w:b/>
        <w:noProof/>
        <w:sz w:val="18"/>
      </w:rPr>
      <w:t>3</w:t>
    </w:r>
    <w:r w:rsidRPr="00B93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DEB" w14:textId="16280342" w:rsidR="007F20FA" w:rsidRPr="00B93E46" w:rsidRDefault="00B93E46" w:rsidP="00B93E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45B05A" wp14:editId="2DDAC7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23-25800  (F)</w:t>
    </w:r>
    <w:r>
      <w:rPr>
        <w:noProof/>
        <w:sz w:val="20"/>
      </w:rPr>
      <w:drawing>
        <wp:anchor distT="0" distB="0" distL="114300" distR="114300" simplePos="0" relativeHeight="251660288" behindDoc="0" locked="0" layoutInCell="1" allowOverlap="1" wp14:anchorId="1FDAD081" wp14:editId="2C96050E">
          <wp:simplePos x="0" y="0"/>
          <wp:positionH relativeFrom="margin">
            <wp:posOffset>5489575</wp:posOffset>
          </wp:positionH>
          <wp:positionV relativeFrom="margin">
            <wp:posOffset>8891905</wp:posOffset>
          </wp:positionV>
          <wp:extent cx="638175" cy="638175"/>
          <wp:effectExtent l="0" t="0" r="9525" b="9525"/>
          <wp:wrapNone/>
          <wp:docPr id="11288966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11B5" w14:textId="77777777" w:rsidR="00C014A0" w:rsidRPr="00AC3823" w:rsidRDefault="00C014A0" w:rsidP="00AC3823">
      <w:pPr>
        <w:pStyle w:val="Pieddepage"/>
        <w:tabs>
          <w:tab w:val="right" w:pos="2155"/>
        </w:tabs>
        <w:spacing w:after="80" w:line="240" w:lineRule="atLeast"/>
        <w:ind w:left="680"/>
        <w:rPr>
          <w:u w:val="single"/>
        </w:rPr>
      </w:pPr>
      <w:r>
        <w:rPr>
          <w:u w:val="single"/>
        </w:rPr>
        <w:tab/>
      </w:r>
    </w:p>
  </w:footnote>
  <w:footnote w:type="continuationSeparator" w:id="0">
    <w:p w14:paraId="20BAA0E3" w14:textId="77777777" w:rsidR="00C014A0" w:rsidRPr="00AC3823" w:rsidRDefault="00C014A0" w:rsidP="00AC3823">
      <w:pPr>
        <w:pStyle w:val="Pieddepage"/>
        <w:tabs>
          <w:tab w:val="right" w:pos="2155"/>
        </w:tabs>
        <w:spacing w:after="80" w:line="240" w:lineRule="atLeast"/>
        <w:ind w:left="680"/>
        <w:rPr>
          <w:u w:val="single"/>
        </w:rPr>
      </w:pPr>
      <w:r>
        <w:rPr>
          <w:u w:val="single"/>
        </w:rPr>
        <w:tab/>
      </w:r>
    </w:p>
  </w:footnote>
  <w:footnote w:type="continuationNotice" w:id="1">
    <w:p w14:paraId="4850C3D0" w14:textId="77777777" w:rsidR="00C014A0" w:rsidRPr="00AC3823" w:rsidRDefault="00C014A0">
      <w:pPr>
        <w:spacing w:line="240" w:lineRule="auto"/>
        <w:rPr>
          <w:sz w:val="2"/>
          <w:szCs w:val="2"/>
        </w:rPr>
      </w:pPr>
    </w:p>
  </w:footnote>
  <w:footnote w:id="2">
    <w:p w14:paraId="41D7F91D" w14:textId="4C9F6817" w:rsidR="00B93E46" w:rsidRPr="00B93E46" w:rsidRDefault="00B93E46">
      <w:pPr>
        <w:pStyle w:val="Notedebasdepage"/>
      </w:pPr>
      <w:r>
        <w:rPr>
          <w:rStyle w:val="Appelnotedebasdep"/>
        </w:rPr>
        <w:tab/>
      </w:r>
      <w:r w:rsidRPr="00B93E4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w:t>
      </w:r>
      <w:r>
        <w:rPr>
          <w:lang w:val="fr-FR"/>
        </w:rPr>
        <w:t> </w:t>
      </w:r>
      <w:r>
        <w:rPr>
          <w:lang w:val="fr-FR"/>
        </w:rPr>
        <w:t>20), par.</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0EB7" w14:textId="5BCA6BA7" w:rsidR="00B93E46" w:rsidRPr="00B93E46" w:rsidRDefault="00B93E46">
    <w:pPr>
      <w:pStyle w:val="En-tte"/>
    </w:pPr>
    <w:fldSimple w:instr=" TITLE  \* MERGEFORMAT ">
      <w:r>
        <w:t>ECE/TRANS/WP.29/2024/8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3B3" w14:textId="7FD20446" w:rsidR="00B93E46" w:rsidRPr="00B93E46" w:rsidRDefault="00B93E46" w:rsidP="00B93E46">
    <w:pPr>
      <w:pStyle w:val="En-tte"/>
      <w:jc w:val="right"/>
    </w:pPr>
    <w:fldSimple w:instr=" TITLE  \* MERGEFORMAT ">
      <w:r>
        <w:t>ECE/TRANS/WP.29/2024/8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60454033">
    <w:abstractNumId w:val="12"/>
  </w:num>
  <w:num w:numId="2" w16cid:durableId="930355087">
    <w:abstractNumId w:val="11"/>
  </w:num>
  <w:num w:numId="3" w16cid:durableId="149372629">
    <w:abstractNumId w:val="10"/>
  </w:num>
  <w:num w:numId="4" w16cid:durableId="1888641798">
    <w:abstractNumId w:val="8"/>
  </w:num>
  <w:num w:numId="5" w16cid:durableId="1504083479">
    <w:abstractNumId w:val="3"/>
  </w:num>
  <w:num w:numId="6" w16cid:durableId="1566380424">
    <w:abstractNumId w:val="2"/>
  </w:num>
  <w:num w:numId="7" w16cid:durableId="1600217751">
    <w:abstractNumId w:val="1"/>
  </w:num>
  <w:num w:numId="8" w16cid:durableId="2069498589">
    <w:abstractNumId w:val="0"/>
  </w:num>
  <w:num w:numId="9" w16cid:durableId="2082287461">
    <w:abstractNumId w:val="9"/>
  </w:num>
  <w:num w:numId="10" w16cid:durableId="595137488">
    <w:abstractNumId w:val="7"/>
  </w:num>
  <w:num w:numId="11" w16cid:durableId="722026366">
    <w:abstractNumId w:val="6"/>
  </w:num>
  <w:num w:numId="12" w16cid:durableId="1203638522">
    <w:abstractNumId w:val="5"/>
  </w:num>
  <w:num w:numId="13" w16cid:durableId="845511815">
    <w:abstractNumId w:val="4"/>
  </w:num>
  <w:num w:numId="14" w16cid:durableId="1195926684">
    <w:abstractNumId w:val="12"/>
  </w:num>
  <w:num w:numId="15" w16cid:durableId="1739208869">
    <w:abstractNumId w:val="11"/>
  </w:num>
  <w:num w:numId="16" w16cid:durableId="1109397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0"/>
    <w:rsid w:val="00017F94"/>
    <w:rsid w:val="00023842"/>
    <w:rsid w:val="000334F9"/>
    <w:rsid w:val="00045FEB"/>
    <w:rsid w:val="0007796D"/>
    <w:rsid w:val="000B7790"/>
    <w:rsid w:val="00111F2F"/>
    <w:rsid w:val="0014365E"/>
    <w:rsid w:val="00143C66"/>
    <w:rsid w:val="00176178"/>
    <w:rsid w:val="001F525A"/>
    <w:rsid w:val="00201148"/>
    <w:rsid w:val="00223272"/>
    <w:rsid w:val="002450D5"/>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3E46"/>
    <w:rsid w:val="00BA0CA9"/>
    <w:rsid w:val="00C014A0"/>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1BB0"/>
  <w15:docId w15:val="{A7A8D685-9744-4B2E-99DE-45EB2621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B93E46"/>
    <w:rPr>
      <w:rFonts w:ascii="Times New Roman" w:eastAsiaTheme="minorHAnsi" w:hAnsi="Times New Roman" w:cs="Times New Roman"/>
      <w:b/>
      <w:sz w:val="28"/>
      <w:szCs w:val="20"/>
      <w:lang w:eastAsia="en-US"/>
    </w:rPr>
  </w:style>
  <w:style w:type="character" w:customStyle="1" w:styleId="H1GChar">
    <w:name w:val="_ H_1_G Char"/>
    <w:link w:val="H1G"/>
    <w:rsid w:val="00B93E4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93E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496</Words>
  <Characters>2775</Characters>
  <Application>Microsoft Office Word</Application>
  <DocSecurity>0</DocSecurity>
  <Lines>65</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dc:title>
  <dc:subject/>
  <dc:creator>Marie DESCHAMPS</dc:creator>
  <cp:keywords/>
  <cp:lastModifiedBy>Marie Deschamps</cp:lastModifiedBy>
  <cp:revision>2</cp:revision>
  <cp:lastPrinted>2014-05-14T10:59:00Z</cp:lastPrinted>
  <dcterms:created xsi:type="dcterms:W3CDTF">2024-01-10T08:17:00Z</dcterms:created>
  <dcterms:modified xsi:type="dcterms:W3CDTF">2024-01-10T08:17:00Z</dcterms:modified>
</cp:coreProperties>
</file>