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9452ABB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F2F5519" w14:textId="77777777" w:rsidR="002D5AAC" w:rsidRDefault="002D5AAC" w:rsidP="0047110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5E07A3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FBDA3E3" w14:textId="3F513FC4" w:rsidR="002D5AAC" w:rsidRDefault="00471104" w:rsidP="00471104">
            <w:pPr>
              <w:jc w:val="right"/>
            </w:pPr>
            <w:r w:rsidRPr="00471104">
              <w:rPr>
                <w:sz w:val="40"/>
              </w:rPr>
              <w:t>ECE</w:t>
            </w:r>
            <w:r>
              <w:t>/TRANS/WP.29/2024/15</w:t>
            </w:r>
          </w:p>
        </w:tc>
      </w:tr>
      <w:tr w:rsidR="002D5AAC" w14:paraId="590A011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D853E18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9C5EEF7" wp14:editId="396D619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BAC09B8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93F9BCC" w14:textId="77777777" w:rsidR="002D5AAC" w:rsidRDefault="0047110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AFC6A1B" w14:textId="77777777" w:rsidR="00471104" w:rsidRDefault="00471104" w:rsidP="0047110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21 December 2023</w:t>
            </w:r>
          </w:p>
          <w:p w14:paraId="410071C8" w14:textId="77777777" w:rsidR="00471104" w:rsidRDefault="00471104" w:rsidP="0047110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1FD9A01" w14:textId="020E5C5C" w:rsidR="00471104" w:rsidRPr="008D53B6" w:rsidRDefault="00471104" w:rsidP="0047110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FD98CD3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F2B88F7" w14:textId="77777777" w:rsidR="00471104" w:rsidRPr="002D1ADC" w:rsidRDefault="00471104" w:rsidP="00471104">
      <w:pPr>
        <w:spacing w:before="120"/>
        <w:rPr>
          <w:sz w:val="28"/>
          <w:szCs w:val="28"/>
        </w:rPr>
      </w:pPr>
      <w:r w:rsidRPr="002D1ADC">
        <w:rPr>
          <w:sz w:val="28"/>
          <w:szCs w:val="28"/>
        </w:rPr>
        <w:t>Комитет по внутреннему транспорту</w:t>
      </w:r>
    </w:p>
    <w:p w14:paraId="1958B00E" w14:textId="15D8DE13" w:rsidR="00471104" w:rsidRPr="00471104" w:rsidRDefault="00471104" w:rsidP="00471104">
      <w:pPr>
        <w:spacing w:before="120"/>
        <w:rPr>
          <w:b/>
          <w:bCs/>
          <w:sz w:val="24"/>
          <w:szCs w:val="24"/>
        </w:rPr>
      </w:pPr>
      <w:r w:rsidRPr="00471104">
        <w:rPr>
          <w:b/>
          <w:bCs/>
          <w:sz w:val="24"/>
          <w:szCs w:val="24"/>
        </w:rPr>
        <w:t>Всемирный форум для согласования</w:t>
      </w:r>
      <w:r>
        <w:rPr>
          <w:b/>
          <w:bCs/>
          <w:sz w:val="24"/>
          <w:szCs w:val="24"/>
        </w:rPr>
        <w:br/>
      </w:r>
      <w:r w:rsidRPr="00471104">
        <w:rPr>
          <w:b/>
          <w:bCs/>
          <w:sz w:val="24"/>
          <w:szCs w:val="24"/>
        </w:rPr>
        <w:t>правил в области транспортных средств</w:t>
      </w:r>
    </w:p>
    <w:p w14:paraId="7A66D5E2" w14:textId="77777777" w:rsidR="00471104" w:rsidRPr="002D1ADC" w:rsidRDefault="00471104" w:rsidP="00471104">
      <w:pPr>
        <w:spacing w:before="120"/>
        <w:rPr>
          <w:b/>
          <w:bCs/>
        </w:rPr>
      </w:pPr>
      <w:r w:rsidRPr="002D1ADC">
        <w:rPr>
          <w:b/>
          <w:bCs/>
        </w:rPr>
        <w:t>Сто девяносто вторая сессия</w:t>
      </w:r>
    </w:p>
    <w:p w14:paraId="56284645" w14:textId="77777777" w:rsidR="00471104" w:rsidRPr="002D1ADC" w:rsidRDefault="00471104" w:rsidP="00471104">
      <w:r>
        <w:t>Женева, 5–8  марта 2024 года</w:t>
      </w:r>
    </w:p>
    <w:p w14:paraId="621CB8FB" w14:textId="77777777" w:rsidR="00471104" w:rsidRPr="002D1ADC" w:rsidRDefault="00471104" w:rsidP="00471104">
      <w:r>
        <w:t>Пункт 4.8.5 предварительной повестки дня</w:t>
      </w:r>
    </w:p>
    <w:p w14:paraId="02F14EF4" w14:textId="77777777" w:rsidR="00471104" w:rsidRPr="002D1ADC" w:rsidRDefault="00471104" w:rsidP="00471104">
      <w:pPr>
        <w:rPr>
          <w:b/>
        </w:rPr>
      </w:pPr>
      <w:r>
        <w:rPr>
          <w:b/>
          <w:bCs/>
        </w:rPr>
        <w:t>Соглашение 1958 года:</w:t>
      </w:r>
    </w:p>
    <w:p w14:paraId="7E6E8AFA" w14:textId="77777777" w:rsidR="00471104" w:rsidRPr="002D1ADC" w:rsidRDefault="00471104" w:rsidP="00471104">
      <w:pPr>
        <w:rPr>
          <w:b/>
        </w:rPr>
      </w:pPr>
      <w:r>
        <w:rPr>
          <w:b/>
          <w:bCs/>
        </w:rPr>
        <w:t>Рассмотрение проектов поправок к существующим</w:t>
      </w:r>
    </w:p>
    <w:p w14:paraId="71D69CB2" w14:textId="77777777" w:rsidR="00471104" w:rsidRPr="002D1ADC" w:rsidRDefault="00471104" w:rsidP="00471104">
      <w:pPr>
        <w:rPr>
          <w:b/>
          <w:bCs/>
        </w:rPr>
      </w:pPr>
      <w:r>
        <w:rPr>
          <w:b/>
          <w:bCs/>
        </w:rPr>
        <w:t>правилам ООН, представленных GRSG</w:t>
      </w:r>
    </w:p>
    <w:p w14:paraId="51463D97" w14:textId="02C5DC94" w:rsidR="00471104" w:rsidRPr="002D1ADC" w:rsidRDefault="00471104" w:rsidP="00471104">
      <w:pPr>
        <w:pStyle w:val="HChG"/>
        <w:ind w:left="1124" w:right="1138" w:firstLine="0"/>
      </w:pPr>
      <w:r>
        <w:rPr>
          <w:bCs/>
        </w:rPr>
        <w:t>Предложение по поправкам серии 03 к Правилам № 55 ООН (механические сцепные устройства)</w:t>
      </w:r>
    </w:p>
    <w:p w14:paraId="0EB5BD79" w14:textId="7BF7F4D9" w:rsidR="00471104" w:rsidRPr="002D1ADC" w:rsidRDefault="00471104" w:rsidP="00471104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Рабочей группой по общим предписаниям, касающимся безопасности</w:t>
      </w:r>
      <w:r w:rsidRPr="00471104">
        <w:rPr>
          <w:b w:val="0"/>
          <w:bCs/>
          <w:sz w:val="18"/>
          <w:szCs w:val="18"/>
        </w:rPr>
        <w:t>*</w:t>
      </w:r>
    </w:p>
    <w:p w14:paraId="6D3288D8" w14:textId="77777777" w:rsidR="00471104" w:rsidRPr="002D1ADC" w:rsidRDefault="00471104" w:rsidP="00471104">
      <w:pPr>
        <w:pStyle w:val="SingleTxtG"/>
        <w:ind w:firstLine="567"/>
      </w:pPr>
      <w:r>
        <w:footnoteReference w:customMarkFollows="1" w:id="1"/>
        <w:t>Воспроизведенный ниже текст был принят Рабочей группой по общим предписаниям, касающимся безопасности (GRSG), на ее сто двадцать шестой сессии (ECE/TRANS/WP.29/GRSG/105, п. 17). В его основу положен документ ECE/TRANS/WP.29/GRSP/2023/18 с поправками, содержащимися в приложении VI к докладу. Этот текст представлен Всемирному форуму для согласования правил в области транспортных средств (WP.29) и Административному комитету (AC.1) для рассмотрения на их сессиях в марте 2024 года.</w:t>
      </w:r>
      <w:r w:rsidRPr="002D1ADC">
        <w:br w:type="page"/>
      </w:r>
    </w:p>
    <w:p w14:paraId="46B8C805" w14:textId="77777777" w:rsidR="00471104" w:rsidRPr="002D1ADC" w:rsidRDefault="00471104" w:rsidP="00471104">
      <w:pPr>
        <w:spacing w:after="120" w:line="240" w:lineRule="auto"/>
        <w:ind w:left="567" w:firstLine="567"/>
      </w:pPr>
      <w:r>
        <w:rPr>
          <w:i/>
          <w:iCs/>
        </w:rPr>
        <w:lastRenderedPageBreak/>
        <w:t>Включить новые пункты 13.6–13.10</w:t>
      </w:r>
      <w:r>
        <w:t xml:space="preserve"> следующего содержания:</w:t>
      </w:r>
    </w:p>
    <w:p w14:paraId="39DE43E7" w14:textId="014D0EED" w:rsidR="00471104" w:rsidRPr="002D1ADC" w:rsidRDefault="00471104" w:rsidP="00471104">
      <w:pPr>
        <w:pStyle w:val="para"/>
        <w:rPr>
          <w:lang w:val="ru-RU"/>
        </w:rPr>
      </w:pPr>
      <w:r>
        <w:rPr>
          <w:lang w:val="ru-RU"/>
        </w:rPr>
        <w:t>«13.6</w:t>
      </w:r>
      <w:r>
        <w:rPr>
          <w:lang w:val="ru-RU"/>
        </w:rPr>
        <w:tab/>
        <w:t>Начиная с официальной даты вступления в силу поправок серии 03 ни</w:t>
      </w:r>
      <w:r w:rsidRPr="00D560E7">
        <w:rPr>
          <w:lang w:val="en-US"/>
        </w:rPr>
        <w:t> </w:t>
      </w:r>
      <w:r>
        <w:rPr>
          <w:lang w:val="ru-RU"/>
        </w:rPr>
        <w:t>одна из Договаривающихся сторон, применяющих настоящие Правила, не отказывает в предоставлении или признании официальных утверждений типа на основании настоящих Правил с внесенными в них поправками серии 03.</w:t>
      </w:r>
    </w:p>
    <w:p w14:paraId="1EDFD7D3" w14:textId="77777777" w:rsidR="00471104" w:rsidRPr="002D1ADC" w:rsidRDefault="00471104" w:rsidP="00471104">
      <w:pPr>
        <w:pStyle w:val="para"/>
        <w:rPr>
          <w:lang w:val="ru-RU"/>
        </w:rPr>
      </w:pPr>
      <w:r>
        <w:rPr>
          <w:lang w:val="ru-RU"/>
        </w:rPr>
        <w:t>13.7</w:t>
      </w:r>
      <w:r>
        <w:rPr>
          <w:lang w:val="ru-RU"/>
        </w:rPr>
        <w:tab/>
        <w:t>Начиная с 1 сентября 2025 года Договаривающиеся стороны, применяющие настоящие Правила, не обязаны признавать официальные утверждения типа, предоставленные на основании предыдущих серий поправок к настоящим Правилам.</w:t>
      </w:r>
    </w:p>
    <w:p w14:paraId="0C678A81" w14:textId="77777777" w:rsidR="00471104" w:rsidRPr="002D1ADC" w:rsidRDefault="00471104" w:rsidP="00471104">
      <w:pPr>
        <w:pStyle w:val="para"/>
        <w:rPr>
          <w:lang w:val="ru-RU"/>
        </w:rPr>
      </w:pPr>
      <w:r>
        <w:rPr>
          <w:lang w:val="ru-RU"/>
        </w:rPr>
        <w:t>13.8</w:t>
      </w:r>
      <w:r>
        <w:rPr>
          <w:lang w:val="ru-RU"/>
        </w:rPr>
        <w:tab/>
        <w:t>Независимо от положений пункта 13.7 Договаривающиеся стороны, применяющие настоящие Правила, продолжают признавать официальные утверждения типа механических сцепных устройств и их элементов, предоставленные на основании поправок предыдущих серий к настоящим Правилам.</w:t>
      </w:r>
    </w:p>
    <w:p w14:paraId="7B3929F6" w14:textId="77777777" w:rsidR="00471104" w:rsidRPr="002D1ADC" w:rsidRDefault="00471104" w:rsidP="00471104">
      <w:pPr>
        <w:pStyle w:val="para"/>
        <w:rPr>
          <w:lang w:val="ru-RU"/>
        </w:rPr>
      </w:pPr>
      <w:r>
        <w:rPr>
          <w:lang w:val="ru-RU"/>
        </w:rPr>
        <w:t>13.9</w:t>
      </w:r>
      <w:r>
        <w:rPr>
          <w:lang w:val="ru-RU"/>
        </w:rPr>
        <w:tab/>
        <w:t>Независимо от положений пункта 13.7 Договаривающиеся стороны, применяющие настоящие Правила, продолжают признавать официальные утверждения типа, предоставленные на основании поправок предыдущих серий к настоящим Правилам в отношении транспортных средств, которые не затронуты изменениями, внесенными на основании поправок серии 03.</w:t>
      </w:r>
    </w:p>
    <w:p w14:paraId="5B0BBDEC" w14:textId="343B4936" w:rsidR="00471104" w:rsidRPr="002D1ADC" w:rsidRDefault="00471104" w:rsidP="00471104">
      <w:pPr>
        <w:pStyle w:val="para"/>
        <w:rPr>
          <w:lang w:val="ru-RU"/>
        </w:rPr>
      </w:pPr>
      <w:r>
        <w:rPr>
          <w:lang w:val="ru-RU"/>
        </w:rPr>
        <w:t>13.10</w:t>
      </w:r>
      <w:r>
        <w:rPr>
          <w:lang w:val="ru-RU"/>
        </w:rPr>
        <w:tab/>
        <w:t>Договаривающиеся стороны, применяющие настоящие Правила, не</w:t>
      </w:r>
      <w:r w:rsidRPr="00D560E7">
        <w:rPr>
          <w:lang w:val="en-US"/>
        </w:rPr>
        <w:t> </w:t>
      </w:r>
      <w:r>
        <w:rPr>
          <w:lang w:val="ru-RU"/>
        </w:rPr>
        <w:t>отказывают в предоставлении или распространении официальных утверждений типа на основании какой-либо предыдущей серии поправок к настоящим Правилам».</w:t>
      </w:r>
    </w:p>
    <w:p w14:paraId="6C81F4CD" w14:textId="77777777" w:rsidR="00471104" w:rsidRPr="002D1ADC" w:rsidRDefault="00471104" w:rsidP="00471104">
      <w:pPr>
        <w:pStyle w:val="para"/>
        <w:spacing w:before="240"/>
        <w:rPr>
          <w:bCs/>
          <w:i/>
          <w:iCs/>
          <w:lang w:val="ru-RU"/>
        </w:rPr>
      </w:pPr>
      <w:r>
        <w:rPr>
          <w:i/>
          <w:iCs/>
          <w:lang w:val="ru-RU"/>
        </w:rPr>
        <w:t>Приложение 3</w:t>
      </w:r>
      <w:r>
        <w:rPr>
          <w:lang w:val="ru-RU"/>
        </w:rPr>
        <w:t xml:space="preserve"> изменить следующим образом:</w:t>
      </w:r>
    </w:p>
    <w:p w14:paraId="50995628" w14:textId="77777777" w:rsidR="00471104" w:rsidRPr="002D1ADC" w:rsidRDefault="00471104" w:rsidP="00471104">
      <w:pPr>
        <w:pStyle w:val="HChG"/>
      </w:pPr>
      <w:bookmarkStart w:id="0" w:name="_Toc401757969"/>
      <w:r>
        <w:rPr>
          <w:bCs/>
        </w:rPr>
        <w:t>«Приложение 3</w:t>
      </w:r>
      <w:bookmarkEnd w:id="0"/>
    </w:p>
    <w:p w14:paraId="258B15C6" w14:textId="77777777" w:rsidR="00471104" w:rsidRDefault="00471104" w:rsidP="00471104">
      <w:pPr>
        <w:pStyle w:val="HChG"/>
      </w:pPr>
      <w:r>
        <w:tab/>
      </w:r>
      <w:r>
        <w:tab/>
      </w:r>
      <w:r>
        <w:rPr>
          <w:bCs/>
        </w:rPr>
        <w:t>Пример схемы знака официального утверждения</w:t>
      </w:r>
      <w:bookmarkStart w:id="1" w:name="_Toc401757970"/>
      <w:bookmarkEnd w:id="1"/>
    </w:p>
    <w:p w14:paraId="193AF157" w14:textId="77777777" w:rsidR="00471104" w:rsidRDefault="00471104" w:rsidP="00471104">
      <w:pPr>
        <w:widowControl w:val="0"/>
        <w:autoSpaceDE w:val="0"/>
        <w:autoSpaceDN w:val="0"/>
        <w:adjustRightInd w:val="0"/>
        <w:spacing w:line="240" w:lineRule="auto"/>
        <w:ind w:left="1134" w:right="-20"/>
        <w:rPr>
          <w:lang w:eastAsia="en-GB"/>
        </w:rPr>
      </w:pPr>
      <w:r>
        <w:rPr>
          <w:noProof/>
          <w:lang w:eastAsia="en-GB"/>
        </w:rPr>
        <w:drawing>
          <wp:inline distT="0" distB="0" distL="0" distR="0" wp14:anchorId="05671E0C" wp14:editId="5FF85965">
            <wp:extent cx="5067300" cy="2190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961D6" w14:textId="77777777" w:rsidR="00471104" w:rsidRPr="002D1ADC" w:rsidRDefault="00471104" w:rsidP="00471104">
      <w:pPr>
        <w:widowControl w:val="0"/>
        <w:autoSpaceDE w:val="0"/>
        <w:autoSpaceDN w:val="0"/>
        <w:adjustRightInd w:val="0"/>
        <w:spacing w:before="41" w:line="240" w:lineRule="auto"/>
        <w:ind w:right="1127"/>
        <w:jc w:val="right"/>
      </w:pPr>
      <w:r>
        <w:t>a = 8 мм мин.</w:t>
      </w:r>
    </w:p>
    <w:p w14:paraId="6B3B104D" w14:textId="77777777" w:rsidR="00471104" w:rsidRPr="002D1ADC" w:rsidRDefault="00471104" w:rsidP="00471104">
      <w:pPr>
        <w:widowControl w:val="0"/>
        <w:autoSpaceDE w:val="0"/>
        <w:autoSpaceDN w:val="0"/>
        <w:adjustRightInd w:val="0"/>
        <w:spacing w:line="200" w:lineRule="exact"/>
        <w:rPr>
          <w:lang w:eastAsia="en-GB"/>
        </w:rPr>
      </w:pPr>
    </w:p>
    <w:p w14:paraId="53ED57B4" w14:textId="77777777" w:rsidR="00471104" w:rsidRDefault="00471104" w:rsidP="00471104">
      <w:pPr>
        <w:pStyle w:val="SingleTxtG"/>
        <w:ind w:firstLine="567"/>
      </w:pPr>
      <w:r>
        <w:t>Механическое сцепное устройство или его элемент либо транспортное средство, на котором проставлен приведенный выше знак официального утверждения, является устройством или его элементом, официально утвержденным в Нидерландах (E4) под номером официального утверждения 2439, и соответствует предписаниям поправок серии 03 к настоящим Правилам.</w:t>
      </w:r>
    </w:p>
    <w:p w14:paraId="534A6670" w14:textId="77777777" w:rsidR="00471104" w:rsidRPr="002D1ADC" w:rsidRDefault="00471104" w:rsidP="00471104">
      <w:pPr>
        <w:pStyle w:val="SingleTxtG"/>
        <w:ind w:firstLine="567"/>
        <w:rPr>
          <w:i/>
        </w:rPr>
      </w:pPr>
      <w:r>
        <w:t>...»</w:t>
      </w:r>
    </w:p>
    <w:p w14:paraId="6848AC8E" w14:textId="77777777" w:rsidR="00471104" w:rsidRPr="002D1ADC" w:rsidRDefault="00471104" w:rsidP="00471104">
      <w:pPr>
        <w:pStyle w:val="SingleTxtG"/>
        <w:rPr>
          <w:rFonts w:eastAsia="Malgun Gothic"/>
        </w:rPr>
      </w:pPr>
      <w:r>
        <w:rPr>
          <w:i/>
          <w:iCs/>
        </w:rPr>
        <w:lastRenderedPageBreak/>
        <w:t>Приложение 7, пункты 1.4–1.4.3</w:t>
      </w:r>
      <w:r>
        <w:t xml:space="preserve"> изменить следующим образом:</w:t>
      </w:r>
    </w:p>
    <w:p w14:paraId="4710A392" w14:textId="77777777" w:rsidR="00471104" w:rsidRPr="002D1ADC" w:rsidRDefault="00471104" w:rsidP="00471104">
      <w:pPr>
        <w:pStyle w:val="para"/>
        <w:rPr>
          <w:lang w:val="ru-RU"/>
        </w:rPr>
      </w:pPr>
      <w:r>
        <w:rPr>
          <w:lang w:val="ru-RU"/>
        </w:rPr>
        <w:t>«1.4</w:t>
      </w:r>
      <w:r>
        <w:rPr>
          <w:lang w:val="ru-RU"/>
        </w:rPr>
        <w:tab/>
        <w:t>Крепление сцепных устройств и сцепных тяг на прицепах</w:t>
      </w:r>
    </w:p>
    <w:p w14:paraId="645FE5AA" w14:textId="77777777" w:rsidR="00471104" w:rsidRPr="002D1ADC" w:rsidRDefault="00471104" w:rsidP="00471104">
      <w:pPr>
        <w:pStyle w:val="para"/>
        <w:rPr>
          <w:lang w:val="ru-RU"/>
        </w:rPr>
      </w:pPr>
      <w:r>
        <w:rPr>
          <w:lang w:val="ru-RU"/>
        </w:rPr>
        <w:t>1.4.1</w:t>
      </w:r>
      <w:r>
        <w:rPr>
          <w:lang w:val="ru-RU"/>
        </w:rPr>
        <w:tab/>
        <w:t>Сцепные тяги прицепов с центрально расположенной осью должны иметь опорное приспособление, регулируемое по высоте, если масса, приходящаяся на сцепное устройство прицепа, превышает 50 кг в условиях равномерной загрузки прицепа до его максимальной технически допустимой массы.</w:t>
      </w:r>
    </w:p>
    <w:p w14:paraId="4DFA8B7D" w14:textId="77777777" w:rsidR="00471104" w:rsidRPr="002D1ADC" w:rsidRDefault="00471104" w:rsidP="00471104">
      <w:pPr>
        <w:pStyle w:val="para"/>
        <w:ind w:firstLine="0"/>
        <w:rPr>
          <w:lang w:val="ru-RU"/>
        </w:rPr>
      </w:pPr>
      <w:r>
        <w:rPr>
          <w:lang w:val="ru-RU"/>
        </w:rPr>
        <w:t>Это требование не распространяется на прицепы, предназначенные для выполнения специальных операций, когда они отделяются как правило только в мастерской (например, сцепные устройства класса T) или когда погрузка либо разгрузка производится в специально предназначенных для этого рабочих зонах.</w:t>
      </w:r>
    </w:p>
    <w:p w14:paraId="1FC6275C" w14:textId="77777777" w:rsidR="00471104" w:rsidRPr="002D1ADC" w:rsidRDefault="00471104" w:rsidP="00471104">
      <w:pPr>
        <w:pStyle w:val="para"/>
        <w:rPr>
          <w:lang w:val="ru-RU"/>
        </w:rPr>
      </w:pPr>
      <w:r>
        <w:rPr>
          <w:lang w:val="ru-RU"/>
        </w:rPr>
        <w:t>1.4.2</w:t>
      </w:r>
      <w:r>
        <w:rPr>
          <w:lang w:val="ru-RU"/>
        </w:rPr>
        <w:tab/>
        <w:t>При креплении сцепного устройства и сцепной тяги к прицепам с центрально расположенной осью, максимальная масса C которых превышает 3,5 т и которые имеют более одной оси, прицепы должны оснащаться приспособлением, позволяющим разделить нагрузку между осями.</w:t>
      </w:r>
    </w:p>
    <w:p w14:paraId="0FE0ABF2" w14:textId="77777777" w:rsidR="00471104" w:rsidRPr="00982193" w:rsidRDefault="00471104" w:rsidP="00471104">
      <w:pPr>
        <w:pStyle w:val="para"/>
      </w:pPr>
      <w:r>
        <w:rPr>
          <w:lang w:val="ru-RU"/>
        </w:rPr>
        <w:t>1.4.3</w:t>
      </w:r>
      <w:r>
        <w:rPr>
          <w:lang w:val="ru-RU"/>
        </w:rPr>
        <w:tab/>
        <w:t>Шарнирные сцепные тяги не должны касаться грунта. Они не должны находиться на высоте менее 200 мм от грунта после их выведения из горизонтального положения. См. также пункты 5.3 и 5.4 приложения 5».</w:t>
      </w:r>
    </w:p>
    <w:p w14:paraId="5BCDD2E3" w14:textId="2B853162" w:rsidR="00E12C5F" w:rsidRPr="00471104" w:rsidRDefault="00471104" w:rsidP="00471104">
      <w:pPr>
        <w:spacing w:before="240"/>
        <w:ind w:right="1134"/>
        <w:jc w:val="center"/>
        <w:rPr>
          <w:u w:val="single"/>
        </w:rPr>
      </w:pPr>
      <w:r w:rsidRPr="00687A45">
        <w:rPr>
          <w:u w:val="single"/>
        </w:rPr>
        <w:tab/>
      </w:r>
      <w:r w:rsidRPr="00687A45">
        <w:rPr>
          <w:u w:val="single"/>
        </w:rPr>
        <w:tab/>
      </w:r>
      <w:r w:rsidRPr="00687A45">
        <w:rPr>
          <w:u w:val="single"/>
        </w:rPr>
        <w:tab/>
      </w:r>
    </w:p>
    <w:sectPr w:rsidR="00E12C5F" w:rsidRPr="00471104" w:rsidSect="00471104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2196A" w14:textId="77777777" w:rsidR="00BF3E35" w:rsidRPr="00A312BC" w:rsidRDefault="00BF3E35" w:rsidP="00A312BC"/>
  </w:endnote>
  <w:endnote w:type="continuationSeparator" w:id="0">
    <w:p w14:paraId="424EE750" w14:textId="77777777" w:rsidR="00BF3E35" w:rsidRPr="00A312BC" w:rsidRDefault="00BF3E3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EEE35" w14:textId="33C59125" w:rsidR="00471104" w:rsidRPr="00471104" w:rsidRDefault="00471104">
    <w:pPr>
      <w:pStyle w:val="a8"/>
    </w:pPr>
    <w:r w:rsidRPr="00471104">
      <w:rPr>
        <w:b/>
        <w:sz w:val="18"/>
      </w:rPr>
      <w:fldChar w:fldCharType="begin"/>
    </w:r>
    <w:r w:rsidRPr="00471104">
      <w:rPr>
        <w:b/>
        <w:sz w:val="18"/>
      </w:rPr>
      <w:instrText xml:space="preserve"> PAGE  \* MERGEFORMAT </w:instrText>
    </w:r>
    <w:r w:rsidRPr="00471104">
      <w:rPr>
        <w:b/>
        <w:sz w:val="18"/>
      </w:rPr>
      <w:fldChar w:fldCharType="separate"/>
    </w:r>
    <w:r w:rsidRPr="00471104">
      <w:rPr>
        <w:b/>
        <w:noProof/>
        <w:sz w:val="18"/>
      </w:rPr>
      <w:t>2</w:t>
    </w:r>
    <w:r w:rsidRPr="00471104">
      <w:rPr>
        <w:b/>
        <w:sz w:val="18"/>
      </w:rPr>
      <w:fldChar w:fldCharType="end"/>
    </w:r>
    <w:r>
      <w:rPr>
        <w:b/>
        <w:sz w:val="18"/>
      </w:rPr>
      <w:tab/>
    </w:r>
    <w:r>
      <w:t>GE.23-25758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346DC" w14:textId="4D6CFA67" w:rsidR="00471104" w:rsidRPr="00471104" w:rsidRDefault="00471104" w:rsidP="00471104">
    <w:pPr>
      <w:pStyle w:val="a8"/>
      <w:tabs>
        <w:tab w:val="clear" w:pos="9639"/>
        <w:tab w:val="right" w:pos="9638"/>
      </w:tabs>
      <w:rPr>
        <w:b/>
        <w:sz w:val="18"/>
      </w:rPr>
    </w:pPr>
    <w:r>
      <w:t>GE.23-25758</w:t>
    </w:r>
    <w:r>
      <w:tab/>
    </w:r>
    <w:r w:rsidRPr="00471104">
      <w:rPr>
        <w:b/>
        <w:sz w:val="18"/>
      </w:rPr>
      <w:fldChar w:fldCharType="begin"/>
    </w:r>
    <w:r w:rsidRPr="00471104">
      <w:rPr>
        <w:b/>
        <w:sz w:val="18"/>
      </w:rPr>
      <w:instrText xml:space="preserve"> PAGE  \* MERGEFORMAT </w:instrText>
    </w:r>
    <w:r w:rsidRPr="00471104">
      <w:rPr>
        <w:b/>
        <w:sz w:val="18"/>
      </w:rPr>
      <w:fldChar w:fldCharType="separate"/>
    </w:r>
    <w:r w:rsidRPr="00471104">
      <w:rPr>
        <w:b/>
        <w:noProof/>
        <w:sz w:val="18"/>
      </w:rPr>
      <w:t>3</w:t>
    </w:r>
    <w:r w:rsidRPr="0047110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CFB76" w14:textId="69E260BF" w:rsidR="00042B72" w:rsidRPr="00471104" w:rsidRDefault="00471104" w:rsidP="00471104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2E1CDDB" wp14:editId="018CA81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23-25758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775C566" wp14:editId="40A5B4D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020124  020124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561AE" w14:textId="77777777" w:rsidR="00BF3E35" w:rsidRPr="001075E9" w:rsidRDefault="00BF3E3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D3B5726" w14:textId="77777777" w:rsidR="00BF3E35" w:rsidRDefault="00BF3E3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58A69E2" w14:textId="3BCC300E" w:rsidR="00471104" w:rsidRPr="00EA370C" w:rsidRDefault="00471104" w:rsidP="00471104">
      <w:pPr>
        <w:pStyle w:val="ad"/>
        <w:jc w:val="both"/>
      </w:pPr>
      <w:r>
        <w:tab/>
      </w:r>
      <w:r w:rsidRPr="00471104">
        <w:t>*</w:t>
      </w:r>
      <w:r>
        <w:tab/>
        <w:t xml:space="preserve">В соответствии с программой работы Комитета по внутреннему транспорту на 2024 год, изложенной в предлагаемом бюджете по программам на 2024 год (A/78/6 (разд. 20), </w:t>
      </w:r>
      <w:r>
        <w:br/>
      </w:r>
      <w:r>
        <w:t>таблица 20.5),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0DD4E" w14:textId="3C597420" w:rsidR="00471104" w:rsidRPr="00471104" w:rsidRDefault="00471104">
    <w:pPr>
      <w:pStyle w:val="a5"/>
    </w:pPr>
    <w:fldSimple w:instr=" TITLE  \* MERGEFORMAT ">
      <w:r w:rsidR="004270AA">
        <w:t>ECE/TRANS/WP.29/2024/15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83287" w14:textId="08DA00EA" w:rsidR="00471104" w:rsidRPr="00471104" w:rsidRDefault="00471104" w:rsidP="00471104">
    <w:pPr>
      <w:pStyle w:val="a5"/>
      <w:jc w:val="right"/>
    </w:pPr>
    <w:fldSimple w:instr=" TITLE  \* MERGEFORMAT ">
      <w:r w:rsidR="004270AA">
        <w:t>ECE/TRANS/WP.29/2024/15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E35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270AA"/>
    <w:rsid w:val="00452493"/>
    <w:rsid w:val="00453318"/>
    <w:rsid w:val="00454AF2"/>
    <w:rsid w:val="00454E07"/>
    <w:rsid w:val="00471104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517F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1E3F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BF3E35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5390B0"/>
  <w15:docId w15:val="{1F6C0F7C-D6C3-442F-ACF0-CF184EE5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-E Fußnotentext Знак,footnote text Знак,Fußnotentext Ursprung Знак,Footnote Text Char Char Char Char Знак,Footnote Text1 Знак,Footnote Text Char Char Char Знак,Fußnotentext Char1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471104"/>
    <w:rPr>
      <w:lang w:val="ru-RU" w:eastAsia="en-US"/>
    </w:rPr>
  </w:style>
  <w:style w:type="character" w:customStyle="1" w:styleId="HChGChar">
    <w:name w:val="_ H _Ch_G Char"/>
    <w:link w:val="HChG"/>
    <w:locked/>
    <w:rsid w:val="00471104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471104"/>
    <w:rPr>
      <w:b/>
      <w:sz w:val="24"/>
      <w:lang w:val="ru-RU" w:eastAsia="ru-RU"/>
    </w:rPr>
  </w:style>
  <w:style w:type="character" w:customStyle="1" w:styleId="paraChar">
    <w:name w:val="para Char"/>
    <w:link w:val="para"/>
    <w:locked/>
    <w:rsid w:val="00471104"/>
    <w:rPr>
      <w:lang w:val="en-GB" w:eastAsia="en-US"/>
    </w:rPr>
  </w:style>
  <w:style w:type="paragraph" w:customStyle="1" w:styleId="para">
    <w:name w:val="para"/>
    <w:basedOn w:val="SingleTxtG"/>
    <w:link w:val="paraChar"/>
    <w:qFormat/>
    <w:rsid w:val="00471104"/>
    <w:pPr>
      <w:tabs>
        <w:tab w:val="clear" w:pos="1701"/>
        <w:tab w:val="clear" w:pos="2268"/>
        <w:tab w:val="clear" w:pos="2835"/>
      </w:tabs>
      <w:ind w:left="2268" w:hanging="1134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61C6F8-1130-41B4-BE86-371C60AE50DD}"/>
</file>

<file path=customXml/itemProps2.xml><?xml version="1.0" encoding="utf-8"?>
<ds:datastoreItem xmlns:ds="http://schemas.openxmlformats.org/officeDocument/2006/customXml" ds:itemID="{577137A6-BD63-48D9-BC00-8C572A480F87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3</Pages>
  <Words>420</Words>
  <Characters>3738</Characters>
  <Application>Microsoft Office Word</Application>
  <DocSecurity>0</DocSecurity>
  <Lines>339</Lines>
  <Paragraphs>138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ECE/TRANS/WP.29/2024/15</vt:lpstr>
      <vt:lpstr>A/</vt:lpstr>
      <vt:lpstr>A/</vt:lpstr>
    </vt:vector>
  </TitlesOfParts>
  <Company>DCM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ECE/TRANS/WP.29/2024/15</dc:title>
  <dc:subject/>
  <dc:creator>Tatiana CHVETS</dc:creator>
  <cp:keywords/>
  <cp:lastModifiedBy>Tatiana Chvets</cp:lastModifiedBy>
  <cp:revision>3</cp:revision>
  <cp:lastPrinted>2024-01-02T18:07:00Z</cp:lastPrinted>
  <dcterms:created xsi:type="dcterms:W3CDTF">2024-01-02T18:07:00Z</dcterms:created>
  <dcterms:modified xsi:type="dcterms:W3CDTF">2024-01-02T18:08:00Z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