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EB77714" w14:textId="77777777" w:rsidTr="00C97039">
        <w:trPr>
          <w:trHeight w:hRule="exact" w:val="851"/>
        </w:trPr>
        <w:tc>
          <w:tcPr>
            <w:tcW w:w="1276" w:type="dxa"/>
            <w:tcBorders>
              <w:bottom w:val="single" w:sz="4" w:space="0" w:color="auto"/>
            </w:tcBorders>
          </w:tcPr>
          <w:p w14:paraId="4D52069A" w14:textId="77777777" w:rsidR="00F35BAF" w:rsidRPr="00DB58B5" w:rsidRDefault="00F35BAF" w:rsidP="002065FA"/>
        </w:tc>
        <w:tc>
          <w:tcPr>
            <w:tcW w:w="2268" w:type="dxa"/>
            <w:tcBorders>
              <w:bottom w:val="single" w:sz="4" w:space="0" w:color="auto"/>
            </w:tcBorders>
            <w:vAlign w:val="bottom"/>
          </w:tcPr>
          <w:p w14:paraId="5ED414A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29ABFB" w14:textId="201F56C4" w:rsidR="00F35BAF" w:rsidRPr="00DB58B5" w:rsidRDefault="002065FA" w:rsidP="002065FA">
            <w:pPr>
              <w:jc w:val="right"/>
            </w:pPr>
            <w:r w:rsidRPr="002065FA">
              <w:rPr>
                <w:sz w:val="40"/>
              </w:rPr>
              <w:t>ECE</w:t>
            </w:r>
            <w:r>
              <w:t>/TRANS/WP.29/2024/15</w:t>
            </w:r>
          </w:p>
        </w:tc>
      </w:tr>
      <w:tr w:rsidR="00F35BAF" w:rsidRPr="00DB58B5" w14:paraId="33D6C034" w14:textId="77777777" w:rsidTr="00C97039">
        <w:trPr>
          <w:trHeight w:hRule="exact" w:val="2835"/>
        </w:trPr>
        <w:tc>
          <w:tcPr>
            <w:tcW w:w="1276" w:type="dxa"/>
            <w:tcBorders>
              <w:top w:val="single" w:sz="4" w:space="0" w:color="auto"/>
              <w:bottom w:val="single" w:sz="12" w:space="0" w:color="auto"/>
            </w:tcBorders>
          </w:tcPr>
          <w:p w14:paraId="7F600B42" w14:textId="77777777" w:rsidR="00F35BAF" w:rsidRPr="00DB58B5" w:rsidRDefault="00F35BAF" w:rsidP="00C97039">
            <w:pPr>
              <w:spacing w:before="120"/>
              <w:jc w:val="center"/>
            </w:pPr>
            <w:r>
              <w:rPr>
                <w:noProof/>
                <w:lang w:eastAsia="fr-CH"/>
              </w:rPr>
              <w:drawing>
                <wp:inline distT="0" distB="0" distL="0" distR="0" wp14:anchorId="40E5142D" wp14:editId="2F43D3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9CF0B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5D21D7" w14:textId="77777777" w:rsidR="00F35BAF" w:rsidRDefault="002065FA" w:rsidP="00C97039">
            <w:pPr>
              <w:spacing w:before="240"/>
            </w:pPr>
            <w:r>
              <w:t>Distr. générale</w:t>
            </w:r>
          </w:p>
          <w:p w14:paraId="67C0CB66" w14:textId="77777777" w:rsidR="002065FA" w:rsidRDefault="002065FA" w:rsidP="002065FA">
            <w:pPr>
              <w:spacing w:line="240" w:lineRule="exact"/>
            </w:pPr>
            <w:r>
              <w:t>21 décembre 2023</w:t>
            </w:r>
          </w:p>
          <w:p w14:paraId="6C3C384A" w14:textId="77777777" w:rsidR="002065FA" w:rsidRDefault="002065FA" w:rsidP="002065FA">
            <w:pPr>
              <w:spacing w:line="240" w:lineRule="exact"/>
            </w:pPr>
            <w:r>
              <w:t>Français</w:t>
            </w:r>
          </w:p>
          <w:p w14:paraId="79CC75F9" w14:textId="291E2E33" w:rsidR="002065FA" w:rsidRPr="00DB58B5" w:rsidRDefault="002065FA" w:rsidP="002065FA">
            <w:pPr>
              <w:spacing w:line="240" w:lineRule="exact"/>
            </w:pPr>
            <w:r>
              <w:t>Original</w:t>
            </w:r>
            <w:r w:rsidR="00EB2A8E">
              <w:t> :</w:t>
            </w:r>
            <w:r>
              <w:t xml:space="preserve"> anglais</w:t>
            </w:r>
          </w:p>
        </w:tc>
      </w:tr>
    </w:tbl>
    <w:p w14:paraId="50985059" w14:textId="77777777" w:rsidR="007F20FA" w:rsidRPr="000312C0" w:rsidRDefault="007F20FA" w:rsidP="007F20FA">
      <w:pPr>
        <w:spacing w:before="120"/>
        <w:rPr>
          <w:b/>
          <w:sz w:val="28"/>
          <w:szCs w:val="28"/>
        </w:rPr>
      </w:pPr>
      <w:r w:rsidRPr="000312C0">
        <w:rPr>
          <w:b/>
          <w:sz w:val="28"/>
          <w:szCs w:val="28"/>
        </w:rPr>
        <w:t>Commission économique pour l’Europe</w:t>
      </w:r>
    </w:p>
    <w:p w14:paraId="7E4F4EC7" w14:textId="77777777" w:rsidR="007F20FA" w:rsidRDefault="007F20FA" w:rsidP="007F20FA">
      <w:pPr>
        <w:spacing w:before="120"/>
        <w:rPr>
          <w:sz w:val="28"/>
          <w:szCs w:val="28"/>
        </w:rPr>
      </w:pPr>
      <w:r w:rsidRPr="00685843">
        <w:rPr>
          <w:sz w:val="28"/>
          <w:szCs w:val="28"/>
        </w:rPr>
        <w:t>Comité des transports intérieurs</w:t>
      </w:r>
    </w:p>
    <w:p w14:paraId="5F1FF317" w14:textId="5A6419C7" w:rsidR="002065FA" w:rsidRPr="002065FA" w:rsidRDefault="002065FA" w:rsidP="002065FA">
      <w:pPr>
        <w:spacing w:before="120"/>
        <w:rPr>
          <w:rFonts w:eastAsia="Calibri"/>
          <w:b/>
          <w:sz w:val="24"/>
          <w:szCs w:val="24"/>
        </w:rPr>
      </w:pPr>
      <w:r w:rsidRPr="002065FA">
        <w:rPr>
          <w:rFonts w:eastAsia="Calibri"/>
          <w:b/>
          <w:bCs/>
          <w:sz w:val="24"/>
          <w:szCs w:val="24"/>
          <w:lang w:val="fr-FR"/>
        </w:rPr>
        <w:t xml:space="preserve">Forum mondial de l’harmonisation </w:t>
      </w:r>
      <w:r w:rsidR="001B5BA0">
        <w:rPr>
          <w:rFonts w:eastAsia="Calibri"/>
          <w:b/>
          <w:bCs/>
          <w:sz w:val="24"/>
          <w:szCs w:val="24"/>
          <w:lang w:val="fr-FR"/>
        </w:rPr>
        <w:br/>
      </w:r>
      <w:r w:rsidRPr="002065FA">
        <w:rPr>
          <w:rFonts w:eastAsia="Calibri"/>
          <w:b/>
          <w:bCs/>
          <w:sz w:val="24"/>
          <w:szCs w:val="24"/>
          <w:lang w:val="fr-FR"/>
        </w:rPr>
        <w:t>des Règlements concernant les véhicules</w:t>
      </w:r>
    </w:p>
    <w:p w14:paraId="67BDB3A3" w14:textId="77777777" w:rsidR="002065FA" w:rsidRPr="002065FA" w:rsidRDefault="002065FA" w:rsidP="002065FA">
      <w:pPr>
        <w:spacing w:before="120"/>
        <w:rPr>
          <w:rFonts w:eastAsia="Calibri"/>
          <w:b/>
        </w:rPr>
      </w:pPr>
      <w:r w:rsidRPr="002065FA">
        <w:rPr>
          <w:rFonts w:eastAsia="Calibri"/>
          <w:b/>
          <w:bCs/>
          <w:lang w:val="fr-FR"/>
        </w:rPr>
        <w:t>192</w:t>
      </w:r>
      <w:r w:rsidRPr="002065FA">
        <w:rPr>
          <w:rFonts w:eastAsia="Calibri"/>
          <w:b/>
          <w:bCs/>
          <w:vertAlign w:val="superscript"/>
          <w:lang w:val="fr-FR"/>
        </w:rPr>
        <w:t>e</w:t>
      </w:r>
      <w:r w:rsidRPr="002065FA">
        <w:rPr>
          <w:rFonts w:eastAsia="Calibri"/>
          <w:b/>
          <w:bCs/>
          <w:lang w:val="fr-FR"/>
        </w:rPr>
        <w:t xml:space="preserve"> session</w:t>
      </w:r>
    </w:p>
    <w:p w14:paraId="73A15ED6" w14:textId="77777777" w:rsidR="002065FA" w:rsidRPr="002065FA" w:rsidRDefault="002065FA" w:rsidP="002065FA">
      <w:pPr>
        <w:rPr>
          <w:rFonts w:eastAsia="Calibri"/>
        </w:rPr>
      </w:pPr>
      <w:r w:rsidRPr="002065FA">
        <w:rPr>
          <w:rFonts w:eastAsia="Calibri"/>
          <w:lang w:val="fr-FR"/>
        </w:rPr>
        <w:t>Genève, 5-8 mars 2024</w:t>
      </w:r>
    </w:p>
    <w:p w14:paraId="10C023CB" w14:textId="77777777" w:rsidR="002065FA" w:rsidRPr="002065FA" w:rsidRDefault="002065FA" w:rsidP="002065FA">
      <w:pPr>
        <w:rPr>
          <w:rFonts w:eastAsia="Calibri"/>
        </w:rPr>
      </w:pPr>
      <w:r w:rsidRPr="002065FA">
        <w:rPr>
          <w:rFonts w:eastAsia="Calibri"/>
          <w:lang w:val="fr-FR"/>
        </w:rPr>
        <w:t>Point 4.8.5 de l’ordre du jour provisoire</w:t>
      </w:r>
    </w:p>
    <w:p w14:paraId="2F75F091" w14:textId="0596F968" w:rsidR="002065FA" w:rsidRPr="002065FA" w:rsidRDefault="002065FA" w:rsidP="002065FA">
      <w:pPr>
        <w:rPr>
          <w:rFonts w:eastAsia="Calibri"/>
          <w:b/>
          <w:bCs/>
        </w:rPr>
      </w:pPr>
      <w:r w:rsidRPr="002065FA">
        <w:rPr>
          <w:rFonts w:eastAsia="Calibri"/>
          <w:b/>
          <w:bCs/>
          <w:lang w:val="fr-FR"/>
        </w:rPr>
        <w:t>Accord de 1958</w:t>
      </w:r>
      <w:r w:rsidR="00706B7D">
        <w:rPr>
          <w:rFonts w:eastAsia="Calibri"/>
          <w:b/>
          <w:bCs/>
          <w:lang w:val="fr-FR"/>
        </w:rPr>
        <w:t> :</w:t>
      </w:r>
      <w:r w:rsidR="001B5BA0">
        <w:rPr>
          <w:rFonts w:eastAsia="Calibri"/>
          <w:b/>
          <w:bCs/>
          <w:lang w:val="fr-FR"/>
        </w:rPr>
        <w:br/>
      </w:r>
      <w:r w:rsidRPr="002065FA">
        <w:rPr>
          <w:rFonts w:eastAsia="Calibri"/>
          <w:b/>
          <w:bCs/>
          <w:lang w:val="fr-FR"/>
        </w:rPr>
        <w:t>Examen de projets d’amendements à des Règlements ONU existants,</w:t>
      </w:r>
      <w:r w:rsidR="001B5BA0">
        <w:rPr>
          <w:rFonts w:eastAsia="Calibri"/>
          <w:b/>
          <w:bCs/>
          <w:lang w:val="fr-FR"/>
        </w:rPr>
        <w:br/>
      </w:r>
      <w:r w:rsidRPr="002065FA">
        <w:rPr>
          <w:rFonts w:eastAsia="Calibri"/>
          <w:b/>
          <w:bCs/>
          <w:lang w:val="fr-FR"/>
        </w:rPr>
        <w:t>soumis par le GRSG</w:t>
      </w:r>
    </w:p>
    <w:p w14:paraId="5A9AAB7D" w14:textId="76ACABC3" w:rsidR="002065FA" w:rsidRPr="002065FA" w:rsidRDefault="001B5BA0" w:rsidP="001B5BA0">
      <w:pPr>
        <w:pStyle w:val="HChG"/>
      </w:pPr>
      <w:r>
        <w:rPr>
          <w:lang w:val="fr-FR"/>
        </w:rPr>
        <w:tab/>
      </w:r>
      <w:r>
        <w:rPr>
          <w:lang w:val="fr-FR"/>
        </w:rPr>
        <w:tab/>
      </w:r>
      <w:r w:rsidR="002065FA" w:rsidRPr="002065FA">
        <w:rPr>
          <w:lang w:val="fr-FR"/>
        </w:rPr>
        <w:t>Proposition de série 03 d’amendements au Règlement ONU n</w:t>
      </w:r>
      <w:r w:rsidR="002065FA" w:rsidRPr="002065FA">
        <w:rPr>
          <w:vertAlign w:val="superscript"/>
          <w:lang w:val="fr-FR"/>
        </w:rPr>
        <w:t>o</w:t>
      </w:r>
      <w:r w:rsidR="002065FA" w:rsidRPr="001B5BA0">
        <w:rPr>
          <w:lang w:val="fr-FR"/>
        </w:rPr>
        <w:t> </w:t>
      </w:r>
      <w:r w:rsidR="002065FA" w:rsidRPr="002065FA">
        <w:rPr>
          <w:lang w:val="fr-FR"/>
        </w:rPr>
        <w:t>55 (Pièces mécaniques d’attelage)</w:t>
      </w:r>
    </w:p>
    <w:p w14:paraId="7AB1B8D1" w14:textId="0F577B6E" w:rsidR="002065FA" w:rsidRPr="002065FA" w:rsidRDefault="002065FA" w:rsidP="001B5BA0">
      <w:pPr>
        <w:pStyle w:val="H1G"/>
        <w:rPr>
          <w:szCs w:val="24"/>
        </w:rPr>
      </w:pPr>
      <w:r w:rsidRPr="002065FA">
        <w:rPr>
          <w:lang w:val="fr-FR"/>
        </w:rPr>
        <w:tab/>
      </w:r>
      <w:r w:rsidRPr="002065FA">
        <w:rPr>
          <w:lang w:val="fr-FR"/>
        </w:rPr>
        <w:tab/>
        <w:t>Communication du Groupe de travail des dispositions générales de</w:t>
      </w:r>
      <w:r w:rsidR="001B5BA0">
        <w:rPr>
          <w:lang w:val="fr-FR"/>
        </w:rPr>
        <w:t> </w:t>
      </w:r>
      <w:r w:rsidRPr="002065FA">
        <w:rPr>
          <w:lang w:val="fr-FR"/>
        </w:rPr>
        <w:t>sécurité</w:t>
      </w:r>
      <w:r w:rsidR="003D3E4D" w:rsidRPr="003D3E4D">
        <w:rPr>
          <w:rStyle w:val="Appelnotedebasdep"/>
          <w:sz w:val="20"/>
          <w:vertAlign w:val="baseline"/>
        </w:rPr>
        <w:footnoteReference w:customMarkFollows="1" w:id="2"/>
        <w:t>*</w:t>
      </w:r>
      <w:r w:rsidR="003D3E4D">
        <w:rPr>
          <w:lang w:val="fr-FR"/>
        </w:rPr>
        <w:t xml:space="preserve">  </w:t>
      </w:r>
      <w:r w:rsidRPr="001B5BA0">
        <w:rPr>
          <w:b w:val="0"/>
          <w:bCs/>
          <w:sz w:val="20"/>
          <w:lang w:val="fr-FR"/>
        </w:rPr>
        <w:t>*</w:t>
      </w:r>
    </w:p>
    <w:p w14:paraId="0F0C2509" w14:textId="183B8011" w:rsidR="002065FA" w:rsidRPr="002065FA" w:rsidRDefault="003D3E4D" w:rsidP="001B5BA0">
      <w:pPr>
        <w:pStyle w:val="SingleTxtG"/>
        <w:ind w:firstLine="567"/>
        <w:rPr>
          <w:sz w:val="24"/>
          <w:szCs w:val="24"/>
        </w:rPr>
      </w:pPr>
      <w:bookmarkStart w:id="0" w:name="_Hlk155765854"/>
      <w:r>
        <w:rPr>
          <w:lang w:val="fr-FR"/>
        </w:rPr>
        <w:t>Le t</w:t>
      </w:r>
      <w:r w:rsidR="002065FA" w:rsidRPr="002065FA">
        <w:rPr>
          <w:lang w:val="fr-FR"/>
        </w:rPr>
        <w:t>exte ci-après, adopté par le Groupe de travail des dispositions générales de sécurité (GRSG) à sa 126</w:t>
      </w:r>
      <w:r w:rsidR="002065FA" w:rsidRPr="002065FA">
        <w:rPr>
          <w:vertAlign w:val="superscript"/>
          <w:lang w:val="fr-FR"/>
        </w:rPr>
        <w:t>e</w:t>
      </w:r>
      <w:r w:rsidR="001B5BA0">
        <w:rPr>
          <w:lang w:val="fr-FR"/>
        </w:rPr>
        <w:t> </w:t>
      </w:r>
      <w:r w:rsidR="002065FA" w:rsidRPr="002065FA">
        <w:rPr>
          <w:lang w:val="fr-FR"/>
        </w:rPr>
        <w:t>session (ECE/TRANS/WP.29/GRSG/105, par.</w:t>
      </w:r>
      <w:r w:rsidR="001B5BA0">
        <w:rPr>
          <w:lang w:val="fr-FR"/>
        </w:rPr>
        <w:t> </w:t>
      </w:r>
      <w:r w:rsidR="002065FA" w:rsidRPr="002065FA">
        <w:rPr>
          <w:lang w:val="fr-FR"/>
        </w:rPr>
        <w:t xml:space="preserve">17), est fondé sur le document ECE/TRANS/WP.29/GRSG/2023/18 tel que modifié par l’annexe VI du rapport. Il est soumis au Forum mondial de l’harmonisation des Règlements concernant les véhicules (WP.29) et au Comité d’administration de l’Accord de 1958 (AC.1) pour examen à leurs sessions de mars 2024. </w:t>
      </w:r>
      <w:bookmarkEnd w:id="0"/>
    </w:p>
    <w:p w14:paraId="5FF58E87" w14:textId="77777777" w:rsidR="002065FA" w:rsidRPr="002065FA" w:rsidRDefault="002065FA" w:rsidP="001B5BA0">
      <w:pPr>
        <w:pStyle w:val="SingleTxtG"/>
      </w:pPr>
      <w:r w:rsidRPr="002065FA">
        <w:br w:type="page"/>
      </w:r>
    </w:p>
    <w:p w14:paraId="6A69BD16" w14:textId="45A07206" w:rsidR="002065FA" w:rsidRPr="002065FA" w:rsidRDefault="002065FA" w:rsidP="001B5BA0">
      <w:pPr>
        <w:pStyle w:val="SingleTxtG"/>
      </w:pPr>
      <w:r w:rsidRPr="001B5BA0">
        <w:rPr>
          <w:i/>
          <w:iCs/>
          <w:lang w:val="fr-FR"/>
        </w:rPr>
        <w:lastRenderedPageBreak/>
        <w:t>Ajouter les nouveaux paragraphes 13.6 à 13.10</w:t>
      </w:r>
      <w:r w:rsidRPr="002065FA">
        <w:rPr>
          <w:lang w:val="fr-FR"/>
        </w:rPr>
        <w:t>, libellés comme suit</w:t>
      </w:r>
      <w:r w:rsidR="00706B7D">
        <w:rPr>
          <w:lang w:val="fr-FR"/>
        </w:rPr>
        <w:t> :</w:t>
      </w:r>
    </w:p>
    <w:p w14:paraId="7587F258" w14:textId="77777777" w:rsidR="002065FA" w:rsidRPr="002065FA" w:rsidRDefault="002065FA" w:rsidP="00EB2A8E">
      <w:pPr>
        <w:pStyle w:val="SingleTxtG"/>
        <w:ind w:left="2268" w:hanging="1134"/>
      </w:pPr>
      <w:r w:rsidRPr="002065FA">
        <w:rPr>
          <w:lang w:val="fr-FR"/>
        </w:rPr>
        <w:t>« 13.6</w:t>
      </w:r>
      <w:r w:rsidRPr="002065FA">
        <w:rPr>
          <w:lang w:val="fr-FR"/>
        </w:rPr>
        <w:tab/>
        <w:t>À compter de la date officielle d’entrée en vigueur de la série 03 d’amendements, aucune Partie contractante appliquant le présent Règlement ne pourra refuser d’accorder ou d’accepter une homologation de type en vertu dudit Règlement tel que modifié par la série 03 d’amendements.</w:t>
      </w:r>
    </w:p>
    <w:p w14:paraId="7B6915BF" w14:textId="6F27594A" w:rsidR="002065FA" w:rsidRPr="002065FA" w:rsidRDefault="002065FA" w:rsidP="00EB2A8E">
      <w:pPr>
        <w:pStyle w:val="SingleTxtG"/>
        <w:ind w:left="2268" w:hanging="1134"/>
        <w:rPr>
          <w:rFonts w:eastAsia="Times New Roman"/>
        </w:rPr>
      </w:pPr>
      <w:r w:rsidRPr="002065FA">
        <w:rPr>
          <w:rFonts w:eastAsia="Times New Roman"/>
          <w:lang w:val="fr-FR"/>
        </w:rPr>
        <w:t>13.7</w:t>
      </w:r>
      <w:r w:rsidRPr="002065FA">
        <w:rPr>
          <w:rFonts w:eastAsia="Times New Roman"/>
          <w:lang w:val="fr-FR"/>
        </w:rPr>
        <w:tab/>
        <w:t>À compter du 1</w:t>
      </w:r>
      <w:r w:rsidRPr="002065FA">
        <w:rPr>
          <w:rFonts w:eastAsia="Times New Roman"/>
          <w:vertAlign w:val="superscript"/>
          <w:lang w:val="fr-FR"/>
        </w:rPr>
        <w:t>er</w:t>
      </w:r>
      <w:r w:rsidR="00706B7D">
        <w:rPr>
          <w:rFonts w:eastAsia="Times New Roman"/>
          <w:lang w:val="fr-FR"/>
        </w:rPr>
        <w:t> </w:t>
      </w:r>
      <w:r w:rsidRPr="002065FA">
        <w:rPr>
          <w:rFonts w:eastAsia="Times New Roman"/>
          <w:lang w:val="fr-FR"/>
        </w:rPr>
        <w:t>septembre 2025, les Parties contractantes appliquant le présent Règlement ne seront plus tenues d’accepter les homologations de type délivrées en vertu des précédentes séries d’amendements audit Règlement.</w:t>
      </w:r>
    </w:p>
    <w:p w14:paraId="0974434A" w14:textId="77777777" w:rsidR="002065FA" w:rsidRPr="002065FA" w:rsidRDefault="002065FA" w:rsidP="00EB2A8E">
      <w:pPr>
        <w:pStyle w:val="SingleTxtG"/>
        <w:ind w:left="2268" w:hanging="1134"/>
        <w:rPr>
          <w:rFonts w:eastAsia="Times New Roman"/>
        </w:rPr>
      </w:pPr>
      <w:r w:rsidRPr="002065FA">
        <w:rPr>
          <w:rFonts w:eastAsia="Times New Roman"/>
          <w:lang w:val="fr-FR"/>
        </w:rPr>
        <w:t>13.8</w:t>
      </w:r>
      <w:r w:rsidRPr="002065FA">
        <w:rPr>
          <w:rFonts w:eastAsia="Times New Roman"/>
          <w:lang w:val="fr-FR"/>
        </w:rPr>
        <w:tab/>
      </w:r>
      <w:r w:rsidRPr="002065FA">
        <w:rPr>
          <w:lang w:val="fr-FR"/>
        </w:rPr>
        <w:t>Nonobstant</w:t>
      </w:r>
      <w:r w:rsidRPr="002065FA">
        <w:rPr>
          <w:rFonts w:eastAsia="Times New Roman"/>
          <w:lang w:val="fr-FR"/>
        </w:rPr>
        <w:t xml:space="preserve"> les dispositions du paragraphe 13.7, les Parties contractantes appliquant le présent Règlement continueront de reconnaître les homologations de type délivrées pour des dispositifs et des pièces mécaniques d’attelage au titre des précédentes séries d’amendements audit Règlement.</w:t>
      </w:r>
    </w:p>
    <w:p w14:paraId="4C462DF2" w14:textId="77777777" w:rsidR="002065FA" w:rsidRPr="002065FA" w:rsidRDefault="002065FA" w:rsidP="00EB2A8E">
      <w:pPr>
        <w:pStyle w:val="SingleTxtG"/>
        <w:ind w:left="2268" w:hanging="1134"/>
        <w:rPr>
          <w:rFonts w:eastAsia="Times New Roman"/>
        </w:rPr>
      </w:pPr>
      <w:r w:rsidRPr="002065FA">
        <w:rPr>
          <w:rFonts w:eastAsia="Times New Roman"/>
          <w:lang w:val="fr-FR"/>
        </w:rPr>
        <w:t>13.9</w:t>
      </w:r>
      <w:r w:rsidRPr="002065FA">
        <w:rPr>
          <w:rFonts w:eastAsia="Times New Roman"/>
          <w:lang w:val="fr-FR"/>
        </w:rPr>
        <w:tab/>
        <w:t xml:space="preserve">Nonobstant les dispositions du paragraphe 13.7, les Parties contractantes </w:t>
      </w:r>
      <w:r w:rsidRPr="002065FA">
        <w:rPr>
          <w:lang w:val="fr-FR"/>
        </w:rPr>
        <w:t>appliquant</w:t>
      </w:r>
      <w:r w:rsidRPr="002065FA">
        <w:rPr>
          <w:rFonts w:eastAsia="Times New Roman"/>
          <w:lang w:val="fr-FR"/>
        </w:rPr>
        <w:t xml:space="preserve"> le présent Règlement continueront de reconnaître les homologations de type délivrées au titre des précédentes séries d’amendements audit Règlement pour les véhicules non concernés par les modifications apportées par la série 03 d’amendements.</w:t>
      </w:r>
    </w:p>
    <w:p w14:paraId="3B5D825E" w14:textId="77777777" w:rsidR="002065FA" w:rsidRPr="002065FA" w:rsidRDefault="002065FA" w:rsidP="00EB2A8E">
      <w:pPr>
        <w:pStyle w:val="SingleTxtG"/>
        <w:ind w:left="2268" w:hanging="1134"/>
        <w:rPr>
          <w:rFonts w:eastAsia="Times New Roman"/>
        </w:rPr>
      </w:pPr>
      <w:r w:rsidRPr="002065FA">
        <w:rPr>
          <w:rFonts w:eastAsia="Times New Roman"/>
          <w:lang w:val="fr-FR"/>
        </w:rPr>
        <w:t>13.10</w:t>
      </w:r>
      <w:r w:rsidRPr="002065FA">
        <w:rPr>
          <w:rFonts w:eastAsia="Times New Roman"/>
          <w:lang w:val="fr-FR"/>
        </w:rPr>
        <w:tab/>
        <w:t xml:space="preserve">Les Parties contractantes appliquant le présent Règlement ne pourront refuser </w:t>
      </w:r>
      <w:r w:rsidRPr="002065FA">
        <w:rPr>
          <w:lang w:val="fr-FR"/>
        </w:rPr>
        <w:t>d’accorder</w:t>
      </w:r>
      <w:r w:rsidRPr="002065FA">
        <w:rPr>
          <w:rFonts w:eastAsia="Times New Roman"/>
          <w:lang w:val="fr-FR"/>
        </w:rPr>
        <w:t xml:space="preserve"> des homologations de type en vertu de l’une quelconque des précédentes séries d’amendements audit Règlement, ou d’accorder des extensions pour les homologations en question. ».</w:t>
      </w:r>
    </w:p>
    <w:p w14:paraId="0D5F27BE" w14:textId="4D69C8BF" w:rsidR="002065FA" w:rsidRPr="002065FA" w:rsidRDefault="002065FA" w:rsidP="00706B7D">
      <w:pPr>
        <w:pStyle w:val="SingleTxtG"/>
        <w:keepNext/>
        <w:rPr>
          <w:rFonts w:eastAsia="Times New Roman"/>
          <w:bCs/>
          <w:i/>
          <w:iCs/>
        </w:rPr>
      </w:pPr>
      <w:r w:rsidRPr="002065FA">
        <w:rPr>
          <w:i/>
          <w:iCs/>
          <w:lang w:val="fr-FR"/>
        </w:rPr>
        <w:t>Annexe</w:t>
      </w:r>
      <w:r w:rsidRPr="002065FA">
        <w:rPr>
          <w:rFonts w:eastAsia="Times New Roman"/>
          <w:i/>
          <w:iCs/>
          <w:lang w:val="fr-FR"/>
        </w:rPr>
        <w:t xml:space="preserve"> 3</w:t>
      </w:r>
      <w:r w:rsidRPr="002065FA">
        <w:rPr>
          <w:rFonts w:eastAsia="Times New Roman"/>
          <w:lang w:val="fr-FR"/>
        </w:rPr>
        <w:t>, lire</w:t>
      </w:r>
      <w:r w:rsidR="001B5BA0">
        <w:rPr>
          <w:rFonts w:eastAsia="Times New Roman"/>
          <w:lang w:val="fr-FR"/>
        </w:rPr>
        <w:t> ;</w:t>
      </w:r>
    </w:p>
    <w:p w14:paraId="16846477" w14:textId="77777777" w:rsidR="002065FA" w:rsidRPr="002065FA" w:rsidRDefault="002065FA" w:rsidP="00EB2A8E">
      <w:pPr>
        <w:pStyle w:val="HChG"/>
      </w:pPr>
      <w:bookmarkStart w:id="1" w:name="_Toc401757969"/>
      <w:r w:rsidRPr="00EB2A8E">
        <w:rPr>
          <w:b w:val="0"/>
          <w:bCs/>
          <w:sz w:val="20"/>
          <w:lang w:val="fr-FR"/>
        </w:rPr>
        <w:t>« </w:t>
      </w:r>
      <w:r w:rsidRPr="002065FA">
        <w:rPr>
          <w:lang w:val="fr-FR"/>
        </w:rPr>
        <w:t>Annexe 3</w:t>
      </w:r>
      <w:bookmarkEnd w:id="1"/>
    </w:p>
    <w:p w14:paraId="700EE4CC" w14:textId="77777777" w:rsidR="002065FA" w:rsidRPr="002065FA" w:rsidRDefault="002065FA" w:rsidP="00EB2A8E">
      <w:pPr>
        <w:pStyle w:val="HChG"/>
      </w:pPr>
      <w:r w:rsidRPr="002065FA">
        <w:rPr>
          <w:lang w:val="fr-FR"/>
        </w:rPr>
        <w:tab/>
      </w:r>
      <w:r w:rsidRPr="002065FA">
        <w:rPr>
          <w:lang w:val="fr-FR"/>
        </w:rPr>
        <w:tab/>
        <w:t>Exemple de marque d’homologation</w:t>
      </w:r>
      <w:bookmarkStart w:id="2" w:name="_Toc401757970"/>
      <w:bookmarkEnd w:id="2"/>
    </w:p>
    <w:p w14:paraId="066C4F76" w14:textId="77777777" w:rsidR="002065FA" w:rsidRPr="002065FA" w:rsidRDefault="002065FA" w:rsidP="002065FA">
      <w:pPr>
        <w:widowControl w:val="0"/>
        <w:spacing w:line="240" w:lineRule="auto"/>
        <w:ind w:left="1134" w:right="-20"/>
        <w:rPr>
          <w:rFonts w:eastAsia="Calibri"/>
          <w:lang w:eastAsia="en-GB"/>
        </w:rPr>
      </w:pPr>
      <w:r w:rsidRPr="002065FA">
        <w:rPr>
          <w:rFonts w:eastAsia="Calibri"/>
          <w:noProof/>
          <w:lang w:eastAsia="en-GB"/>
        </w:rPr>
        <w:drawing>
          <wp:inline distT="0" distB="0" distL="0" distR="0" wp14:anchorId="2B74CA15" wp14:editId="51C12323">
            <wp:extent cx="4680000" cy="2023307"/>
            <wp:effectExtent l="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2023307"/>
                    </a:xfrm>
                    <a:prstGeom prst="rect">
                      <a:avLst/>
                    </a:prstGeom>
                    <a:noFill/>
                    <a:ln>
                      <a:noFill/>
                    </a:ln>
                  </pic:spPr>
                </pic:pic>
              </a:graphicData>
            </a:graphic>
          </wp:inline>
        </w:drawing>
      </w:r>
    </w:p>
    <w:p w14:paraId="04312455" w14:textId="77777777" w:rsidR="002065FA" w:rsidRPr="002065FA" w:rsidRDefault="002065FA" w:rsidP="00EB2A8E">
      <w:pPr>
        <w:pStyle w:val="SingleTxtG"/>
        <w:jc w:val="right"/>
      </w:pPr>
      <w:r w:rsidRPr="002065FA">
        <w:rPr>
          <w:lang w:val="fr-FR"/>
        </w:rPr>
        <w:t>a = 8 mm minimum</w:t>
      </w:r>
    </w:p>
    <w:p w14:paraId="6C4B88C6" w14:textId="77777777" w:rsidR="002065FA" w:rsidRPr="002065FA" w:rsidRDefault="002065FA" w:rsidP="00EB2A8E">
      <w:pPr>
        <w:pStyle w:val="SingleTxtG"/>
        <w:ind w:firstLine="567"/>
        <w:rPr>
          <w:i/>
        </w:rPr>
      </w:pPr>
      <w:r w:rsidRPr="002065FA">
        <w:rPr>
          <w:lang w:val="fr-FR"/>
        </w:rPr>
        <w:t>La marque d’homologation ci-dessus, apposée sur un dispositif ou des pièces mécaniques d’attelage ou sur un véhicule, indique qu’ils ont été homologués aux Pays-Bas (E 4), sous le numéro d’homologation 2439, conformément aux prescriptions de la série 03 d’amendements au présent Règlement.</w:t>
      </w:r>
    </w:p>
    <w:p w14:paraId="28CB011A" w14:textId="76AD006D" w:rsidR="002065FA" w:rsidRPr="002065FA" w:rsidRDefault="00EB2A8E" w:rsidP="002065FA">
      <w:pPr>
        <w:tabs>
          <w:tab w:val="left" w:pos="1701"/>
          <w:tab w:val="left" w:pos="2268"/>
          <w:tab w:val="left" w:pos="2835"/>
        </w:tabs>
        <w:spacing w:after="120"/>
        <w:ind w:left="1134" w:right="1134" w:firstLine="567"/>
        <w:jc w:val="both"/>
        <w:rPr>
          <w:rFonts w:eastAsia="Calibri"/>
        </w:rPr>
      </w:pPr>
      <w:r>
        <w:rPr>
          <w:rFonts w:eastAsia="Calibri"/>
          <w:lang w:val="fr-FR"/>
        </w:rPr>
        <w:t>…</w:t>
      </w:r>
      <w:r w:rsidR="002065FA" w:rsidRPr="002065FA">
        <w:rPr>
          <w:rFonts w:eastAsia="Calibri"/>
          <w:lang w:val="fr-FR"/>
        </w:rPr>
        <w:t> » .</w:t>
      </w:r>
    </w:p>
    <w:p w14:paraId="0EF60EF3" w14:textId="77777777" w:rsidR="002065FA" w:rsidRPr="002065FA" w:rsidRDefault="002065FA" w:rsidP="00EB2A8E">
      <w:pPr>
        <w:pStyle w:val="SingleTxtG"/>
        <w:rPr>
          <w:lang w:eastAsia="en-GB"/>
        </w:rPr>
      </w:pPr>
      <w:r w:rsidRPr="002065FA">
        <w:rPr>
          <w:lang w:eastAsia="en-GB"/>
        </w:rPr>
        <w:br w:type="page"/>
      </w:r>
    </w:p>
    <w:p w14:paraId="10A84537" w14:textId="243A4FD0" w:rsidR="002065FA" w:rsidRPr="002065FA" w:rsidRDefault="002065FA" w:rsidP="00EB2A8E">
      <w:pPr>
        <w:pStyle w:val="SingleTxtG"/>
        <w:rPr>
          <w:rFonts w:eastAsia="Malgun Gothic"/>
        </w:rPr>
      </w:pPr>
      <w:r w:rsidRPr="002065FA">
        <w:rPr>
          <w:i/>
          <w:iCs/>
          <w:lang w:val="fr-FR"/>
        </w:rPr>
        <w:lastRenderedPageBreak/>
        <w:t>Annexe</w:t>
      </w:r>
      <w:r w:rsidRPr="002065FA">
        <w:rPr>
          <w:rFonts w:eastAsia="Calibri"/>
          <w:i/>
          <w:iCs/>
          <w:lang w:val="fr-FR"/>
        </w:rPr>
        <w:t xml:space="preserve"> 7, paragraphes 1.4 à 1.4.3</w:t>
      </w:r>
      <w:r w:rsidRPr="002065FA">
        <w:rPr>
          <w:rFonts w:eastAsia="Calibri"/>
          <w:lang w:val="fr-FR"/>
        </w:rPr>
        <w:t>, lire</w:t>
      </w:r>
      <w:r w:rsidR="00706B7D">
        <w:rPr>
          <w:rFonts w:eastAsia="Calibri"/>
          <w:lang w:val="fr-FR"/>
        </w:rPr>
        <w:t> :</w:t>
      </w:r>
    </w:p>
    <w:p w14:paraId="227406A8" w14:textId="77777777" w:rsidR="002065FA" w:rsidRPr="002065FA" w:rsidRDefault="002065FA" w:rsidP="00EB2A8E">
      <w:pPr>
        <w:pStyle w:val="SingleTxtG"/>
        <w:ind w:left="2268" w:hanging="1134"/>
        <w:rPr>
          <w:rFonts w:eastAsia="Times New Roman"/>
        </w:rPr>
      </w:pPr>
      <w:r w:rsidRPr="002065FA">
        <w:rPr>
          <w:rFonts w:eastAsia="Times New Roman"/>
          <w:lang w:val="fr-FR"/>
        </w:rPr>
        <w:t>« 1.4</w:t>
      </w:r>
      <w:r w:rsidRPr="002065FA">
        <w:rPr>
          <w:rFonts w:eastAsia="Times New Roman"/>
          <w:lang w:val="fr-FR"/>
        </w:rPr>
        <w:tab/>
      </w:r>
      <w:r w:rsidRPr="002065FA">
        <w:rPr>
          <w:lang w:val="fr-FR"/>
        </w:rPr>
        <w:t>Fixation</w:t>
      </w:r>
      <w:r w:rsidRPr="002065FA">
        <w:rPr>
          <w:rFonts w:eastAsia="Times New Roman"/>
          <w:lang w:val="fr-FR"/>
        </w:rPr>
        <w:t xml:space="preserve"> des dispositifs d’attelage et des timons sur les remorques.</w:t>
      </w:r>
    </w:p>
    <w:p w14:paraId="58300CEF" w14:textId="77777777" w:rsidR="002065FA" w:rsidRPr="002065FA" w:rsidRDefault="002065FA" w:rsidP="00EB2A8E">
      <w:pPr>
        <w:pStyle w:val="SingleTxtG"/>
        <w:ind w:left="2268" w:hanging="1134"/>
        <w:rPr>
          <w:rFonts w:eastAsia="Times New Roman"/>
        </w:rPr>
      </w:pPr>
      <w:r w:rsidRPr="002065FA">
        <w:rPr>
          <w:rFonts w:eastAsia="Times New Roman"/>
          <w:lang w:val="fr-FR"/>
        </w:rPr>
        <w:t>1.4.1</w:t>
      </w:r>
      <w:r w:rsidRPr="002065FA">
        <w:rPr>
          <w:rFonts w:eastAsia="Times New Roman"/>
          <w:lang w:val="fr-FR"/>
        </w:rPr>
        <w:tab/>
        <w:t xml:space="preserve">Les timons pour remorques à essieu(x) médian(s) doivent être équipés d’une </w:t>
      </w:r>
      <w:r w:rsidRPr="002065FA">
        <w:rPr>
          <w:lang w:val="fr-FR"/>
        </w:rPr>
        <w:t>béquille</w:t>
      </w:r>
      <w:r w:rsidRPr="002065FA">
        <w:rPr>
          <w:rFonts w:eastAsia="Times New Roman"/>
          <w:lang w:val="fr-FR"/>
        </w:rPr>
        <w:t xml:space="preserve"> réglable en hauteur si la masse exercée sur le dispositif d’attelage de la remorque dépasse 50 kg lorsque la remorque est uniformément chargée à sa masse maximale techniquement admissible.</w:t>
      </w:r>
    </w:p>
    <w:p w14:paraId="466D059D" w14:textId="77777777" w:rsidR="002065FA" w:rsidRPr="002065FA" w:rsidRDefault="002065FA" w:rsidP="00EB2A8E">
      <w:pPr>
        <w:pStyle w:val="SingleTxtG"/>
        <w:ind w:left="2268"/>
      </w:pPr>
      <w:r w:rsidRPr="002065FA">
        <w:rPr>
          <w:lang w:val="fr-FR"/>
        </w:rPr>
        <w:t>Cette prescription ne s’applique pas aux remorques conçues pour des utilisations spéciales et qui ne sont normalement dételées qu’en atelier (attelages de la classe T) ou lorsque le chargement et le déchargement se font dans des zones prévues à cet effet.</w:t>
      </w:r>
    </w:p>
    <w:p w14:paraId="5F7D3B3D" w14:textId="77777777" w:rsidR="002065FA" w:rsidRPr="002065FA" w:rsidRDefault="002065FA" w:rsidP="00EB2A8E">
      <w:pPr>
        <w:pStyle w:val="SingleTxtG"/>
        <w:ind w:left="2268" w:hanging="1134"/>
        <w:rPr>
          <w:rFonts w:eastAsia="Times New Roman"/>
        </w:rPr>
      </w:pPr>
      <w:r w:rsidRPr="002065FA">
        <w:rPr>
          <w:rFonts w:eastAsia="Times New Roman"/>
          <w:lang w:val="fr-FR"/>
        </w:rPr>
        <w:t>1.4.2</w:t>
      </w:r>
      <w:r w:rsidRPr="002065FA">
        <w:rPr>
          <w:rFonts w:eastAsia="Times New Roman"/>
          <w:lang w:val="fr-FR"/>
        </w:rPr>
        <w:tab/>
        <w:t>Les remorques à essieu(x) médian(s) ayant plus d’un essieu d’une masse maximale C supérieure à 3,5 t attelées au moyen d’un dispositif d’attelage et d’un timon doivent être équipées d’un dispositif de répartition de la charge entre les essieux.</w:t>
      </w:r>
    </w:p>
    <w:p w14:paraId="62567FE1" w14:textId="77777777" w:rsidR="002065FA" w:rsidRPr="002065FA" w:rsidRDefault="002065FA" w:rsidP="00EB2A8E">
      <w:pPr>
        <w:pStyle w:val="SingleTxtG"/>
        <w:ind w:left="2268" w:hanging="1134"/>
        <w:rPr>
          <w:rFonts w:eastAsia="Times New Roman"/>
          <w:lang w:val="en-GB"/>
        </w:rPr>
      </w:pPr>
      <w:r w:rsidRPr="002065FA">
        <w:rPr>
          <w:rFonts w:eastAsia="Times New Roman"/>
          <w:lang w:val="fr-FR"/>
        </w:rPr>
        <w:t>1.4.3</w:t>
      </w:r>
      <w:r w:rsidRPr="002065FA">
        <w:rPr>
          <w:rFonts w:eastAsia="Times New Roman"/>
          <w:lang w:val="fr-FR"/>
        </w:rPr>
        <w:tab/>
        <w:t xml:space="preserve">Les timons articulés doivent rester au-dessus du sol en position basse. </w:t>
      </w:r>
      <w:r w:rsidRPr="002065FA">
        <w:rPr>
          <w:lang w:val="fr-FR"/>
        </w:rPr>
        <w:t>Lorsqu’ils</w:t>
      </w:r>
      <w:r w:rsidRPr="002065FA">
        <w:rPr>
          <w:rFonts w:eastAsia="Times New Roman"/>
          <w:lang w:val="fr-FR"/>
        </w:rPr>
        <w:t xml:space="preserve"> sont dételés à partir d’une position horizontale, ils ne doivent pas tomber en dessous d’une hauteur de 200 mm par rapport au sol. Voir aussi les paragraphes 5.3 et 5.4 de l’annexe 5. ».</w:t>
      </w:r>
    </w:p>
    <w:p w14:paraId="5C423B0E" w14:textId="7A185706" w:rsidR="00F9573C" w:rsidRPr="002065FA" w:rsidRDefault="002065FA" w:rsidP="002065FA">
      <w:pPr>
        <w:pStyle w:val="SingleTxtG"/>
        <w:spacing w:before="240" w:after="0"/>
        <w:jc w:val="center"/>
        <w:rPr>
          <w:u w:val="single"/>
        </w:rPr>
      </w:pPr>
      <w:r>
        <w:rPr>
          <w:u w:val="single"/>
        </w:rPr>
        <w:tab/>
      </w:r>
      <w:r>
        <w:rPr>
          <w:u w:val="single"/>
        </w:rPr>
        <w:tab/>
      </w:r>
      <w:r>
        <w:rPr>
          <w:u w:val="single"/>
        </w:rPr>
        <w:tab/>
      </w:r>
      <w:r>
        <w:rPr>
          <w:u w:val="single"/>
        </w:rPr>
        <w:tab/>
      </w:r>
    </w:p>
    <w:sectPr w:rsidR="00F9573C" w:rsidRPr="002065FA" w:rsidSect="002065F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6314" w14:textId="77777777" w:rsidR="00BE5085" w:rsidRDefault="00BE5085" w:rsidP="00F95C08">
      <w:pPr>
        <w:spacing w:line="240" w:lineRule="auto"/>
      </w:pPr>
    </w:p>
  </w:endnote>
  <w:endnote w:type="continuationSeparator" w:id="0">
    <w:p w14:paraId="1325F254" w14:textId="77777777" w:rsidR="00BE5085" w:rsidRPr="00AC3823" w:rsidRDefault="00BE5085" w:rsidP="00AC3823">
      <w:pPr>
        <w:pStyle w:val="Pieddepage"/>
      </w:pPr>
    </w:p>
  </w:endnote>
  <w:endnote w:type="continuationNotice" w:id="1">
    <w:p w14:paraId="4E824AE2" w14:textId="77777777" w:rsidR="00BE5085" w:rsidRDefault="00BE50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84F" w14:textId="5E3167D3" w:rsidR="002065FA" w:rsidRPr="002065FA" w:rsidRDefault="002065FA" w:rsidP="002065FA">
    <w:pPr>
      <w:pStyle w:val="Pieddepage"/>
      <w:tabs>
        <w:tab w:val="right" w:pos="9638"/>
      </w:tabs>
    </w:pPr>
    <w:r w:rsidRPr="002065FA">
      <w:rPr>
        <w:b/>
        <w:sz w:val="18"/>
      </w:rPr>
      <w:fldChar w:fldCharType="begin"/>
    </w:r>
    <w:r w:rsidRPr="002065FA">
      <w:rPr>
        <w:b/>
        <w:sz w:val="18"/>
      </w:rPr>
      <w:instrText xml:space="preserve"> PAGE  \* MERGEFORMAT </w:instrText>
    </w:r>
    <w:r w:rsidRPr="002065FA">
      <w:rPr>
        <w:b/>
        <w:sz w:val="18"/>
      </w:rPr>
      <w:fldChar w:fldCharType="separate"/>
    </w:r>
    <w:r w:rsidRPr="002065FA">
      <w:rPr>
        <w:b/>
        <w:noProof/>
        <w:sz w:val="18"/>
      </w:rPr>
      <w:t>2</w:t>
    </w:r>
    <w:r w:rsidRPr="002065FA">
      <w:rPr>
        <w:b/>
        <w:sz w:val="18"/>
      </w:rPr>
      <w:fldChar w:fldCharType="end"/>
    </w:r>
    <w:r>
      <w:rPr>
        <w:b/>
        <w:sz w:val="18"/>
      </w:rPr>
      <w:tab/>
    </w:r>
    <w:r>
      <w:t>GE.23-25758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2014" w14:textId="3AC62E92" w:rsidR="002065FA" w:rsidRPr="002065FA" w:rsidRDefault="002065FA" w:rsidP="002065FA">
    <w:pPr>
      <w:pStyle w:val="Pieddepage"/>
      <w:tabs>
        <w:tab w:val="right" w:pos="9638"/>
      </w:tabs>
      <w:rPr>
        <w:b/>
        <w:sz w:val="18"/>
      </w:rPr>
    </w:pPr>
    <w:r>
      <w:t>GE.23-25758</w:t>
    </w:r>
    <w:r>
      <w:tab/>
    </w:r>
    <w:r w:rsidRPr="002065FA">
      <w:rPr>
        <w:b/>
        <w:sz w:val="18"/>
      </w:rPr>
      <w:fldChar w:fldCharType="begin"/>
    </w:r>
    <w:r w:rsidRPr="002065FA">
      <w:rPr>
        <w:b/>
        <w:sz w:val="18"/>
      </w:rPr>
      <w:instrText xml:space="preserve"> PAGE  \* MERGEFORMAT </w:instrText>
    </w:r>
    <w:r w:rsidRPr="002065FA">
      <w:rPr>
        <w:b/>
        <w:sz w:val="18"/>
      </w:rPr>
      <w:fldChar w:fldCharType="separate"/>
    </w:r>
    <w:r w:rsidRPr="002065FA">
      <w:rPr>
        <w:b/>
        <w:noProof/>
        <w:sz w:val="18"/>
      </w:rPr>
      <w:t>3</w:t>
    </w:r>
    <w:r w:rsidRPr="002065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FC84" w14:textId="127B08C9" w:rsidR="007F20FA" w:rsidRPr="002065FA" w:rsidRDefault="002065FA" w:rsidP="002065F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63C837F" wp14:editId="42701E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23-25758  (F)</w:t>
    </w:r>
    <w:r>
      <w:rPr>
        <w:noProof/>
        <w:sz w:val="20"/>
      </w:rPr>
      <w:drawing>
        <wp:anchor distT="0" distB="0" distL="114300" distR="114300" simplePos="0" relativeHeight="251660288" behindDoc="0" locked="0" layoutInCell="1" allowOverlap="1" wp14:anchorId="032E7E94" wp14:editId="3E24516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5CA">
      <w:rPr>
        <w:sz w:val="20"/>
      </w:rPr>
      <w:t xml:space="preserve">    090124    100124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DD77" w14:textId="77777777" w:rsidR="00BE5085" w:rsidRPr="00AC3823" w:rsidRDefault="00BE5085" w:rsidP="00AC3823">
      <w:pPr>
        <w:pStyle w:val="Pieddepage"/>
        <w:tabs>
          <w:tab w:val="right" w:pos="2155"/>
        </w:tabs>
        <w:spacing w:after="80" w:line="240" w:lineRule="atLeast"/>
        <w:ind w:left="680"/>
        <w:rPr>
          <w:u w:val="single"/>
        </w:rPr>
      </w:pPr>
      <w:r>
        <w:rPr>
          <w:u w:val="single"/>
        </w:rPr>
        <w:tab/>
      </w:r>
    </w:p>
  </w:footnote>
  <w:footnote w:type="continuationSeparator" w:id="0">
    <w:p w14:paraId="13FF4209" w14:textId="77777777" w:rsidR="00BE5085" w:rsidRPr="00AC3823" w:rsidRDefault="00BE5085" w:rsidP="00AC3823">
      <w:pPr>
        <w:pStyle w:val="Pieddepage"/>
        <w:tabs>
          <w:tab w:val="right" w:pos="2155"/>
        </w:tabs>
        <w:spacing w:after="80" w:line="240" w:lineRule="atLeast"/>
        <w:ind w:left="680"/>
        <w:rPr>
          <w:u w:val="single"/>
        </w:rPr>
      </w:pPr>
      <w:r>
        <w:rPr>
          <w:u w:val="single"/>
        </w:rPr>
        <w:tab/>
      </w:r>
    </w:p>
  </w:footnote>
  <w:footnote w:type="continuationNotice" w:id="1">
    <w:p w14:paraId="692DEAB2" w14:textId="77777777" w:rsidR="00BE5085" w:rsidRPr="00AC3823" w:rsidRDefault="00BE5085">
      <w:pPr>
        <w:spacing w:line="240" w:lineRule="auto"/>
        <w:rPr>
          <w:sz w:val="2"/>
          <w:szCs w:val="2"/>
        </w:rPr>
      </w:pPr>
    </w:p>
  </w:footnote>
  <w:footnote w:id="2">
    <w:p w14:paraId="2A26D359" w14:textId="15B6224F" w:rsidR="003D3E4D" w:rsidRPr="003D3E4D" w:rsidRDefault="003D3E4D">
      <w:pPr>
        <w:pStyle w:val="Notedebasdepage"/>
      </w:pPr>
      <w:r>
        <w:rPr>
          <w:rStyle w:val="Appelnotedebasdep"/>
        </w:rPr>
        <w:tab/>
      </w:r>
      <w:r w:rsidRPr="003D3E4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F34F" w14:textId="0ECE827E" w:rsidR="002065FA" w:rsidRPr="002065FA" w:rsidRDefault="003D3E4D">
    <w:pPr>
      <w:pStyle w:val="En-tte"/>
    </w:pPr>
    <w:r>
      <w:fldChar w:fldCharType="begin"/>
    </w:r>
    <w:r>
      <w:instrText xml:space="preserve"> TITLE  \* MERGEFORMAT </w:instrText>
    </w:r>
    <w:r>
      <w:fldChar w:fldCharType="separate"/>
    </w:r>
    <w:r w:rsidR="00FC65CA">
      <w:t>ECE/TRANS/WP.29/2024/15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6532" w14:textId="382DAE8C" w:rsidR="002065FA" w:rsidRPr="002065FA" w:rsidRDefault="003D3E4D" w:rsidP="002065FA">
    <w:pPr>
      <w:pStyle w:val="En-tte"/>
      <w:jc w:val="right"/>
    </w:pPr>
    <w:r>
      <w:fldChar w:fldCharType="begin"/>
    </w:r>
    <w:r>
      <w:instrText xml:space="preserve"> TITLE  \* MERGEFORMAT </w:instrText>
    </w:r>
    <w:r>
      <w:fldChar w:fldCharType="separate"/>
    </w:r>
    <w:r w:rsidR="00FC65CA">
      <w:t>ECE/TRANS/WP.29/2024/15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85"/>
    <w:rsid w:val="00017F94"/>
    <w:rsid w:val="00023842"/>
    <w:rsid w:val="000334F9"/>
    <w:rsid w:val="00045FEB"/>
    <w:rsid w:val="0007796D"/>
    <w:rsid w:val="000B7790"/>
    <w:rsid w:val="00111F2F"/>
    <w:rsid w:val="0014365E"/>
    <w:rsid w:val="00143C66"/>
    <w:rsid w:val="00176178"/>
    <w:rsid w:val="001B5BA0"/>
    <w:rsid w:val="001F525A"/>
    <w:rsid w:val="00201148"/>
    <w:rsid w:val="002065FA"/>
    <w:rsid w:val="00223272"/>
    <w:rsid w:val="0024779E"/>
    <w:rsid w:val="00257168"/>
    <w:rsid w:val="002744B8"/>
    <w:rsid w:val="002832AC"/>
    <w:rsid w:val="002D7C93"/>
    <w:rsid w:val="00305801"/>
    <w:rsid w:val="003916DE"/>
    <w:rsid w:val="003D3E4D"/>
    <w:rsid w:val="00421996"/>
    <w:rsid w:val="00441C3B"/>
    <w:rsid w:val="00446FE5"/>
    <w:rsid w:val="00452396"/>
    <w:rsid w:val="004705FE"/>
    <w:rsid w:val="00477EB2"/>
    <w:rsid w:val="004837D8"/>
    <w:rsid w:val="004E2EED"/>
    <w:rsid w:val="004E468C"/>
    <w:rsid w:val="005505B7"/>
    <w:rsid w:val="00573BE5"/>
    <w:rsid w:val="00586ED3"/>
    <w:rsid w:val="00596AA9"/>
    <w:rsid w:val="00706B7D"/>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5085"/>
    <w:rsid w:val="00C02897"/>
    <w:rsid w:val="00C97039"/>
    <w:rsid w:val="00D3439C"/>
    <w:rsid w:val="00D7622E"/>
    <w:rsid w:val="00DB1831"/>
    <w:rsid w:val="00DD3BFD"/>
    <w:rsid w:val="00DF6678"/>
    <w:rsid w:val="00E0299A"/>
    <w:rsid w:val="00E85C74"/>
    <w:rsid w:val="00EA6547"/>
    <w:rsid w:val="00EB2A8E"/>
    <w:rsid w:val="00ED7237"/>
    <w:rsid w:val="00EF2E22"/>
    <w:rsid w:val="00F35BAF"/>
    <w:rsid w:val="00F660DF"/>
    <w:rsid w:val="00F94664"/>
    <w:rsid w:val="00F9573C"/>
    <w:rsid w:val="00F95C08"/>
    <w:rsid w:val="00FC65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A6D7"/>
  <w15:docId w15:val="{8455F14A-AF29-4CC9-A50B-7FDF86B9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EC92A-E970-4A54-8546-D4781E889779}"/>
</file>

<file path=customXml/itemProps2.xml><?xml version="1.0" encoding="utf-8"?>
<ds:datastoreItem xmlns:ds="http://schemas.openxmlformats.org/officeDocument/2006/customXml" ds:itemID="{92BBFA77-B170-4AAD-95D6-B637F63615F5}"/>
</file>

<file path=docProps/app.xml><?xml version="1.0" encoding="utf-8"?>
<Properties xmlns="http://schemas.openxmlformats.org/officeDocument/2006/extended-properties" xmlns:vt="http://schemas.openxmlformats.org/officeDocument/2006/docPropsVTypes">
  <Template>ECE_TRANS.dotm</Template>
  <TotalTime>1</TotalTime>
  <Pages>3</Pages>
  <Words>616</Words>
  <Characters>3512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ECE/TRANS/WP.29/2024/15</vt:lpstr>
    </vt:vector>
  </TitlesOfParts>
  <Company>DCM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ECE/TRANS/WP.29/2024/15</dc:title>
  <dc:subject/>
  <dc:creator>Nicolas MORIN</dc:creator>
  <cp:keywords/>
  <cp:lastModifiedBy>Nicolas Morin</cp:lastModifiedBy>
  <cp:revision>2</cp:revision>
  <cp:lastPrinted>2024-01-09T16:12:00Z</cp:lastPrinted>
  <dcterms:created xsi:type="dcterms:W3CDTF">2024-01-10T06:59:00Z</dcterms:created>
  <dcterms:modified xsi:type="dcterms:W3CDTF">2024-01-10T06:59:00Z</dcterms:modified>
</cp:coreProperties>
</file>