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0FE76C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004832" w14:textId="77777777" w:rsidR="002D5AAC" w:rsidRDefault="002D5AAC" w:rsidP="00BE48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DE989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904D9D" w14:textId="05FDCD1E" w:rsidR="002D5AAC" w:rsidRDefault="00BE4815" w:rsidP="00BE4815">
            <w:pPr>
              <w:jc w:val="right"/>
            </w:pPr>
            <w:r w:rsidRPr="00BE4815">
              <w:rPr>
                <w:sz w:val="40"/>
              </w:rPr>
              <w:t>ECE</w:t>
            </w:r>
            <w:r>
              <w:t>/TRANS/WP.29/GRBP/2024/1</w:t>
            </w:r>
          </w:p>
        </w:tc>
      </w:tr>
      <w:tr w:rsidR="002D5AAC" w:rsidRPr="00214A3C" w14:paraId="75ADA76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20463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67A073" wp14:editId="318345C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32076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90B84CE" w14:textId="77777777" w:rsidR="002D5AAC" w:rsidRDefault="00BE481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87F477E" w14:textId="77777777" w:rsidR="00BE4815" w:rsidRDefault="00BE4815" w:rsidP="00BE48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November 2023</w:t>
            </w:r>
          </w:p>
          <w:p w14:paraId="7DE466CD" w14:textId="77777777" w:rsidR="00BE4815" w:rsidRDefault="00BE4815" w:rsidP="00BE48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C53609A" w14:textId="08511427" w:rsidR="00BE4815" w:rsidRPr="008D53B6" w:rsidRDefault="00BE4815" w:rsidP="00BE481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1FCABE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324C11" w14:textId="77777777" w:rsidR="00BE4815" w:rsidRPr="00924A28" w:rsidRDefault="00BE4815" w:rsidP="00BE4815">
      <w:pPr>
        <w:spacing w:before="120"/>
        <w:rPr>
          <w:sz w:val="28"/>
          <w:szCs w:val="28"/>
        </w:rPr>
      </w:pPr>
      <w:r w:rsidRPr="00924A28">
        <w:rPr>
          <w:sz w:val="28"/>
          <w:szCs w:val="28"/>
        </w:rPr>
        <w:t>Комитет по внутреннему транспорту</w:t>
      </w:r>
    </w:p>
    <w:p w14:paraId="1D9D17AC" w14:textId="77777777" w:rsidR="00BE4815" w:rsidRPr="00924A28" w:rsidRDefault="00BE4815" w:rsidP="00BE4815">
      <w:pPr>
        <w:spacing w:before="120"/>
        <w:rPr>
          <w:b/>
          <w:sz w:val="24"/>
          <w:szCs w:val="24"/>
        </w:rPr>
      </w:pPr>
      <w:r w:rsidRPr="00924A28">
        <w:rPr>
          <w:b/>
          <w:bCs/>
          <w:sz w:val="24"/>
          <w:szCs w:val="24"/>
        </w:rPr>
        <w:t>Всемирный форум для согласования правил</w:t>
      </w:r>
      <w:r w:rsidRPr="00924A28">
        <w:rPr>
          <w:b/>
          <w:bCs/>
          <w:sz w:val="24"/>
          <w:szCs w:val="24"/>
        </w:rPr>
        <w:br/>
        <w:t>в области транспортных средств</w:t>
      </w:r>
    </w:p>
    <w:p w14:paraId="2EA1DFC0" w14:textId="77777777" w:rsidR="00BE4815" w:rsidRPr="00B5522B" w:rsidRDefault="00BE4815" w:rsidP="00BE4815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14:paraId="1311A06B" w14:textId="77777777" w:rsidR="00BE4815" w:rsidRPr="00B5522B" w:rsidRDefault="00BE4815" w:rsidP="00BE4815">
      <w:pPr>
        <w:spacing w:before="120"/>
        <w:rPr>
          <w:b/>
        </w:rPr>
      </w:pPr>
      <w:r>
        <w:rPr>
          <w:b/>
          <w:bCs/>
        </w:rPr>
        <w:t>Семьдесят девятая сессия</w:t>
      </w:r>
    </w:p>
    <w:p w14:paraId="2643F048" w14:textId="77777777" w:rsidR="00BE4815" w:rsidRPr="00B5522B" w:rsidRDefault="00BE4815" w:rsidP="00BE4815">
      <w:r>
        <w:t>Женева, 6–9 февраля 2024 года</w:t>
      </w:r>
      <w:bookmarkStart w:id="0" w:name="_Hlk30413188"/>
      <w:bookmarkEnd w:id="0"/>
    </w:p>
    <w:p w14:paraId="1765B19B" w14:textId="77777777" w:rsidR="00BE4815" w:rsidRPr="00B5522B" w:rsidRDefault="00BE4815" w:rsidP="00BE4815">
      <w:r>
        <w:t>Пункт 1 предварительной повестки дня</w:t>
      </w:r>
    </w:p>
    <w:p w14:paraId="335B4AAC" w14:textId="77777777" w:rsidR="00BE4815" w:rsidRPr="00B5522B" w:rsidRDefault="00BE4815" w:rsidP="00BE4815">
      <w:pPr>
        <w:rPr>
          <w:b/>
        </w:rPr>
      </w:pPr>
      <w:r>
        <w:rPr>
          <w:b/>
          <w:bCs/>
        </w:rPr>
        <w:t>Утверждение повестки дня</w:t>
      </w:r>
    </w:p>
    <w:p w14:paraId="1E22CA83" w14:textId="3E7718E2" w:rsidR="00BE4815" w:rsidRPr="00B5522B" w:rsidRDefault="00BE4815" w:rsidP="00BE4815">
      <w:pPr>
        <w:pStyle w:val="HChG"/>
        <w:ind w:right="992"/>
      </w:pPr>
      <w:r>
        <w:tab/>
      </w:r>
      <w:r>
        <w:tab/>
      </w:r>
      <w:r>
        <w:rPr>
          <w:bCs/>
        </w:rPr>
        <w:t>Аннотированная предварительная повестка дня семьдесят девятой сессии</w:t>
      </w:r>
      <w:r w:rsidRPr="00BE481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BE4815">
        <w:rPr>
          <w:b w:val="0"/>
          <w:bCs/>
          <w:sz w:val="20"/>
        </w:rPr>
        <w:t xml:space="preserve"> </w:t>
      </w:r>
      <w:r w:rsidRPr="00BE481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BE4815">
        <w:rPr>
          <w:b w:val="0"/>
          <w:bCs/>
          <w:sz w:val="20"/>
        </w:rPr>
        <w:t>,</w:t>
      </w:r>
      <w:r w:rsidRPr="0052789A">
        <w:rPr>
          <w:rStyle w:val="aa"/>
          <w:szCs w:val="28"/>
        </w:rPr>
        <w:t xml:space="preserve"> </w:t>
      </w:r>
    </w:p>
    <w:p w14:paraId="37BFD483" w14:textId="7A026BE4" w:rsidR="00BE4815" w:rsidRPr="00B5522B" w:rsidRDefault="00BE4815" w:rsidP="00214A3C">
      <w:pPr>
        <w:pStyle w:val="SingleTxtG"/>
        <w:jc w:val="left"/>
      </w:pPr>
      <w:r>
        <w:t xml:space="preserve">которая состоится во Дворце Наций в Женеве, начнется в 14 ч 30 мин 6 февраля </w:t>
      </w:r>
      <w:r>
        <w:br/>
        <w:t xml:space="preserve">и завершится в 12 ч 30 мин 9 февраля 2024 года </w:t>
      </w:r>
    </w:p>
    <w:p w14:paraId="55488606" w14:textId="77777777" w:rsidR="00BE4815" w:rsidRPr="00B5522B" w:rsidRDefault="00BE4815" w:rsidP="00BE4815">
      <w:pPr>
        <w:suppressAutoHyphens w:val="0"/>
        <w:spacing w:line="240" w:lineRule="auto"/>
        <w:rPr>
          <w:b/>
          <w:sz w:val="28"/>
        </w:rPr>
      </w:pPr>
      <w:r w:rsidRPr="00B5522B">
        <w:br w:type="page"/>
      </w:r>
    </w:p>
    <w:p w14:paraId="5A4A6540" w14:textId="77777777" w:rsidR="00BE4815" w:rsidRPr="0052789A" w:rsidRDefault="00BE4815" w:rsidP="00BE4815">
      <w:pPr>
        <w:pStyle w:val="HChG"/>
        <w:ind w:hanging="567"/>
      </w:pPr>
      <w:r>
        <w:rPr>
          <w:bCs/>
        </w:rPr>
        <w:lastRenderedPageBreak/>
        <w:t>I.</w:t>
      </w:r>
      <w:r>
        <w:tab/>
      </w:r>
      <w:r>
        <w:tab/>
      </w:r>
      <w:r>
        <w:rPr>
          <w:bCs/>
        </w:rPr>
        <w:t>Предварительная повестка дня</w:t>
      </w:r>
    </w:p>
    <w:p w14:paraId="731B369E" w14:textId="77777777" w:rsidR="00BE4815" w:rsidRPr="00B5522B" w:rsidRDefault="00BE4815" w:rsidP="00BE4815">
      <w:pPr>
        <w:pStyle w:val="SingleTxtG"/>
      </w:pPr>
      <w:r>
        <w:t>1.</w:t>
      </w:r>
      <w:r>
        <w:tab/>
        <w:t>Утверждение повестки дня.</w:t>
      </w:r>
    </w:p>
    <w:p w14:paraId="760B3A97" w14:textId="77777777" w:rsidR="00BE4815" w:rsidRPr="00B5522B" w:rsidRDefault="00BE4815" w:rsidP="00BE4815">
      <w:pPr>
        <w:pStyle w:val="SingleTxtG"/>
      </w:pPr>
      <w:r>
        <w:t>2.</w:t>
      </w:r>
      <w:r>
        <w:tab/>
        <w:t>Правила № 41 ООН (шум, производимый мотоциклами).</w:t>
      </w:r>
    </w:p>
    <w:p w14:paraId="27D3A1FA" w14:textId="77777777" w:rsidR="00BE4815" w:rsidRPr="00B5522B" w:rsidRDefault="00BE4815" w:rsidP="00BE4815">
      <w:pPr>
        <w:pStyle w:val="SingleTxtG"/>
        <w:ind w:left="1701" w:hanging="567"/>
      </w:pPr>
      <w:r>
        <w:t>3.</w:t>
      </w:r>
      <w:r>
        <w:tab/>
        <w:t>Правила № 51 ООН (шум, производимый транспортными средствами категорий M и N).</w:t>
      </w:r>
    </w:p>
    <w:p w14:paraId="7CF9B5AE" w14:textId="77777777" w:rsidR="00BE4815" w:rsidRPr="00B5522B" w:rsidRDefault="00BE4815" w:rsidP="00BE4815">
      <w:pPr>
        <w:pStyle w:val="SingleTxtG"/>
      </w:pPr>
      <w:r>
        <w:t>4.</w:t>
      </w:r>
      <w:r>
        <w:tab/>
        <w:t>Правила № 63 ООН (шум, производимый мопедами).</w:t>
      </w:r>
    </w:p>
    <w:p w14:paraId="12BBC774" w14:textId="77777777" w:rsidR="00BE4815" w:rsidRPr="00B5522B" w:rsidRDefault="00BE4815" w:rsidP="00BE4815">
      <w:pPr>
        <w:pStyle w:val="SingleTxtG"/>
      </w:pPr>
      <w:r>
        <w:t>5.</w:t>
      </w:r>
      <w:r>
        <w:tab/>
        <w:t>Правила № 92 ООН (сменные системы глушителей для мотоциклов).</w:t>
      </w:r>
    </w:p>
    <w:p w14:paraId="48DF6EB4" w14:textId="77777777" w:rsidR="00BE4815" w:rsidRPr="00B5522B" w:rsidRDefault="00BE4815" w:rsidP="00BE4815">
      <w:pPr>
        <w:pStyle w:val="SingleTxtG"/>
      </w:pPr>
      <w:r>
        <w:t>6.</w:t>
      </w:r>
      <w:r>
        <w:tab/>
        <w:t>Правила № 138 ООН (бесшумные автотранспортные средства).</w:t>
      </w:r>
    </w:p>
    <w:p w14:paraId="3EA6C6C2" w14:textId="77777777" w:rsidR="00BE4815" w:rsidRPr="00B5522B" w:rsidRDefault="00BE4815" w:rsidP="00BE4815">
      <w:pPr>
        <w:pStyle w:val="SingleTxtG"/>
      </w:pPr>
      <w:r>
        <w:t>7.</w:t>
      </w:r>
      <w:r>
        <w:tab/>
        <w:t>Шины:</w:t>
      </w:r>
    </w:p>
    <w:p w14:paraId="1F23D260" w14:textId="77777777" w:rsidR="00BE4815" w:rsidRPr="00B5522B" w:rsidRDefault="00BE4815" w:rsidP="00BE4815">
      <w:pPr>
        <w:pStyle w:val="SingleTxtG"/>
        <w:ind w:firstLine="567"/>
      </w:pPr>
      <w:r>
        <w:t>a)</w:t>
      </w:r>
      <w:r>
        <w:tab/>
        <w:t>Правила № 30 ООН (шины для легковых автомобилей и их прицепов);</w:t>
      </w:r>
    </w:p>
    <w:p w14:paraId="3C4A74CF" w14:textId="77777777" w:rsidR="00BE4815" w:rsidRPr="00B5522B" w:rsidRDefault="00BE4815" w:rsidP="00BE4815">
      <w:pPr>
        <w:pStyle w:val="SingleTxtG"/>
        <w:ind w:left="2268" w:hanging="567"/>
      </w:pPr>
      <w:r>
        <w:t>b)</w:t>
      </w:r>
      <w:r>
        <w:tab/>
        <w:t>Правила № 54 ООН (шины для коммерческих транспортных средств и их прицепов);</w:t>
      </w:r>
    </w:p>
    <w:p w14:paraId="0F6FEB11" w14:textId="77777777" w:rsidR="00BE4815" w:rsidRPr="00B5522B" w:rsidRDefault="00BE4815" w:rsidP="00BE4815">
      <w:pPr>
        <w:pStyle w:val="SingleTxtG"/>
        <w:ind w:firstLine="567"/>
      </w:pPr>
      <w:r>
        <w:t>c)</w:t>
      </w:r>
      <w:r>
        <w:tab/>
        <w:t>правила ООН, касающиеся шин с восстановленным протектором;</w:t>
      </w:r>
    </w:p>
    <w:p w14:paraId="539991B0" w14:textId="77777777" w:rsidR="00BE4815" w:rsidRPr="00B5522B" w:rsidRDefault="00BE4815" w:rsidP="00BE4815">
      <w:pPr>
        <w:pStyle w:val="SingleTxtG"/>
        <w:ind w:left="2268" w:hanging="567"/>
      </w:pPr>
      <w:r>
        <w:t>d)</w:t>
      </w:r>
      <w:r>
        <w:tab/>
        <w:t>Правила № 117 ООН (сопротивление шин качению, шум, издаваемый шинами при качении, и их сцепление на мокрой поверхности);</w:t>
      </w:r>
    </w:p>
    <w:p w14:paraId="4576F4B7" w14:textId="77777777" w:rsidR="00BE4815" w:rsidRPr="00B5522B" w:rsidRDefault="00BE4815" w:rsidP="00BE4815">
      <w:pPr>
        <w:pStyle w:val="SingleTxtG"/>
        <w:ind w:firstLine="567"/>
      </w:pPr>
      <w:r>
        <w:t>e)</w:t>
      </w:r>
      <w:r>
        <w:tab/>
        <w:t>Правила № 124 ООН (сменные колеса для легковых автомобилей);</w:t>
      </w:r>
    </w:p>
    <w:p w14:paraId="7F96D9E8" w14:textId="77777777" w:rsidR="00BE4815" w:rsidRPr="00B5522B" w:rsidRDefault="00BE4815" w:rsidP="00BE4815">
      <w:pPr>
        <w:pStyle w:val="SingleTxtG"/>
        <w:ind w:firstLine="567"/>
      </w:pPr>
      <w:r>
        <w:t>f)</w:t>
      </w:r>
      <w:r>
        <w:tab/>
        <w:t>износ шин;</w:t>
      </w:r>
    </w:p>
    <w:p w14:paraId="593299C8" w14:textId="77777777" w:rsidR="00BE4815" w:rsidRPr="00B5522B" w:rsidRDefault="00BE4815" w:rsidP="00BE4815">
      <w:pPr>
        <w:pStyle w:val="SingleTxtG"/>
        <w:ind w:firstLine="567"/>
      </w:pPr>
      <w:r>
        <w:t>g)</w:t>
      </w:r>
      <w:r>
        <w:tab/>
        <w:t>другие правила ООН, касающиеся шин.</w:t>
      </w:r>
    </w:p>
    <w:p w14:paraId="05427B48" w14:textId="77777777" w:rsidR="00BE4815" w:rsidRPr="00B5522B" w:rsidRDefault="00BE4815" w:rsidP="00BE4815">
      <w:pPr>
        <w:pStyle w:val="SingleTxtG"/>
        <w:ind w:left="1701" w:hanging="567"/>
      </w:pPr>
      <w:r>
        <w:t>8.</w:t>
      </w:r>
      <w:r>
        <w:tab/>
        <w:t>Обмен информацией о национальных и международных требованиях, касающихся уровней шума.</w:t>
      </w:r>
    </w:p>
    <w:p w14:paraId="628022AA" w14:textId="77777777" w:rsidR="00BE4815" w:rsidRPr="00B5522B" w:rsidRDefault="00BE4815" w:rsidP="00BE4815">
      <w:pPr>
        <w:pStyle w:val="SingleTxtG"/>
        <w:ind w:left="1701" w:hanging="567"/>
      </w:pPr>
      <w:r>
        <w:t>9.</w:t>
      </w:r>
      <w:r>
        <w:tab/>
        <w:t>Предложения по поправкам к Сводной резолюции о конструкции транспортных средств.</w:t>
      </w:r>
    </w:p>
    <w:p w14:paraId="68BEC5B9" w14:textId="77777777" w:rsidR="00BE4815" w:rsidRPr="00B5522B" w:rsidRDefault="00BE4815" w:rsidP="00BE4815">
      <w:pPr>
        <w:pStyle w:val="SingleTxtG"/>
        <w:ind w:left="1701" w:hanging="567"/>
      </w:pPr>
      <w:r>
        <w:t>10.</w:t>
      </w:r>
      <w:r>
        <w:tab/>
        <w:t>Разработка международной системы официального утверждения типа комплектного транспортного средства.</w:t>
      </w:r>
    </w:p>
    <w:p w14:paraId="79B42E9C" w14:textId="77777777" w:rsidR="00BE4815" w:rsidRPr="00B5522B" w:rsidRDefault="00BE4815" w:rsidP="00BE4815">
      <w:pPr>
        <w:pStyle w:val="SingleTxtG"/>
        <w:ind w:left="1710" w:hanging="576"/>
      </w:pPr>
      <w:r>
        <w:t>11.</w:t>
      </w:r>
      <w:r>
        <w:tab/>
        <w:t>Основные вопросы, рассмотренные на недавних сессиях Всемирного форума для согласования правил в области транспортных средств.</w:t>
      </w:r>
    </w:p>
    <w:p w14:paraId="106CFFCD" w14:textId="77777777" w:rsidR="00BE4815" w:rsidRPr="00B5522B" w:rsidRDefault="00BE4815" w:rsidP="00BE4815">
      <w:pPr>
        <w:pStyle w:val="SingleTxtG"/>
        <w:ind w:left="1701" w:hanging="567"/>
      </w:pPr>
      <w:r>
        <w:t>12.</w:t>
      </w:r>
      <w:r>
        <w:tab/>
        <w:t>Обмен мнениями о будущей деятельности Рабочей группы по вопросам шума и шин.</w:t>
      </w:r>
    </w:p>
    <w:p w14:paraId="409E08F4" w14:textId="77777777" w:rsidR="00BE4815" w:rsidRPr="00B5522B" w:rsidRDefault="00BE4815" w:rsidP="00BE4815">
      <w:pPr>
        <w:pStyle w:val="SingleTxtG"/>
      </w:pPr>
      <w:r>
        <w:t>13.</w:t>
      </w:r>
      <w:r>
        <w:tab/>
        <w:t>Прочие вопросы.</w:t>
      </w:r>
    </w:p>
    <w:p w14:paraId="09CA5C4D" w14:textId="77777777" w:rsidR="00BE4815" w:rsidRPr="00B5522B" w:rsidRDefault="00BE4815" w:rsidP="00BE4815">
      <w:pPr>
        <w:pStyle w:val="SingleTxtG"/>
      </w:pPr>
      <w:r>
        <w:t>14.</w:t>
      </w:r>
      <w:r>
        <w:tab/>
        <w:t>Предварительная повестка дня следующей сессии.</w:t>
      </w:r>
    </w:p>
    <w:p w14:paraId="3343996A" w14:textId="77777777" w:rsidR="00BE4815" w:rsidRPr="00B5522B" w:rsidRDefault="00BE4815" w:rsidP="00BE4815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Аннотации</w:t>
      </w:r>
    </w:p>
    <w:p w14:paraId="43614E20" w14:textId="77777777" w:rsidR="00BE4815" w:rsidRPr="00B5522B" w:rsidRDefault="00BE4815" w:rsidP="00BE4815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06FEFA92" w14:textId="4FF228A7" w:rsidR="00BE4815" w:rsidRPr="00B5522B" w:rsidRDefault="00BE4815" w:rsidP="00BE4815">
      <w:pPr>
        <w:pStyle w:val="SingleTxtG"/>
        <w:ind w:firstLine="567"/>
      </w:pPr>
      <w:r>
        <w:t>В соответствии с правилом 7 главы III правил процедуры (TRANS/WP.29/</w:t>
      </w:r>
      <w:r w:rsidR="00214A3C">
        <w:br/>
      </w:r>
      <w:r>
        <w:t>690/Rev.2) Всемирного форума для согласования правил в области транспортных средств (WP.29) первым пунктом предварительной повестки дня является ее утверждение.</w:t>
      </w:r>
    </w:p>
    <w:p w14:paraId="7EDF5773" w14:textId="77777777" w:rsidR="00BE4815" w:rsidRPr="00B5522B" w:rsidRDefault="00BE4815" w:rsidP="00BE4815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592AE19E" w14:textId="0509785E" w:rsidR="00BE4815" w:rsidRPr="00B5522B" w:rsidRDefault="00BE4815" w:rsidP="00BE4815">
      <w:pPr>
        <w:pStyle w:val="SingleTxtG"/>
        <w:spacing w:after="0"/>
      </w:pPr>
      <w:r>
        <w:t>ECE/TRANS/WP.29/GRBP/2024/1</w:t>
      </w:r>
    </w:p>
    <w:p w14:paraId="5D1E5A91" w14:textId="77777777" w:rsidR="00BE4815" w:rsidRPr="00B5522B" w:rsidRDefault="00BE4815" w:rsidP="00BE4815">
      <w:pPr>
        <w:pStyle w:val="H1G"/>
      </w:pPr>
      <w:r>
        <w:rPr>
          <w:bCs/>
        </w:rPr>
        <w:lastRenderedPageBreak/>
        <w:tab/>
        <w:t>2.</w:t>
      </w:r>
      <w:r>
        <w:tab/>
      </w:r>
      <w:r>
        <w:rPr>
          <w:bCs/>
        </w:rPr>
        <w:t>Правила № 41 ООН (шум, производимый мотоциклами)</w:t>
      </w:r>
    </w:p>
    <w:p w14:paraId="7085434A" w14:textId="68E7FB58" w:rsidR="00BE4815" w:rsidRPr="00B5522B" w:rsidRDefault="00BE4815" w:rsidP="00BE4815">
      <w:pPr>
        <w:pStyle w:val="SingleTxtG"/>
        <w:ind w:firstLine="567"/>
      </w:pPr>
      <w:r>
        <w:t>GRBP напомнит, что на ее предыдущей сессии было принято решение вернуться к предложениям, подготовленным экспертами от Международной ассоциации заводов-изготовителей мотоциклов (МАЗМ) и Международной организации по стандартизации (ИСО) с целью разрешить использование испытательного трека, отвечающего требованиям новейшего стандарта ISO</w:t>
      </w:r>
      <w:r w:rsidR="00830B48">
        <w:rPr>
          <w:lang w:val="en-US"/>
        </w:rPr>
        <w:t> </w:t>
      </w:r>
      <w:r>
        <w:t>10844:2021.</w:t>
      </w:r>
    </w:p>
    <w:p w14:paraId="43736D30" w14:textId="77777777" w:rsidR="00BE4815" w:rsidRPr="00B5522B" w:rsidRDefault="00BE4815" w:rsidP="00BE4815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3E30954B" w14:textId="26A25821" w:rsidR="00BE4815" w:rsidRPr="00B5522B" w:rsidRDefault="00BE4815" w:rsidP="00BE4815">
      <w:pPr>
        <w:pStyle w:val="SingleTxtG"/>
        <w:jc w:val="left"/>
      </w:pPr>
      <w:bookmarkStart w:id="1" w:name="_Hlk137448683"/>
      <w:r>
        <w:t>ECE/TRANS/WP.29/GRBP/2023/14, ECE/TRANS/WP.29/GRBP/2023/15, неофициальный документ GRBP-78-19</w:t>
      </w:r>
      <w:bookmarkEnd w:id="1"/>
    </w:p>
    <w:p w14:paraId="68DC2354" w14:textId="77777777" w:rsidR="00BE4815" w:rsidRPr="00B5522B" w:rsidRDefault="00BE4815" w:rsidP="00BE4815">
      <w:pPr>
        <w:pStyle w:val="H1G"/>
        <w:keepNext w:val="0"/>
        <w:keepLines w:val="0"/>
      </w:pPr>
      <w:r>
        <w:rPr>
          <w:bCs/>
        </w:rPr>
        <w:tab/>
        <w:t>3.</w:t>
      </w:r>
      <w:r>
        <w:tab/>
      </w:r>
      <w:r>
        <w:rPr>
          <w:bCs/>
        </w:rPr>
        <w:t>Правила № 51 ООН (шум, производимый транспортными средствами категорий M и N)</w:t>
      </w:r>
    </w:p>
    <w:p w14:paraId="6044397C" w14:textId="77777777" w:rsidR="00BE4815" w:rsidRPr="00B5522B" w:rsidRDefault="00BE4815" w:rsidP="00BE4815">
      <w:pPr>
        <w:pStyle w:val="SingleTxtG"/>
        <w:ind w:firstLine="567"/>
      </w:pPr>
      <w:r>
        <w:t xml:space="preserve">GRBP получит окончательный доклад о работе неофициальной рабочей группы по неточностям в измерениях (НРГ по НИ) и рассмотрит ее предложение по справочному документу.  </w:t>
      </w:r>
    </w:p>
    <w:p w14:paraId="345E406F" w14:textId="77777777" w:rsidR="00BE4815" w:rsidRPr="00B5522B" w:rsidRDefault="00BE4815" w:rsidP="00BE4815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1EDABBDE" w14:textId="77777777" w:rsidR="00BE4815" w:rsidRPr="00B5522B" w:rsidRDefault="00BE4815" w:rsidP="00BE4815">
      <w:pPr>
        <w:spacing w:after="120"/>
        <w:ind w:left="1134" w:right="1134"/>
        <w:jc w:val="both"/>
      </w:pPr>
      <w:r>
        <w:t>ECE/TRANS/WP.29/GRBP/2024/8</w:t>
      </w:r>
    </w:p>
    <w:p w14:paraId="4865E972" w14:textId="0BDB8770" w:rsidR="00BE4815" w:rsidRPr="00B5522B" w:rsidRDefault="00830B48" w:rsidP="00830B48">
      <w:pPr>
        <w:pStyle w:val="SingleTxtG"/>
      </w:pPr>
      <w:r>
        <w:tab/>
      </w:r>
      <w:r w:rsidR="00BE4815">
        <w:t xml:space="preserve">GRBP также будет проинформирована о деятельности неофициальной рабочей группы по дополнительным положениям об уровне звука в реальных условиях вождения (НРГ РД-АСЕП). </w:t>
      </w:r>
    </w:p>
    <w:p w14:paraId="08B9A44B" w14:textId="77777777" w:rsidR="00BE4815" w:rsidRPr="00B5522B" w:rsidRDefault="00BE4815" w:rsidP="00BE4815">
      <w:pPr>
        <w:pStyle w:val="H1G"/>
      </w:pPr>
      <w:r>
        <w:rPr>
          <w:bCs/>
        </w:rPr>
        <w:tab/>
        <w:t>4.</w:t>
      </w:r>
      <w:r>
        <w:tab/>
      </w:r>
      <w:r>
        <w:rPr>
          <w:bCs/>
        </w:rPr>
        <w:t>Правила № 63 ООН (шум, производимый мопедами)</w:t>
      </w:r>
      <w:bookmarkStart w:id="2" w:name="_Hlk137466054"/>
      <w:bookmarkEnd w:id="2"/>
    </w:p>
    <w:p w14:paraId="54E0779C" w14:textId="77777777" w:rsidR="00BE4815" w:rsidRPr="00B5522B" w:rsidRDefault="00BE4815" w:rsidP="00BE4815">
      <w:pPr>
        <w:pStyle w:val="SingleTxtG"/>
        <w:ind w:firstLine="567"/>
      </w:pPr>
      <w:r>
        <w:t>GRBP предлагается вернуться к рассмотрению предложений, представленных экспертами от МАЗМ и ИСО с целью разрешить использование испытательного трека, отвечающего требованиям новейшего стандарта ISO 10844:2021.</w:t>
      </w:r>
    </w:p>
    <w:p w14:paraId="42597583" w14:textId="77777777" w:rsidR="00BE4815" w:rsidRPr="00B5522B" w:rsidRDefault="00BE4815" w:rsidP="00BE4815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7CFDF442" w14:textId="77777777" w:rsidR="00BE4815" w:rsidRPr="00B5522B" w:rsidRDefault="00BE4815" w:rsidP="00BE4815">
      <w:pPr>
        <w:spacing w:after="120"/>
        <w:ind w:left="1134" w:right="1134"/>
        <w:jc w:val="both"/>
      </w:pPr>
      <w:r>
        <w:t>ECE/TRANS/WP.29/GRBP/2023/16, неофициальный документ GRBP-78-19</w:t>
      </w:r>
    </w:p>
    <w:p w14:paraId="359087BB" w14:textId="7E9AB490" w:rsidR="00BE4815" w:rsidRPr="00B5522B" w:rsidRDefault="00BE4815" w:rsidP="00BE4815">
      <w:pPr>
        <w:pStyle w:val="H1G"/>
        <w:keepNext w:val="0"/>
        <w:keepLines w:val="0"/>
      </w:pPr>
      <w:r>
        <w:rPr>
          <w:bCs/>
        </w:rPr>
        <w:tab/>
        <w:t>5.</w:t>
      </w:r>
      <w:r>
        <w:tab/>
      </w:r>
      <w:r>
        <w:rPr>
          <w:bCs/>
        </w:rPr>
        <w:t>Правила № 92 ООН (сменные системы глушителей для</w:t>
      </w:r>
      <w:r w:rsidR="00214A3C">
        <w:rPr>
          <w:bCs/>
          <w:lang w:val="en-US"/>
        </w:rPr>
        <w:t> </w:t>
      </w:r>
      <w:r>
        <w:rPr>
          <w:bCs/>
        </w:rPr>
        <w:t>мотоциклов)</w:t>
      </w:r>
      <w:bookmarkStart w:id="3" w:name="_Hlk137466077"/>
      <w:bookmarkEnd w:id="3"/>
    </w:p>
    <w:p w14:paraId="04B3DF3D" w14:textId="77777777" w:rsidR="00BE4815" w:rsidRPr="00B5522B" w:rsidRDefault="00BE4815" w:rsidP="00BE4815">
      <w:pPr>
        <w:pStyle w:val="SingleTxtG"/>
        <w:ind w:firstLine="567"/>
      </w:pPr>
      <w:r>
        <w:t>GRBP напомнит, что на своей предыдущей сессии она приняла руководство по положениям о противодействии несанкционированным конструктивным изменениям неоригинальных сменных систем глушителей (НОССГ), которое было подготовлено экспертом от МАЗМ. В качестве следующего этапа GRBP решила изучить возможность включения этого руководства в Правила № 92 ООН.</w:t>
      </w:r>
    </w:p>
    <w:p w14:paraId="0387D386" w14:textId="77777777" w:rsidR="00BE4815" w:rsidRPr="00B5522B" w:rsidRDefault="00BE4815" w:rsidP="00BE4815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0CCA5D2D" w14:textId="77777777" w:rsidR="00BE4815" w:rsidRPr="00B5522B" w:rsidRDefault="00BE4815" w:rsidP="00BE4815">
      <w:pPr>
        <w:spacing w:after="120"/>
        <w:ind w:left="1134" w:right="1134"/>
        <w:jc w:val="both"/>
      </w:pPr>
      <w:r>
        <w:t>ECE/TRANS/WP.29/GRBP/2023/17</w:t>
      </w:r>
    </w:p>
    <w:p w14:paraId="4A65423E" w14:textId="77777777" w:rsidR="00BE4815" w:rsidRPr="00B5522B" w:rsidRDefault="00BE4815" w:rsidP="00BE4815">
      <w:pPr>
        <w:pStyle w:val="H1G"/>
        <w:keepNext w:val="0"/>
        <w:keepLines w:val="0"/>
      </w:pPr>
      <w:r>
        <w:rPr>
          <w:bCs/>
        </w:rPr>
        <w:tab/>
        <w:t>6.</w:t>
      </w:r>
      <w:r>
        <w:tab/>
      </w:r>
      <w:r>
        <w:rPr>
          <w:bCs/>
        </w:rPr>
        <w:t>Правила № 138 ООН (бесшумные автотранспортные средства)</w:t>
      </w:r>
    </w:p>
    <w:p w14:paraId="29AB1586" w14:textId="77777777" w:rsidR="00BE4815" w:rsidRPr="00B5522B" w:rsidRDefault="00BE4815" w:rsidP="00BE4815">
      <w:pPr>
        <w:spacing w:after="120"/>
        <w:ind w:left="1134" w:right="1134"/>
        <w:jc w:val="both"/>
      </w:pPr>
      <w:r>
        <w:tab/>
      </w:r>
      <w:r>
        <w:tab/>
        <w:t>GRBP будет проинформирована о деятельности Целевой группы по бесшумным автотранспортным средствам (ЦГ БАТС) и рассмотрит ее предложение по новой серии поправок к Правилам № 138 ООН.</w:t>
      </w:r>
    </w:p>
    <w:p w14:paraId="236576B8" w14:textId="77777777" w:rsidR="00BE4815" w:rsidRPr="00B5522B" w:rsidRDefault="00BE4815" w:rsidP="00BE4815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06883DCD" w14:textId="77777777" w:rsidR="00BE4815" w:rsidRPr="00B5522B" w:rsidRDefault="00BE4815" w:rsidP="00BE4815">
      <w:pPr>
        <w:spacing w:after="120"/>
        <w:ind w:left="1134" w:right="1134"/>
        <w:jc w:val="both"/>
      </w:pPr>
      <w:r>
        <w:t>ECE/TRANS/WP.29/GRBP/2024/2</w:t>
      </w:r>
    </w:p>
    <w:p w14:paraId="33B7837E" w14:textId="77777777" w:rsidR="00BE4815" w:rsidRPr="00B5522B" w:rsidRDefault="00BE4815" w:rsidP="00BE4815">
      <w:pPr>
        <w:pStyle w:val="H1G"/>
      </w:pPr>
      <w:r>
        <w:rPr>
          <w:bCs/>
        </w:rPr>
        <w:lastRenderedPageBreak/>
        <w:tab/>
        <w:t>7.</w:t>
      </w:r>
      <w:r>
        <w:tab/>
      </w:r>
      <w:r>
        <w:rPr>
          <w:bCs/>
        </w:rPr>
        <w:t>Шины</w:t>
      </w:r>
    </w:p>
    <w:p w14:paraId="223C3E16" w14:textId="77777777" w:rsidR="00BE4815" w:rsidRPr="00B5522B" w:rsidRDefault="00BE4815" w:rsidP="00BE4815">
      <w:pPr>
        <w:pStyle w:val="H23G"/>
        <w:keepNext w:val="0"/>
        <w:keepLines w:val="0"/>
      </w:pPr>
      <w:r>
        <w:rPr>
          <w:bCs/>
        </w:rPr>
        <w:tab/>
        <w:t>a)</w:t>
      </w:r>
      <w:r>
        <w:tab/>
      </w:r>
      <w:r>
        <w:tab/>
      </w:r>
      <w:r>
        <w:rPr>
          <w:bCs/>
        </w:rPr>
        <w:t>Правила № 30 ООН (шины для легковых автомобилей и их прицепов)</w:t>
      </w:r>
    </w:p>
    <w:p w14:paraId="7C268624" w14:textId="77777777" w:rsidR="00BE4815" w:rsidRPr="00B5522B" w:rsidRDefault="00BE4815" w:rsidP="00BE4815">
      <w:pPr>
        <w:pStyle w:val="SingleTxtG"/>
        <w:ind w:firstLine="567"/>
      </w:pPr>
      <w:r>
        <w:t xml:space="preserve">GRBP предлагается рассмотреть предложение по поправкам, подготовленное экспертами от Европейской технической организации по вопросам пневматических шин и ободьев колес (ЕТОПОК). </w:t>
      </w:r>
    </w:p>
    <w:p w14:paraId="6CF4FD19" w14:textId="77777777" w:rsidR="00BE4815" w:rsidRPr="00B5522B" w:rsidRDefault="00BE4815" w:rsidP="00BE4815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0D9EA930" w14:textId="45F3A272" w:rsidR="00BE4815" w:rsidRPr="00B5522B" w:rsidRDefault="00BE4815" w:rsidP="00BE4815">
      <w:pPr>
        <w:ind w:left="1134" w:right="1134"/>
        <w:jc w:val="both"/>
      </w:pPr>
      <w:r>
        <w:t>ECE/TRANS/WP.29/GRBP/2024/15</w:t>
      </w:r>
    </w:p>
    <w:p w14:paraId="1ACD48B8" w14:textId="2EABD578" w:rsidR="00BE4815" w:rsidRPr="00B5522B" w:rsidRDefault="00BE4815" w:rsidP="00BE4815">
      <w:pPr>
        <w:pStyle w:val="H23G"/>
        <w:keepNext w:val="0"/>
        <w:keepLines w:val="0"/>
      </w:pPr>
      <w:r>
        <w:rPr>
          <w:bCs/>
        </w:rPr>
        <w:tab/>
        <w:t>b)</w:t>
      </w:r>
      <w:r>
        <w:tab/>
      </w:r>
      <w:r>
        <w:tab/>
      </w:r>
      <w:r>
        <w:rPr>
          <w:bCs/>
        </w:rPr>
        <w:t xml:space="preserve">Правила № 54 ООН (шины для коммерческих транспортных средств </w:t>
      </w:r>
      <w:r w:rsidR="001137D6">
        <w:rPr>
          <w:bCs/>
        </w:rPr>
        <w:br/>
      </w:r>
      <w:r>
        <w:rPr>
          <w:bCs/>
        </w:rPr>
        <w:t>и их прицепов)</w:t>
      </w:r>
    </w:p>
    <w:p w14:paraId="506B69C0" w14:textId="77777777" w:rsidR="00BE4815" w:rsidRPr="00B5522B" w:rsidRDefault="00BE4815" w:rsidP="00BE4815">
      <w:pPr>
        <w:pStyle w:val="SingleTxtG"/>
        <w:ind w:firstLine="567"/>
      </w:pPr>
      <w:r>
        <w:t>GRBP рассмотрит предложение эксперта от Франции о согласовании приложения 9 с приложением 1.</w:t>
      </w:r>
    </w:p>
    <w:p w14:paraId="43C4B95A" w14:textId="77777777" w:rsidR="00BE4815" w:rsidRPr="00B5522B" w:rsidRDefault="00BE4815" w:rsidP="00BE4815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6D0779EC" w14:textId="719EFA16" w:rsidR="00BE4815" w:rsidRPr="00B5522B" w:rsidRDefault="00BE4815" w:rsidP="00BE4815">
      <w:pPr>
        <w:ind w:left="1134" w:right="1134"/>
        <w:jc w:val="both"/>
      </w:pPr>
      <w:r>
        <w:t>ECE/TRANS/WP.29/GRBP/2024/14</w:t>
      </w:r>
    </w:p>
    <w:p w14:paraId="52DD56D5" w14:textId="77777777" w:rsidR="00BE4815" w:rsidRPr="00B5522B" w:rsidRDefault="00BE4815" w:rsidP="00BE4815">
      <w:pPr>
        <w:pStyle w:val="H23G"/>
        <w:keepNext w:val="0"/>
        <w:keepLines w:val="0"/>
      </w:pPr>
      <w:r>
        <w:rPr>
          <w:bCs/>
        </w:rPr>
        <w:tab/>
        <w:t>c)</w:t>
      </w:r>
      <w:r>
        <w:t xml:space="preserve"> </w:t>
      </w:r>
      <w:r>
        <w:tab/>
      </w:r>
      <w:r>
        <w:rPr>
          <w:bCs/>
        </w:rPr>
        <w:t>Правила ООН, касающиеся шин с восстановленным протектором</w:t>
      </w:r>
      <w:r>
        <w:t xml:space="preserve"> </w:t>
      </w:r>
    </w:p>
    <w:p w14:paraId="10590C36" w14:textId="7563229A" w:rsidR="00BE4815" w:rsidRPr="00B5522B" w:rsidRDefault="00BE4815" w:rsidP="00BE4815">
      <w:pPr>
        <w:pStyle w:val="SingleTxtG"/>
        <w:ind w:firstLine="567"/>
      </w:pPr>
      <w:r>
        <w:t xml:space="preserve">GRBP рассмотрит предложения по поправкам серии 01 к </w:t>
      </w:r>
      <w:r w:rsidR="001137D6">
        <w:br/>
      </w:r>
      <w:r>
        <w:t>правилам ООН №№</w:t>
      </w:r>
      <w:r w:rsidR="001137D6">
        <w:rPr>
          <w:lang w:val="en-US"/>
        </w:rPr>
        <w:t> </w:t>
      </w:r>
      <w:r>
        <w:t xml:space="preserve">108 и 109, подготовленные небольшой рабочей группой </w:t>
      </w:r>
      <w:r w:rsidR="001137D6">
        <w:br/>
      </w:r>
      <w:r>
        <w:t>по шинам с восстановленным протектором с целью переноса из этих правил ООН в новые правила ООН предписаний, касающихся характеристик сцепления с заснеженным дорожным покрытием шин с восстановленным протектором и их классификации в качестве тяговых шин.</w:t>
      </w:r>
    </w:p>
    <w:p w14:paraId="43363D7F" w14:textId="77777777" w:rsidR="00BE4815" w:rsidRPr="00BE4815" w:rsidRDefault="00BE4815" w:rsidP="00BE4815">
      <w:pPr>
        <w:spacing w:after="120"/>
        <w:ind w:left="1134" w:right="1134"/>
        <w:jc w:val="both"/>
        <w:rPr>
          <w:b/>
          <w:lang w:val="en-US"/>
        </w:rPr>
      </w:pPr>
      <w:r>
        <w:rPr>
          <w:b/>
          <w:bCs/>
        </w:rPr>
        <w:t>Документация</w:t>
      </w:r>
    </w:p>
    <w:p w14:paraId="12E20EBA" w14:textId="77777777" w:rsidR="00BE4815" w:rsidRPr="00BE4815" w:rsidRDefault="00BE4815" w:rsidP="00BE4815">
      <w:pPr>
        <w:pStyle w:val="SingleTxtG"/>
        <w:rPr>
          <w:lang w:val="en-US"/>
        </w:rPr>
      </w:pPr>
      <w:r w:rsidRPr="00B5522B">
        <w:rPr>
          <w:lang w:val="en-US"/>
        </w:rPr>
        <w:t>ECE/TRANS/WP.29/GRBP/2024/3, ECE/TRANS/WP.29/GRBP/2024/13</w:t>
      </w:r>
    </w:p>
    <w:p w14:paraId="055BA408" w14:textId="2E558D34" w:rsidR="00BE4815" w:rsidRPr="00B5522B" w:rsidRDefault="00BE4815" w:rsidP="00BE4815">
      <w:pPr>
        <w:pStyle w:val="SingleTxtG"/>
        <w:ind w:firstLine="567"/>
      </w:pPr>
      <w:r>
        <w:t xml:space="preserve">В связи с вышеуказанными предложениями GRBP предлагается рассмотреть представленное небольшой рабочей группой предложение по новым правилам ООН, касающимся официального утверждения типа шин с восстановленным протектором в отношении их характеристик сцепления с заснеженным дорожным покрытием и их классификации в качестве тяговых шин. </w:t>
      </w:r>
    </w:p>
    <w:p w14:paraId="27B06BB3" w14:textId="77777777" w:rsidR="00BE4815" w:rsidRPr="00B5522B" w:rsidRDefault="00BE4815" w:rsidP="00BE4815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36206C9F" w14:textId="77777777" w:rsidR="00BE4815" w:rsidRPr="00B5522B" w:rsidRDefault="00BE4815" w:rsidP="00BE4815">
      <w:pPr>
        <w:pStyle w:val="SingleTxtG"/>
      </w:pPr>
      <w:r>
        <w:t>ECE/TRANS/WP.29/GRBP/2024/11</w:t>
      </w:r>
    </w:p>
    <w:p w14:paraId="14F3EB41" w14:textId="77777777" w:rsidR="00BE4815" w:rsidRPr="00B5522B" w:rsidRDefault="00BE4815" w:rsidP="00BE4815">
      <w:pPr>
        <w:pStyle w:val="H23G"/>
        <w:keepNext w:val="0"/>
        <w:keepLines w:val="0"/>
      </w:pPr>
      <w:r>
        <w:rPr>
          <w:bCs/>
        </w:rPr>
        <w:tab/>
        <w:t>d)</w:t>
      </w:r>
      <w:r>
        <w:tab/>
      </w:r>
      <w:r>
        <w:rPr>
          <w:bCs/>
        </w:rPr>
        <w:t>Правила № 117 ООН (сопротивление шин качению, шум, издаваемый шинами при качении, и их сцепление на мокрой поверхности)</w:t>
      </w:r>
    </w:p>
    <w:p w14:paraId="6C94C7C5" w14:textId="77777777" w:rsidR="00BE4815" w:rsidRPr="00B5522B" w:rsidRDefault="00BE4815" w:rsidP="00BE4815">
      <w:pPr>
        <w:spacing w:after="120"/>
        <w:ind w:left="1134" w:right="1134"/>
        <w:jc w:val="both"/>
      </w:pPr>
      <w:r>
        <w:tab/>
      </w:r>
      <w:r>
        <w:tab/>
        <w:t xml:space="preserve">GRBP заслушает краткую информацию о деятельности НРГ по характеристикам сцепления изношенных шин на мокрой поверхности (НРГ по СИШМ). </w:t>
      </w:r>
    </w:p>
    <w:p w14:paraId="22C0C262" w14:textId="2316C395" w:rsidR="00BE4815" w:rsidRPr="00B5522B" w:rsidRDefault="00BE4815" w:rsidP="00BE4815">
      <w:pPr>
        <w:spacing w:after="120"/>
        <w:ind w:left="1134" w:right="1134"/>
        <w:jc w:val="both"/>
      </w:pPr>
      <w:r>
        <w:tab/>
      </w:r>
      <w:r>
        <w:tab/>
        <w:t>GRBP рассмотрит предложения по новому дополнению к поправкам серии 04, которые были внесены экспертами от ЕТОПОК и которые дополняют предложение по поправкам, принятое на предыдущей сессии GRBP.</w:t>
      </w:r>
    </w:p>
    <w:p w14:paraId="57EE0025" w14:textId="77777777" w:rsidR="00BE4815" w:rsidRPr="00BE4815" w:rsidRDefault="00BE4815" w:rsidP="00BE4815">
      <w:pPr>
        <w:spacing w:after="120"/>
        <w:ind w:left="1134" w:right="1134"/>
        <w:jc w:val="both"/>
        <w:rPr>
          <w:b/>
          <w:lang w:val="en-US"/>
        </w:rPr>
      </w:pPr>
      <w:r>
        <w:rPr>
          <w:b/>
          <w:bCs/>
        </w:rPr>
        <w:t>Документация</w:t>
      </w:r>
    </w:p>
    <w:p w14:paraId="60885D69" w14:textId="77777777" w:rsidR="00BE4815" w:rsidRPr="00BE4815" w:rsidRDefault="00BE4815" w:rsidP="00BE4815">
      <w:pPr>
        <w:spacing w:after="120"/>
        <w:ind w:left="1134" w:right="1134"/>
        <w:jc w:val="both"/>
        <w:rPr>
          <w:lang w:val="en-US"/>
        </w:rPr>
      </w:pPr>
      <w:r w:rsidRPr="00B5522B">
        <w:rPr>
          <w:lang w:val="en-US"/>
        </w:rPr>
        <w:t>ECE/TRANS/WP.29/GRBP/2024/4, ECE/TRANS/WP.29/GRBP/2024/6</w:t>
      </w:r>
    </w:p>
    <w:p w14:paraId="6A747A68" w14:textId="77777777" w:rsidR="00BE4815" w:rsidRPr="00B5522B" w:rsidRDefault="00BE4815" w:rsidP="00BE4815">
      <w:pPr>
        <w:spacing w:after="120"/>
        <w:ind w:left="1134" w:right="1134" w:firstLine="567"/>
        <w:jc w:val="both"/>
      </w:pPr>
      <w:r w:rsidRPr="00B5522B">
        <w:rPr>
          <w:lang w:val="en-US"/>
        </w:rPr>
        <w:tab/>
      </w:r>
      <w:r>
        <w:t xml:space="preserve">GRBP рассмотрит предложения по новому дополнению к поправкам серии 03, которые были представлены экспертами от ЕТОПОК с целью внесения ряда редакционных уточнений и исправлений.  </w:t>
      </w:r>
    </w:p>
    <w:p w14:paraId="1188CBE3" w14:textId="77777777" w:rsidR="00BE4815" w:rsidRPr="00BE4815" w:rsidRDefault="00BE4815" w:rsidP="00BE4815">
      <w:pPr>
        <w:spacing w:after="120"/>
        <w:ind w:left="1134" w:right="1134"/>
        <w:jc w:val="both"/>
        <w:rPr>
          <w:b/>
          <w:lang w:val="en-US"/>
        </w:rPr>
      </w:pPr>
      <w:r>
        <w:rPr>
          <w:b/>
          <w:bCs/>
        </w:rPr>
        <w:t>Документация</w:t>
      </w:r>
    </w:p>
    <w:p w14:paraId="480290B7" w14:textId="77777777" w:rsidR="00BE4815" w:rsidRPr="00BE4815" w:rsidRDefault="00BE4815" w:rsidP="00BE4815">
      <w:pPr>
        <w:spacing w:after="120"/>
        <w:ind w:left="1134" w:right="1134"/>
        <w:jc w:val="both"/>
        <w:rPr>
          <w:lang w:val="en-US"/>
        </w:rPr>
      </w:pPr>
      <w:r w:rsidRPr="00B5522B">
        <w:rPr>
          <w:lang w:val="en-US"/>
        </w:rPr>
        <w:t>ECE/TRANS/WP.29/GRBP/2024/9, ECE/TRANS/WP.29/GRBP/2024/12</w:t>
      </w:r>
    </w:p>
    <w:p w14:paraId="2576A0BD" w14:textId="77777777" w:rsidR="00BE4815" w:rsidRPr="00B5522B" w:rsidRDefault="00BE4815" w:rsidP="00BE4815">
      <w:pPr>
        <w:spacing w:after="120"/>
        <w:ind w:left="1134" w:right="1134" w:firstLine="567"/>
        <w:jc w:val="both"/>
      </w:pPr>
      <w:r>
        <w:lastRenderedPageBreak/>
        <w:t xml:space="preserve">GRBP также предлагается рассмотреть предложения по новому дополнению к поправкам серии 02, которые были представлены экспертами от ЕТОПОК с целью внесения ряда редакционных уточнений и исправлений.  </w:t>
      </w:r>
    </w:p>
    <w:p w14:paraId="5301277C" w14:textId="77777777" w:rsidR="00BE4815" w:rsidRPr="00BE4815" w:rsidRDefault="00BE4815" w:rsidP="00BE4815">
      <w:pPr>
        <w:spacing w:after="120"/>
        <w:ind w:left="1134" w:right="1134"/>
        <w:jc w:val="both"/>
        <w:rPr>
          <w:b/>
          <w:lang w:val="en-US"/>
        </w:rPr>
      </w:pPr>
      <w:r>
        <w:rPr>
          <w:b/>
          <w:bCs/>
        </w:rPr>
        <w:t>Документация</w:t>
      </w:r>
    </w:p>
    <w:p w14:paraId="6E549C0E" w14:textId="77777777" w:rsidR="00BE4815" w:rsidRPr="00BE4815" w:rsidRDefault="00BE4815" w:rsidP="00BE4815">
      <w:pPr>
        <w:spacing w:after="120"/>
        <w:ind w:left="1134" w:right="1134"/>
        <w:jc w:val="both"/>
        <w:rPr>
          <w:lang w:val="en-US"/>
        </w:rPr>
      </w:pPr>
      <w:bookmarkStart w:id="4" w:name="_Hlk151028203"/>
      <w:r w:rsidRPr="00B5522B">
        <w:rPr>
          <w:lang w:val="en-US"/>
        </w:rPr>
        <w:t>ECE/TRANS/WP.29/GRBP/2024/5, ECE/TRANS/WP.29/GRBP/2024/7</w:t>
      </w:r>
    </w:p>
    <w:bookmarkEnd w:id="4"/>
    <w:p w14:paraId="3EF3C763" w14:textId="77777777" w:rsidR="00BE4815" w:rsidRPr="00B5522B" w:rsidRDefault="00BE4815" w:rsidP="00BE4815">
      <w:pPr>
        <w:spacing w:after="120"/>
        <w:ind w:left="1134" w:right="1134"/>
        <w:jc w:val="both"/>
      </w:pPr>
      <w:r w:rsidRPr="00B5522B">
        <w:rPr>
          <w:lang w:val="en-US"/>
        </w:rPr>
        <w:tab/>
      </w:r>
      <w:r w:rsidRPr="00B5522B">
        <w:rPr>
          <w:lang w:val="en-US"/>
        </w:rPr>
        <w:tab/>
      </w:r>
      <w:r>
        <w:t>GRBP рассмотрит предложения по поправкам, подготовленные экспертом от Американского совета по автомобильной политике (АСАП) с целью разрешить при определенных условиях и весовых ограничениях использование шин с маркировкой «LT» с сопротивлением качению, значение которого превышает действующие ограничения.</w:t>
      </w:r>
      <w:r>
        <w:tab/>
      </w:r>
    </w:p>
    <w:p w14:paraId="2934F603" w14:textId="77777777" w:rsidR="00BE4815" w:rsidRPr="00B5522B" w:rsidRDefault="00BE4815" w:rsidP="00BE4815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6FCE8AC8" w14:textId="3B59EDBE" w:rsidR="00BE4815" w:rsidRPr="00B5522B" w:rsidRDefault="00BE4815" w:rsidP="00BE4815">
      <w:pPr>
        <w:spacing w:after="120"/>
        <w:ind w:left="1134" w:right="1134"/>
        <w:jc w:val="both"/>
      </w:pPr>
      <w:r>
        <w:t xml:space="preserve">ECE/TRANS/WP.29/GRBP/2024/17 </w:t>
      </w:r>
    </w:p>
    <w:p w14:paraId="61AF159D" w14:textId="77777777" w:rsidR="00BE4815" w:rsidRPr="00B5522B" w:rsidRDefault="00BE4815" w:rsidP="00BE4815">
      <w:pPr>
        <w:pStyle w:val="H23G"/>
        <w:keepNext w:val="0"/>
        <w:keepLines w:val="0"/>
      </w:pPr>
      <w:r>
        <w:rPr>
          <w:bCs/>
        </w:rPr>
        <w:tab/>
        <w:t>e)</w:t>
      </w:r>
      <w:r>
        <w:tab/>
      </w:r>
      <w:r>
        <w:rPr>
          <w:bCs/>
        </w:rPr>
        <w:t>Правила № 124 ООН (сменные колеса для легковых автомобилей)</w:t>
      </w:r>
    </w:p>
    <w:p w14:paraId="14DD04B9" w14:textId="77777777" w:rsidR="00BE4815" w:rsidRPr="00B5522B" w:rsidRDefault="00BE4815" w:rsidP="00BE4815">
      <w:pPr>
        <w:spacing w:after="120"/>
        <w:ind w:left="1134" w:right="1134"/>
        <w:jc w:val="both"/>
      </w:pPr>
      <w:r>
        <w:tab/>
      </w:r>
      <w:r>
        <w:tab/>
        <w:t>GRBP предлагается рассмотреть предложение эксперта от Российской Федерации, направленное на уточнение отдельных положений.</w:t>
      </w:r>
      <w:bookmarkStart w:id="5" w:name="_Hlk137462678"/>
    </w:p>
    <w:p w14:paraId="7E0AFB21" w14:textId="77777777" w:rsidR="00BE4815" w:rsidRPr="00B5522B" w:rsidRDefault="00BE4815" w:rsidP="00BE4815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06511D99" w14:textId="77777777" w:rsidR="00BE4815" w:rsidRPr="00B5522B" w:rsidRDefault="00BE4815" w:rsidP="00BE4815">
      <w:pPr>
        <w:spacing w:after="120"/>
        <w:ind w:left="1134" w:right="1134"/>
        <w:jc w:val="both"/>
      </w:pPr>
      <w:r>
        <w:t>ECE/TRANS/WP.29/GRBP/2024/16</w:t>
      </w:r>
    </w:p>
    <w:bookmarkEnd w:id="5"/>
    <w:p w14:paraId="70E92CC1" w14:textId="77777777" w:rsidR="00BE4815" w:rsidRPr="00B5522B" w:rsidRDefault="00BE4815" w:rsidP="00BE4815">
      <w:pPr>
        <w:pStyle w:val="H23G"/>
        <w:keepNext w:val="0"/>
        <w:keepLines w:val="0"/>
        <w:widowControl w:val="0"/>
      </w:pPr>
      <w:r>
        <w:rPr>
          <w:bCs/>
        </w:rPr>
        <w:tab/>
        <w:t>f)</w:t>
      </w:r>
      <w:r>
        <w:tab/>
      </w:r>
      <w:r>
        <w:tab/>
      </w:r>
      <w:r>
        <w:rPr>
          <w:bCs/>
        </w:rPr>
        <w:t>Износ шин</w:t>
      </w:r>
      <w:r>
        <w:t xml:space="preserve"> </w:t>
      </w:r>
    </w:p>
    <w:p w14:paraId="3C66CE77" w14:textId="77777777" w:rsidR="00BE4815" w:rsidRPr="00B5522B" w:rsidRDefault="00BE4815" w:rsidP="00BE4815">
      <w:pPr>
        <w:pStyle w:val="SingleTxtG"/>
        <w:widowControl w:val="0"/>
        <w:ind w:firstLine="567"/>
      </w:pPr>
      <w:r>
        <w:t xml:space="preserve">GRBP получит доклад о ходе работы Целевой группы по износу шин (ЦГ ИШ) и рассмотрит ее предложение по дополнению к поправкам серии 04 к Правилам № 117 ООН, предусматривающее введение методов испытаний для измерения износа шин. </w:t>
      </w:r>
    </w:p>
    <w:p w14:paraId="4F0B89DD" w14:textId="77777777" w:rsidR="00BE4815" w:rsidRPr="00B5522B" w:rsidRDefault="00BE4815" w:rsidP="00BE4815">
      <w:pPr>
        <w:spacing w:after="120"/>
        <w:ind w:left="1134" w:right="1134"/>
        <w:rPr>
          <w:b/>
        </w:rPr>
      </w:pPr>
      <w:r>
        <w:rPr>
          <w:b/>
          <w:bCs/>
        </w:rPr>
        <w:t>Документация</w:t>
      </w:r>
    </w:p>
    <w:p w14:paraId="08B4CCF0" w14:textId="77777777" w:rsidR="00BE4815" w:rsidRPr="00B5522B" w:rsidRDefault="00BE4815" w:rsidP="00BE4815">
      <w:pPr>
        <w:spacing w:after="120"/>
        <w:ind w:left="1134" w:right="1134"/>
        <w:jc w:val="both"/>
      </w:pPr>
      <w:r>
        <w:t>ECE/TRANS/WP.29/GRBP/2024/10</w:t>
      </w:r>
    </w:p>
    <w:p w14:paraId="1B26CB03" w14:textId="77777777" w:rsidR="00BE4815" w:rsidRPr="00B5522B" w:rsidRDefault="00BE4815" w:rsidP="00BE4815">
      <w:pPr>
        <w:pStyle w:val="H23G"/>
        <w:keepNext w:val="0"/>
        <w:keepLines w:val="0"/>
      </w:pPr>
      <w:r>
        <w:rPr>
          <w:bCs/>
        </w:rPr>
        <w:tab/>
        <w:t>g)</w:t>
      </w:r>
      <w:r>
        <w:tab/>
      </w:r>
      <w:r>
        <w:rPr>
          <w:bCs/>
        </w:rPr>
        <w:t>Другие правила ООН, касающиеся шин</w:t>
      </w:r>
      <w:bookmarkStart w:id="6" w:name="_Hlk119688471"/>
      <w:bookmarkEnd w:id="6"/>
    </w:p>
    <w:p w14:paraId="3A46F1EE" w14:textId="77777777" w:rsidR="00BE4815" w:rsidRPr="00B5522B" w:rsidRDefault="00BE4815" w:rsidP="00BE4815">
      <w:pPr>
        <w:pStyle w:val="SingleTxtG"/>
        <w:ind w:firstLine="567"/>
      </w:pPr>
      <w:r>
        <w:t xml:space="preserve">GRBP рассмотрит предложения по поправкам к другим правилам ООН, касающимся шин, если таковые будут представлены. </w:t>
      </w:r>
    </w:p>
    <w:p w14:paraId="4EBC0802" w14:textId="77777777" w:rsidR="00BE4815" w:rsidRPr="00B5522B" w:rsidRDefault="00BE4815" w:rsidP="00BE4815">
      <w:pPr>
        <w:pStyle w:val="H1G"/>
      </w:pPr>
      <w:r>
        <w:rPr>
          <w:bCs/>
        </w:rPr>
        <w:tab/>
        <w:t>8.</w:t>
      </w:r>
      <w:r>
        <w:tab/>
      </w:r>
      <w:r>
        <w:rPr>
          <w:bCs/>
        </w:rPr>
        <w:t>Обмен информацией о национальных и международных требованиях, касающихся уровней шума</w:t>
      </w:r>
    </w:p>
    <w:p w14:paraId="1E8C18AF" w14:textId="77777777" w:rsidR="00BE4815" w:rsidRPr="00B5522B" w:rsidRDefault="00BE4815" w:rsidP="00BE4815">
      <w:pPr>
        <w:pStyle w:val="SingleTxtG"/>
        <w:ind w:firstLine="567"/>
      </w:pPr>
      <w:r>
        <w:t>GRBP продолжит обмен мнениями по вопросам разработки национального или регионального законодательства и международных требований, касающихся уровней шума. В частности, GRBP будет кратко проинформирована о деятельности Целевой группы по вопросам звука, издаваемого транспортным средством (ЦГ по ЗТС).</w:t>
      </w:r>
    </w:p>
    <w:p w14:paraId="7F9BB0E3" w14:textId="77777777" w:rsidR="00BE4815" w:rsidRPr="00B5522B" w:rsidRDefault="00BE4815" w:rsidP="00BE4815">
      <w:pPr>
        <w:pStyle w:val="H1G"/>
        <w:keepNext w:val="0"/>
        <w:keepLines w:val="0"/>
      </w:pPr>
      <w:r>
        <w:rPr>
          <w:bCs/>
        </w:rPr>
        <w:tab/>
        <w:t>9.</w:t>
      </w:r>
      <w:r>
        <w:tab/>
      </w:r>
      <w:r>
        <w:rPr>
          <w:bCs/>
        </w:rPr>
        <w:t>Предложения по поправкам к Сводной резолюции о конструкции транспортных средств</w:t>
      </w:r>
    </w:p>
    <w:p w14:paraId="12DDE0F7" w14:textId="77777777" w:rsidR="00BE4815" w:rsidRPr="00B5522B" w:rsidRDefault="00BE4815" w:rsidP="00BE4815">
      <w:pPr>
        <w:pStyle w:val="SingleTxtG"/>
        <w:ind w:firstLine="567"/>
        <w:rPr>
          <w:bCs/>
        </w:rPr>
      </w:pPr>
      <w:r>
        <w:t xml:space="preserve">GRBP, возможно, пожелает вернуться к предложению по поправкам, которое было подготовлено экспертами НРГ по НИ и рассматривалось на предыдущей сессии.  </w:t>
      </w:r>
    </w:p>
    <w:p w14:paraId="650C17CE" w14:textId="77777777" w:rsidR="00BE4815" w:rsidRPr="00B5522B" w:rsidRDefault="00BE4815" w:rsidP="00BE4815">
      <w:pPr>
        <w:spacing w:after="120"/>
        <w:ind w:left="1134" w:right="1134"/>
        <w:rPr>
          <w:b/>
        </w:rPr>
      </w:pPr>
      <w:r>
        <w:rPr>
          <w:b/>
          <w:bCs/>
        </w:rPr>
        <w:t>Документация</w:t>
      </w:r>
    </w:p>
    <w:p w14:paraId="1BFA1CE5" w14:textId="77777777" w:rsidR="00BE4815" w:rsidRPr="00B5522B" w:rsidRDefault="00BE4815" w:rsidP="00BE4815">
      <w:pPr>
        <w:spacing w:after="120"/>
        <w:ind w:left="1134" w:right="1134"/>
        <w:jc w:val="both"/>
        <w:rPr>
          <w:bCs/>
        </w:rPr>
      </w:pPr>
      <w:r>
        <w:t>Неофициальный документ GRBP-78-08</w:t>
      </w:r>
    </w:p>
    <w:p w14:paraId="6533359C" w14:textId="77777777" w:rsidR="00BE4815" w:rsidRPr="00B5522B" w:rsidRDefault="00BE4815" w:rsidP="00BE4815">
      <w:pPr>
        <w:pStyle w:val="H1G"/>
        <w:jc w:val="both"/>
      </w:pPr>
      <w:r>
        <w:rPr>
          <w:bCs/>
        </w:rPr>
        <w:lastRenderedPageBreak/>
        <w:tab/>
        <w:t>10.</w:t>
      </w:r>
      <w:r>
        <w:tab/>
      </w:r>
      <w:r>
        <w:rPr>
          <w:bCs/>
        </w:rPr>
        <w:t>Разработка международной системы официального утверждения типа комплектного транспортного средства</w:t>
      </w:r>
    </w:p>
    <w:p w14:paraId="789C9941" w14:textId="77777777" w:rsidR="00BE4815" w:rsidRPr="00B5522B" w:rsidRDefault="00BE4815" w:rsidP="00BE4815">
      <w:pPr>
        <w:spacing w:after="120"/>
        <w:ind w:left="1134" w:right="1134" w:firstLine="567"/>
        <w:jc w:val="both"/>
      </w:pPr>
      <w:r>
        <w:t>GRBP будет проинформирована о ходе внедрения международной системы официального утверждения типа комплектного транспортного средства (МОУТКТС) (Правила № 0 ООН).</w:t>
      </w:r>
    </w:p>
    <w:p w14:paraId="2AB04EEC" w14:textId="77777777" w:rsidR="00BE4815" w:rsidRPr="00B5522B" w:rsidRDefault="00BE4815" w:rsidP="00BE4815">
      <w:pPr>
        <w:pStyle w:val="H1G"/>
      </w:pPr>
      <w:r>
        <w:rPr>
          <w:bCs/>
        </w:rPr>
        <w:tab/>
        <w:t>11.</w:t>
      </w:r>
      <w:r>
        <w:tab/>
      </w:r>
      <w:r>
        <w:rPr>
          <w:bCs/>
        </w:rPr>
        <w:t>Основные вопросы, рассмотренные на недавних сессиях Всемирного форума для согласования правил в области транспортных средств</w:t>
      </w:r>
    </w:p>
    <w:p w14:paraId="48D07466" w14:textId="100DFD9D" w:rsidR="00BE4815" w:rsidRPr="00B5522B" w:rsidRDefault="00BE4815" w:rsidP="00BE4815">
      <w:pPr>
        <w:spacing w:after="120"/>
        <w:ind w:left="1134" w:right="1134" w:firstLine="567"/>
        <w:jc w:val="both"/>
        <w:rPr>
          <w:b/>
          <w:bCs/>
        </w:rPr>
      </w:pPr>
      <w:r>
        <w:tab/>
        <w:t xml:space="preserve">GRBP будет кратко проинформирована секретариатом об основных вопросах, рассмотренных на недавних сессиях WP.29 и касающихся GRBР и общих тем.  </w:t>
      </w:r>
    </w:p>
    <w:p w14:paraId="000E3D88" w14:textId="68F1517C" w:rsidR="00BE4815" w:rsidRPr="00B5522B" w:rsidRDefault="00BE4815" w:rsidP="00BE4815">
      <w:pPr>
        <w:pStyle w:val="H1G"/>
        <w:rPr>
          <w:b w:val="0"/>
        </w:rPr>
      </w:pPr>
      <w:r>
        <w:rPr>
          <w:b w:val="0"/>
          <w:bCs/>
        </w:rPr>
        <w:tab/>
      </w:r>
      <w:r>
        <w:rPr>
          <w:bCs/>
        </w:rPr>
        <w:t>12.</w:t>
      </w:r>
      <w:r w:rsidRPr="000A71FD">
        <w:rPr>
          <w:bCs/>
        </w:rPr>
        <w:tab/>
      </w:r>
      <w:r>
        <w:rPr>
          <w:bCs/>
        </w:rPr>
        <w:t>Обмен мнениями о будущей деятельности Рабочей группы по</w:t>
      </w:r>
      <w:r w:rsidR="001137D6">
        <w:rPr>
          <w:bCs/>
          <w:lang w:val="en-US"/>
        </w:rPr>
        <w:t> </w:t>
      </w:r>
      <w:r>
        <w:rPr>
          <w:bCs/>
        </w:rPr>
        <w:t>вопросам шума и шин</w:t>
      </w:r>
    </w:p>
    <w:p w14:paraId="3D5B4108" w14:textId="77777777" w:rsidR="00BE4815" w:rsidRPr="00B5522B" w:rsidRDefault="00BE4815" w:rsidP="00BE4815">
      <w:pPr>
        <w:spacing w:after="120"/>
        <w:ind w:left="1134" w:right="1134" w:firstLine="567"/>
        <w:jc w:val="both"/>
      </w:pPr>
      <w:r>
        <w:t>GRBP, возможно, пожелает рассмотреть перечень приоритетов для будущей работы.</w:t>
      </w:r>
    </w:p>
    <w:p w14:paraId="70DA9357" w14:textId="77777777" w:rsidR="00BE4815" w:rsidRPr="000A71FD" w:rsidRDefault="00BE4815" w:rsidP="00BE4815">
      <w:pPr>
        <w:pStyle w:val="H1G"/>
        <w:rPr>
          <w:bCs/>
        </w:rPr>
      </w:pPr>
      <w:r>
        <w:rPr>
          <w:bCs/>
        </w:rPr>
        <w:tab/>
        <w:t>13.</w:t>
      </w:r>
      <w:r w:rsidRPr="000A71FD">
        <w:rPr>
          <w:bCs/>
        </w:rPr>
        <w:tab/>
      </w:r>
      <w:r>
        <w:rPr>
          <w:bCs/>
        </w:rPr>
        <w:t>Прочие вопросы</w:t>
      </w:r>
    </w:p>
    <w:p w14:paraId="0C536A5E" w14:textId="77777777" w:rsidR="00BE4815" w:rsidRPr="00B5522B" w:rsidRDefault="00BE4815" w:rsidP="00BE4815">
      <w:pPr>
        <w:pStyle w:val="SingleTxtG"/>
        <w:ind w:firstLine="567"/>
      </w:pPr>
      <w:r>
        <w:t xml:space="preserve">GRBP будет проинформирована о деятельности Специальной группы заинтересованных экспертов по проверке правил в области автоматизированных транспортных средств (СГЗЭ-ППАТС), касающейся правил ООН №№ 28, 51 и 138, которые были определены на предыдущей сессии в качестве приоритетных. </w:t>
      </w:r>
    </w:p>
    <w:p w14:paraId="77245211" w14:textId="77777777" w:rsidR="00BE4815" w:rsidRPr="00B5522B" w:rsidRDefault="00BE4815" w:rsidP="00BE4815">
      <w:pPr>
        <w:pStyle w:val="SingleTxtG"/>
        <w:ind w:firstLine="567"/>
      </w:pPr>
      <w:r>
        <w:t>GRBP рассмотрит при необходимости любые другие вопросы.</w:t>
      </w:r>
    </w:p>
    <w:p w14:paraId="476D3FAD" w14:textId="77777777" w:rsidR="00BE4815" w:rsidRPr="00B5522B" w:rsidRDefault="00BE4815" w:rsidP="00BE4815">
      <w:pPr>
        <w:pStyle w:val="H1G"/>
      </w:pPr>
      <w:r>
        <w:rPr>
          <w:bCs/>
        </w:rPr>
        <w:tab/>
        <w:t>14.</w:t>
      </w:r>
      <w:r>
        <w:tab/>
      </w:r>
      <w:r>
        <w:rPr>
          <w:bCs/>
        </w:rPr>
        <w:t>Предварительная повестка дня следующей сессии</w:t>
      </w:r>
    </w:p>
    <w:p w14:paraId="0A7920F4" w14:textId="2C4E9437" w:rsidR="00214A3C" w:rsidRDefault="00BE4815" w:rsidP="00BE4815">
      <w:pPr>
        <w:ind w:left="1134" w:right="1134"/>
        <w:jc w:val="both"/>
      </w:pPr>
      <w:r>
        <w:tab/>
      </w:r>
      <w:r>
        <w:tab/>
        <w:t xml:space="preserve">GRBP предлагается дать указания по предварительной повестке дня следующей сессии, которую в предварительном порядке планируется провести в Женеве </w:t>
      </w:r>
      <w:r w:rsidR="001137D6">
        <w:br/>
      </w:r>
      <w:r>
        <w:t>10–13 сентября 2024 года.</w:t>
      </w:r>
    </w:p>
    <w:p w14:paraId="201F8CD5" w14:textId="5D98DA8B" w:rsidR="00E12C5F" w:rsidRPr="008D53B6" w:rsidRDefault="00BE4815" w:rsidP="00214A3C">
      <w:pPr>
        <w:jc w:val="center"/>
      </w:pPr>
      <w:r w:rsidRPr="00B5522B">
        <w:rPr>
          <w:u w:val="single"/>
        </w:rPr>
        <w:tab/>
      </w:r>
      <w:r w:rsidRPr="00B5522B">
        <w:rPr>
          <w:u w:val="single"/>
        </w:rPr>
        <w:tab/>
      </w:r>
      <w:r w:rsidRPr="00B5522B">
        <w:rPr>
          <w:u w:val="single"/>
        </w:rPr>
        <w:tab/>
      </w:r>
    </w:p>
    <w:sectPr w:rsidR="00E12C5F" w:rsidRPr="008D53B6" w:rsidSect="00BE481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1412" w14:textId="77777777" w:rsidR="00BB6D7B" w:rsidRPr="00A312BC" w:rsidRDefault="00BB6D7B" w:rsidP="00A312BC"/>
  </w:endnote>
  <w:endnote w:type="continuationSeparator" w:id="0">
    <w:p w14:paraId="59793CC2" w14:textId="77777777" w:rsidR="00BB6D7B" w:rsidRPr="00A312BC" w:rsidRDefault="00BB6D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3116" w14:textId="38D94365" w:rsidR="00BE4815" w:rsidRPr="00BE4815" w:rsidRDefault="00BE4815">
    <w:pPr>
      <w:pStyle w:val="a8"/>
    </w:pPr>
    <w:r w:rsidRPr="00BE4815">
      <w:rPr>
        <w:b/>
        <w:sz w:val="18"/>
      </w:rPr>
      <w:fldChar w:fldCharType="begin"/>
    </w:r>
    <w:r w:rsidRPr="00BE4815">
      <w:rPr>
        <w:b/>
        <w:sz w:val="18"/>
      </w:rPr>
      <w:instrText xml:space="preserve"> PAGE  \* MERGEFORMAT </w:instrText>
    </w:r>
    <w:r w:rsidRPr="00BE4815">
      <w:rPr>
        <w:b/>
        <w:sz w:val="18"/>
      </w:rPr>
      <w:fldChar w:fldCharType="separate"/>
    </w:r>
    <w:r w:rsidRPr="00BE4815">
      <w:rPr>
        <w:b/>
        <w:noProof/>
        <w:sz w:val="18"/>
      </w:rPr>
      <w:t>2</w:t>
    </w:r>
    <w:r w:rsidRPr="00BE4815">
      <w:rPr>
        <w:b/>
        <w:sz w:val="18"/>
      </w:rPr>
      <w:fldChar w:fldCharType="end"/>
    </w:r>
    <w:r>
      <w:rPr>
        <w:b/>
        <w:sz w:val="18"/>
      </w:rPr>
      <w:tab/>
    </w:r>
    <w:r>
      <w:t>GE.23-22649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9BCD" w14:textId="4C244611" w:rsidR="00BE4815" w:rsidRPr="00BE4815" w:rsidRDefault="00BE4815" w:rsidP="00BE4815">
    <w:pPr>
      <w:pStyle w:val="a8"/>
      <w:tabs>
        <w:tab w:val="clear" w:pos="9639"/>
        <w:tab w:val="right" w:pos="9638"/>
      </w:tabs>
      <w:rPr>
        <w:b/>
        <w:sz w:val="18"/>
      </w:rPr>
    </w:pPr>
    <w:r>
      <w:t>GE.23-22649</w:t>
    </w:r>
    <w:r>
      <w:tab/>
    </w:r>
    <w:r w:rsidRPr="00BE4815">
      <w:rPr>
        <w:b/>
        <w:sz w:val="18"/>
      </w:rPr>
      <w:fldChar w:fldCharType="begin"/>
    </w:r>
    <w:r w:rsidRPr="00BE4815">
      <w:rPr>
        <w:b/>
        <w:sz w:val="18"/>
      </w:rPr>
      <w:instrText xml:space="preserve"> PAGE  \* MERGEFORMAT </w:instrText>
    </w:r>
    <w:r w:rsidRPr="00BE4815">
      <w:rPr>
        <w:b/>
        <w:sz w:val="18"/>
      </w:rPr>
      <w:fldChar w:fldCharType="separate"/>
    </w:r>
    <w:r w:rsidRPr="00BE4815">
      <w:rPr>
        <w:b/>
        <w:noProof/>
        <w:sz w:val="18"/>
      </w:rPr>
      <w:t>3</w:t>
    </w:r>
    <w:r w:rsidRPr="00BE48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D984" w14:textId="4CD35905" w:rsidR="00042B72" w:rsidRPr="00BE4815" w:rsidRDefault="00BE4815" w:rsidP="00BE481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F3E9C68" wp14:editId="48A2886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23-22649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3FAF92" wp14:editId="4F5164D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221123  221123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A424" w14:textId="77777777" w:rsidR="00BB6D7B" w:rsidRPr="001075E9" w:rsidRDefault="00BB6D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3E637C" w14:textId="77777777" w:rsidR="00BB6D7B" w:rsidRDefault="00BB6D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6BC60E" w14:textId="54588C5C" w:rsidR="00BE4815" w:rsidRPr="00B5522B" w:rsidRDefault="00BE4815" w:rsidP="00BE4815">
      <w:pPr>
        <w:pStyle w:val="ad"/>
      </w:pPr>
      <w:r>
        <w:tab/>
      </w:r>
      <w:r w:rsidRPr="00BE4815">
        <w:rPr>
          <w:sz w:val="20"/>
        </w:rPr>
        <w:t>*</w:t>
      </w:r>
      <w:r>
        <w:t xml:space="preserve"> 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(</w:t>
      </w:r>
      <w:hyperlink r:id="rId1" w:history="1">
        <w:r w:rsidRPr="00C84140">
          <w:rPr>
            <w:rStyle w:val="af1"/>
          </w:rPr>
          <w:t>https://unece.org/info/events/event/385284</w:t>
        </w:r>
      </w:hyperlink>
      <w:r>
        <w:t>). В порядке исключения документы можно также получить по электронной почте (</w:t>
      </w:r>
      <w:hyperlink r:id="rId2" w:history="1">
        <w:r w:rsidRPr="00C84140">
          <w:rPr>
            <w:rStyle w:val="af1"/>
          </w:rPr>
          <w:t>GRBP@un.org</w:t>
        </w:r>
      </w:hyperlink>
      <w:r>
        <w:t xml:space="preserve">). С переводом официальных документов делегаты могут ознакомиться через новую общедоступную систему официальной документации (СОД) на веб-сайте </w:t>
      </w:r>
      <w:hyperlink r:id="rId3" w:history="1">
        <w:r w:rsidRPr="00C84140">
          <w:rPr>
            <w:rStyle w:val="af1"/>
          </w:rPr>
          <w:t>http://documents.un.org/</w:t>
        </w:r>
      </w:hyperlink>
      <w:r>
        <w:t>.</w:t>
      </w:r>
    </w:p>
  </w:footnote>
  <w:footnote w:id="2">
    <w:p w14:paraId="2A99F229" w14:textId="78D1913A" w:rsidR="00BE4815" w:rsidRPr="00B5522B" w:rsidRDefault="00BE4815" w:rsidP="00BE4815">
      <w:pPr>
        <w:pStyle w:val="ad"/>
        <w:rPr>
          <w:sz w:val="20"/>
        </w:rPr>
      </w:pPr>
      <w:r>
        <w:tab/>
      </w:r>
      <w:r w:rsidRPr="00BE4815">
        <w:rPr>
          <w:sz w:val="20"/>
        </w:rPr>
        <w:t>**</w:t>
      </w:r>
      <w:r>
        <w:t xml:space="preserve"> </w:t>
      </w:r>
      <w:r>
        <w:tab/>
        <w:t xml:space="preserve">Делегатов просят зарегистрироваться онлайн с помощью системы регистрации на веб-сайте </w:t>
      </w:r>
      <w:hyperlink r:id="rId4" w:history="1">
        <w:r w:rsidRPr="00C84140">
          <w:rPr>
            <w:rStyle w:val="af1"/>
          </w:rPr>
          <w:t>https://indico.un.org/event/1007028/</w:t>
        </w:r>
      </w:hyperlink>
      <w:r>
        <w:t xml:space="preserve">. По прибытии во Дворец Наций делегатам следует получить пропуск в Секции безопасности и охраны ЮНОГ. В случае затруднений просьба связаться с секретариатом по телефону (внутр. ном. 74323). Схему Дворца Наций и другую полезную информацию см. на веб-сайте </w:t>
      </w:r>
      <w:hyperlink r:id="rId5" w:history="1">
        <w:r w:rsidRPr="00C84140">
          <w:rPr>
            <w:rStyle w:val="af1"/>
          </w:rPr>
          <w:t>www.unece.org/meetings/practical.html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3249" w14:textId="22C0B251" w:rsidR="00BE4815" w:rsidRPr="00BE4815" w:rsidRDefault="002C5AF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ECE/TRANS/WP.29/GRBP/2024/1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C6DC" w14:textId="7E782689" w:rsidR="00BE4815" w:rsidRPr="00BE4815" w:rsidRDefault="002C5AFF" w:rsidP="00BE4815">
    <w:pPr>
      <w:pStyle w:val="a5"/>
      <w:jc w:val="right"/>
    </w:pPr>
    <w:r>
      <w:fldChar w:fldCharType="begin"/>
    </w:r>
    <w:r>
      <w:instrText xml:space="preserve"> TITLE  \* MERGEF</w:instrText>
    </w:r>
    <w:r>
      <w:instrText xml:space="preserve">ORMAT </w:instrText>
    </w:r>
    <w:r>
      <w:fldChar w:fldCharType="separate"/>
    </w:r>
    <w:r>
      <w:t>ECE/TRANS/WP.29/GRBP/2024/1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202142263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7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37D6"/>
    <w:rsid w:val="0014152F"/>
    <w:rsid w:val="00180183"/>
    <w:rsid w:val="0018024D"/>
    <w:rsid w:val="0018649F"/>
    <w:rsid w:val="00196389"/>
    <w:rsid w:val="001B3EF6"/>
    <w:rsid w:val="001C7A89"/>
    <w:rsid w:val="00214A3C"/>
    <w:rsid w:val="00255343"/>
    <w:rsid w:val="0027151D"/>
    <w:rsid w:val="002A2EFC"/>
    <w:rsid w:val="002B0106"/>
    <w:rsid w:val="002B74B1"/>
    <w:rsid w:val="002C0E18"/>
    <w:rsid w:val="002C5AFF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7C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0B48"/>
    <w:rsid w:val="00834B71"/>
    <w:rsid w:val="0086445C"/>
    <w:rsid w:val="00894693"/>
    <w:rsid w:val="008A08D7"/>
    <w:rsid w:val="008A37C8"/>
    <w:rsid w:val="008B1446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6D7B"/>
    <w:rsid w:val="00BC18B2"/>
    <w:rsid w:val="00BD33EE"/>
    <w:rsid w:val="00BE1CC7"/>
    <w:rsid w:val="00BE4815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B726E"/>
  <w15:docId w15:val="{AE8EF7D6-6E13-43EA-B350-939E12F6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E4815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BE4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BP@un.org" TargetMode="External"/><Relationship Id="rId1" Type="http://schemas.openxmlformats.org/officeDocument/2006/relationships/hyperlink" Target="https://unece.org/info/events/event/385284" TargetMode="External"/><Relationship Id="rId5" Type="http://schemas.openxmlformats.org/officeDocument/2006/relationships/hyperlink" Target="http://www.unece.org/meetings/practical.html" TargetMode="External"/><Relationship Id="rId4" Type="http://schemas.openxmlformats.org/officeDocument/2006/relationships/hyperlink" Target="https://indico.un.org/event/100702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EFAEE-C85F-4073-B4C6-636E858867AC}"/>
</file>

<file path=customXml/itemProps2.xml><?xml version="1.0" encoding="utf-8"?>
<ds:datastoreItem xmlns:ds="http://schemas.openxmlformats.org/officeDocument/2006/customXml" ds:itemID="{1FF5B415-43D7-4096-B048-7C056AD14F0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6</Pages>
  <Words>1227</Words>
  <Characters>8541</Characters>
  <Application>Microsoft Office Word</Application>
  <DocSecurity>0</DocSecurity>
  <Lines>210</Lines>
  <Paragraphs>122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ECE/TRANS/WP.29/GRBP/2024/1</vt:lpstr>
      <vt:lpstr>A/</vt:lpstr>
      <vt:lpstr>A/</vt:lpstr>
    </vt:vector>
  </TitlesOfParts>
  <Company>DCM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ECE/TRANS/WP.29/GRBP/2024/1</dc:title>
  <dc:subject/>
  <dc:creator>No author</dc:creator>
  <cp:keywords/>
  <cp:lastModifiedBy>Ioulia Goussarova</cp:lastModifiedBy>
  <cp:revision>3</cp:revision>
  <cp:lastPrinted>2023-11-22T16:39:00Z</cp:lastPrinted>
  <dcterms:created xsi:type="dcterms:W3CDTF">2023-11-22T16:39:00Z</dcterms:created>
  <dcterms:modified xsi:type="dcterms:W3CDTF">2023-11-22T16:39:00Z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