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189AAF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EC870C" w14:textId="77777777" w:rsidR="00F35BAF" w:rsidRPr="00DB58B5" w:rsidRDefault="00F35BAF" w:rsidP="001773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05C5B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7F5FC5" w14:textId="6CF26FA2" w:rsidR="00F35BAF" w:rsidRPr="00DB58B5" w:rsidRDefault="00177325" w:rsidP="00177325">
            <w:pPr>
              <w:jc w:val="right"/>
            </w:pPr>
            <w:r w:rsidRPr="00177325">
              <w:rPr>
                <w:sz w:val="40"/>
              </w:rPr>
              <w:t>ECE</w:t>
            </w:r>
            <w:r>
              <w:t>/TRANS/WP.11/250/Add.1</w:t>
            </w:r>
          </w:p>
        </w:tc>
      </w:tr>
      <w:tr w:rsidR="00F35BAF" w:rsidRPr="00DB58B5" w14:paraId="4347EEB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70612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0A7177" wp14:editId="63AF9FE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4C0C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2BBA4" w14:textId="77777777" w:rsidR="00F35BAF" w:rsidRDefault="0017732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4B831EA" w14:textId="7A806A17" w:rsidR="00177325" w:rsidRDefault="00177325" w:rsidP="00177325">
            <w:pPr>
              <w:spacing w:line="240" w:lineRule="exact"/>
            </w:pPr>
            <w:r>
              <w:t>11 août 2023</w:t>
            </w:r>
          </w:p>
          <w:p w14:paraId="33F71449" w14:textId="77777777" w:rsidR="00177325" w:rsidRDefault="00177325" w:rsidP="00177325">
            <w:pPr>
              <w:spacing w:line="240" w:lineRule="exact"/>
            </w:pPr>
            <w:r>
              <w:t>Français</w:t>
            </w:r>
          </w:p>
          <w:p w14:paraId="7B994DBB" w14:textId="71B89F51" w:rsidR="00177325" w:rsidRPr="00DB58B5" w:rsidRDefault="00177325" w:rsidP="00177325">
            <w:pPr>
              <w:spacing w:line="240" w:lineRule="exact"/>
            </w:pPr>
            <w:r>
              <w:t>Original : anglais</w:t>
            </w:r>
          </w:p>
        </w:tc>
      </w:tr>
    </w:tbl>
    <w:p w14:paraId="399E2FB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499204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7A6EFB" w14:textId="77777777" w:rsidR="00177325" w:rsidRPr="00685843" w:rsidRDefault="00177325" w:rsidP="0017732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6E0063BB" w14:textId="77777777" w:rsidR="00177325" w:rsidRPr="000163DE" w:rsidRDefault="00177325" w:rsidP="00177325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Quatre-vingtième</w:t>
      </w:r>
      <w:r w:rsidRPr="000163DE">
        <w:rPr>
          <w:b/>
          <w:bCs/>
          <w:lang w:val="fr-FR"/>
        </w:rPr>
        <w:t xml:space="preserve"> session</w:t>
      </w:r>
    </w:p>
    <w:p w14:paraId="1FFEE0E4" w14:textId="03C1AF58" w:rsidR="00177325" w:rsidRPr="000163DE" w:rsidRDefault="00177325" w:rsidP="00177325">
      <w:pPr>
        <w:rPr>
          <w:lang w:val="fr-FR"/>
        </w:rPr>
      </w:pPr>
      <w:r w:rsidRPr="000163DE">
        <w:rPr>
          <w:lang w:val="fr-FR"/>
        </w:rPr>
        <w:t>Genève, 2</w:t>
      </w:r>
      <w:r>
        <w:rPr>
          <w:lang w:val="fr-FR"/>
        </w:rPr>
        <w:t>4</w:t>
      </w:r>
      <w:r>
        <w:rPr>
          <w:lang w:val="fr-FR"/>
        </w:rPr>
        <w:noBreakHyphen/>
        <w:t>27 </w:t>
      </w:r>
      <w:r w:rsidRPr="000163DE">
        <w:rPr>
          <w:lang w:val="fr-FR"/>
        </w:rPr>
        <w:t>octobre 202</w:t>
      </w:r>
      <w:r>
        <w:rPr>
          <w:lang w:val="fr-FR"/>
        </w:rPr>
        <w:t>3</w:t>
      </w:r>
    </w:p>
    <w:p w14:paraId="10064A4C" w14:textId="4FBBAB38" w:rsidR="00177325" w:rsidRPr="000163DE" w:rsidRDefault="00177325" w:rsidP="00177325">
      <w:pPr>
        <w:rPr>
          <w:lang w:val="fr-FR"/>
        </w:rPr>
      </w:pPr>
      <w:r w:rsidRPr="000163DE">
        <w:rPr>
          <w:lang w:val="fr-FR"/>
        </w:rPr>
        <w:t>Point</w:t>
      </w:r>
      <w:r>
        <w:rPr>
          <w:lang w:val="fr-FR"/>
        </w:rPr>
        <w:t> </w:t>
      </w:r>
      <w:r w:rsidRPr="000163DE">
        <w:rPr>
          <w:lang w:val="fr-FR"/>
        </w:rPr>
        <w:t>1 de l</w:t>
      </w:r>
      <w:r>
        <w:rPr>
          <w:lang w:val="fr-FR"/>
        </w:rPr>
        <w:t>’</w:t>
      </w:r>
      <w:r w:rsidRPr="000163DE">
        <w:rPr>
          <w:lang w:val="fr-FR"/>
        </w:rPr>
        <w:t>ordre du jour provisoire</w:t>
      </w:r>
    </w:p>
    <w:p w14:paraId="5C5CF350" w14:textId="77777777" w:rsidR="00177325" w:rsidRPr="000163DE" w:rsidRDefault="00177325" w:rsidP="00177325">
      <w:pPr>
        <w:jc w:val="both"/>
        <w:rPr>
          <w:b/>
          <w:lang w:val="fr-FR"/>
        </w:rPr>
      </w:pPr>
      <w:r w:rsidRPr="000163DE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0163DE">
        <w:rPr>
          <w:b/>
          <w:bCs/>
          <w:lang w:val="fr-FR"/>
        </w:rPr>
        <w:t>ordre du jour</w:t>
      </w:r>
    </w:p>
    <w:p w14:paraId="74EF3C9F" w14:textId="77777777" w:rsidR="00177325" w:rsidRPr="000163DE" w:rsidRDefault="00177325" w:rsidP="00177325">
      <w:pPr>
        <w:pStyle w:val="HCh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 xml:space="preserve">Ordre du jour provisoire de la </w:t>
      </w:r>
      <w:r>
        <w:rPr>
          <w:lang w:val="fr-FR"/>
        </w:rPr>
        <w:t>quatre-vingtième</w:t>
      </w:r>
      <w:r w:rsidRPr="000163DE">
        <w:rPr>
          <w:lang w:val="fr-FR"/>
        </w:rPr>
        <w:t xml:space="preserve"> session</w:t>
      </w:r>
    </w:p>
    <w:p w14:paraId="18F58392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Additif</w:t>
      </w:r>
    </w:p>
    <w:p w14:paraId="1DC5296B" w14:textId="77777777" w:rsidR="00177325" w:rsidRPr="000163DE" w:rsidRDefault="00177325" w:rsidP="00177325">
      <w:pPr>
        <w:pStyle w:val="HCh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Annotations</w:t>
      </w:r>
    </w:p>
    <w:p w14:paraId="2FD2BC3F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1.</w:t>
      </w:r>
      <w:r w:rsidRPr="000163DE">
        <w:rPr>
          <w:lang w:val="fr-FR"/>
        </w:rPr>
        <w:tab/>
        <w:t>Adoption de l</w:t>
      </w:r>
      <w:r>
        <w:rPr>
          <w:lang w:val="fr-FR"/>
        </w:rPr>
        <w:t>’</w:t>
      </w:r>
      <w:r w:rsidRPr="000163DE">
        <w:rPr>
          <w:lang w:val="fr-FR"/>
        </w:rPr>
        <w:t>ordre du jour</w:t>
      </w:r>
    </w:p>
    <w:p w14:paraId="428C9693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Conformément au Règlement intérieur du Groupe de travail du transport des denrées périssables (WP.11), le premier point de l</w:t>
      </w:r>
      <w:r>
        <w:rPr>
          <w:lang w:val="fr-FR"/>
        </w:rPr>
        <w:t>’</w:t>
      </w:r>
      <w:r w:rsidRPr="000163DE">
        <w:rPr>
          <w:lang w:val="fr-FR"/>
        </w:rPr>
        <w:t>ordre du jour provisoire est l</w:t>
      </w:r>
      <w:r>
        <w:rPr>
          <w:lang w:val="fr-FR"/>
        </w:rPr>
        <w:t>’</w:t>
      </w:r>
      <w:r w:rsidRPr="000163DE">
        <w:rPr>
          <w:lang w:val="fr-FR"/>
        </w:rPr>
        <w:t>adoption de l</w:t>
      </w:r>
      <w:r>
        <w:rPr>
          <w:lang w:val="fr-FR"/>
        </w:rPr>
        <w:t>’</w:t>
      </w:r>
      <w:r w:rsidRPr="000163DE">
        <w:rPr>
          <w:lang w:val="fr-FR"/>
        </w:rPr>
        <w:t>ordre du jour.</w:t>
      </w:r>
    </w:p>
    <w:p w14:paraId="26796F81" w14:textId="309FDD68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2.</w:t>
      </w:r>
      <w:r w:rsidRPr="000163DE">
        <w:rPr>
          <w:lang w:val="fr-FR"/>
        </w:rPr>
        <w:tab/>
        <w:t xml:space="preserve">Activités des organes de la CEE </w:t>
      </w:r>
      <w:r>
        <w:rPr>
          <w:lang w:val="fr-FR"/>
        </w:rPr>
        <w:t xml:space="preserve">présentant </w:t>
      </w:r>
      <w:r w:rsidRPr="000163DE">
        <w:rPr>
          <w:lang w:val="fr-FR"/>
        </w:rPr>
        <w:t xml:space="preserve">un intérêt </w:t>
      </w:r>
      <w:r w:rsidR="00F15285">
        <w:rPr>
          <w:lang w:val="fr-FR"/>
        </w:rPr>
        <w:br/>
      </w:r>
      <w:r w:rsidRPr="000163DE">
        <w:rPr>
          <w:lang w:val="fr-FR"/>
        </w:rPr>
        <w:t>pour le Groupe de travail</w:t>
      </w:r>
    </w:p>
    <w:p w14:paraId="1BB76322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Comité des transports intérieurs</w:t>
      </w:r>
    </w:p>
    <w:p w14:paraId="6562DCD3" w14:textId="1D8EFF81" w:rsidR="00177325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est invité à prendre note des paragraphes</w:t>
      </w:r>
      <w:r w:rsidR="00643B73">
        <w:rPr>
          <w:lang w:val="fr-FR"/>
        </w:rPr>
        <w:t> </w:t>
      </w:r>
      <w:r>
        <w:rPr>
          <w:lang w:val="fr-FR"/>
        </w:rPr>
        <w:t>118 à 120</w:t>
      </w:r>
      <w:r w:rsidRPr="000163DE">
        <w:rPr>
          <w:lang w:val="fr-FR"/>
        </w:rPr>
        <w:t xml:space="preserve"> du rapport du Comité des transports intérieurs </w:t>
      </w:r>
      <w:r>
        <w:rPr>
          <w:lang w:val="fr-FR"/>
        </w:rPr>
        <w:t xml:space="preserve">(CTI) </w:t>
      </w:r>
      <w:r w:rsidRPr="000163DE">
        <w:rPr>
          <w:lang w:val="fr-FR"/>
        </w:rPr>
        <w:t>sur sa quatre-vingt-</w:t>
      </w:r>
      <w:r>
        <w:rPr>
          <w:lang w:val="fr-FR"/>
        </w:rPr>
        <w:t>cinquième</w:t>
      </w:r>
      <w:r w:rsidRPr="000163DE">
        <w:rPr>
          <w:lang w:val="fr-FR"/>
        </w:rPr>
        <w:t xml:space="preserve"> session (2</w:t>
      </w:r>
      <w:r>
        <w:rPr>
          <w:lang w:val="fr-FR"/>
        </w:rPr>
        <w:t>1</w:t>
      </w:r>
      <w:r w:rsidR="00643B73">
        <w:rPr>
          <w:lang w:val="fr-FR"/>
        </w:rPr>
        <w:noBreakHyphen/>
      </w:r>
      <w:r w:rsidRPr="000163DE">
        <w:rPr>
          <w:lang w:val="fr-FR"/>
        </w:rPr>
        <w:t>2</w:t>
      </w:r>
      <w:r>
        <w:rPr>
          <w:lang w:val="fr-FR"/>
        </w:rPr>
        <w:t>4</w:t>
      </w:r>
      <w:r w:rsidRPr="000163DE">
        <w:rPr>
          <w:lang w:val="fr-FR"/>
        </w:rPr>
        <w:t> février 202</w:t>
      </w:r>
      <w:r>
        <w:rPr>
          <w:lang w:val="fr-FR"/>
        </w:rPr>
        <w:t>3</w:t>
      </w:r>
      <w:r w:rsidRPr="000163DE">
        <w:rPr>
          <w:lang w:val="fr-FR"/>
        </w:rPr>
        <w:t>) (ECE/TRANS/3</w:t>
      </w:r>
      <w:r>
        <w:rPr>
          <w:lang w:val="fr-FR"/>
        </w:rPr>
        <w:t>28</w:t>
      </w:r>
      <w:r w:rsidRPr="000163DE">
        <w:rPr>
          <w:lang w:val="fr-FR"/>
        </w:rPr>
        <w:t>).</w:t>
      </w:r>
    </w:p>
    <w:p w14:paraId="1CBE83D0" w14:textId="54002600" w:rsidR="00177325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Il est également invité à prendre note de l’annexe</w:t>
      </w:r>
      <w:r w:rsidR="00643B73">
        <w:rPr>
          <w:lang w:val="fr-FR"/>
        </w:rPr>
        <w:t> </w:t>
      </w:r>
      <w:r>
        <w:rPr>
          <w:lang w:val="fr-FR"/>
        </w:rPr>
        <w:t xml:space="preserve">I du document ECE/TRANS/328, où figure une </w:t>
      </w:r>
      <w:r w:rsidRPr="002A231A">
        <w:rPr>
          <w:lang w:val="fr-FR"/>
        </w:rPr>
        <w:t>déclaration ministérielle intitulée «</w:t>
      </w:r>
      <w:r w:rsidR="00643B73">
        <w:rPr>
          <w:lang w:val="fr-FR"/>
        </w:rPr>
        <w:t> </w:t>
      </w:r>
      <w:r w:rsidRPr="002A231A">
        <w:rPr>
          <w:lang w:val="fr-FR"/>
        </w:rPr>
        <w:t>Tirer le meilleur</w:t>
      </w:r>
      <w:r>
        <w:rPr>
          <w:lang w:val="fr-FR"/>
        </w:rPr>
        <w:t xml:space="preserve"> </w:t>
      </w:r>
      <w:r w:rsidRPr="002A231A">
        <w:rPr>
          <w:lang w:val="fr-FR"/>
        </w:rPr>
        <w:t>parti des solutions de transport intérieur dans la lutte</w:t>
      </w:r>
      <w:r>
        <w:rPr>
          <w:lang w:val="fr-FR"/>
        </w:rPr>
        <w:t xml:space="preserve"> </w:t>
      </w:r>
      <w:r w:rsidRPr="002A231A">
        <w:rPr>
          <w:lang w:val="fr-FR"/>
        </w:rPr>
        <w:t>mondiale contre les changements climatiques</w:t>
      </w:r>
      <w:r w:rsidR="00643B73">
        <w:rPr>
          <w:lang w:val="fr-FR"/>
        </w:rPr>
        <w:t> </w:t>
      </w:r>
      <w:r w:rsidRPr="002A231A">
        <w:rPr>
          <w:lang w:val="fr-FR"/>
        </w:rPr>
        <w:t>»</w:t>
      </w:r>
      <w:r>
        <w:rPr>
          <w:lang w:val="fr-FR"/>
        </w:rPr>
        <w:t>.</w:t>
      </w:r>
    </w:p>
    <w:p w14:paraId="53D39163" w14:textId="42F460DC" w:rsidR="00177325" w:rsidRPr="000267F9" w:rsidRDefault="00177325" w:rsidP="009876D1">
      <w:pPr>
        <w:pStyle w:val="H23G"/>
        <w:ind w:firstLine="0"/>
        <w:rPr>
          <w:lang w:val="fr-FR"/>
        </w:rPr>
      </w:pPr>
      <w:r w:rsidRPr="000267F9">
        <w:rPr>
          <w:lang w:val="fr-FR"/>
        </w:rPr>
        <w:t>Élaboration de la stratégie du CTI pour la réduction des émissions de gaz à effet de</w:t>
      </w:r>
      <w:r w:rsidR="00643B73">
        <w:rPr>
          <w:lang w:val="fr-FR"/>
        </w:rPr>
        <w:t> </w:t>
      </w:r>
      <w:r w:rsidRPr="000267F9">
        <w:rPr>
          <w:lang w:val="fr-FR"/>
        </w:rPr>
        <w:t>serre dans les transports intérieurs</w:t>
      </w:r>
    </w:p>
    <w:p w14:paraId="767D6019" w14:textId="6723BA06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Groupe de travail souhaitera peut-être échanger concernant l’exposé du secrétariat du CTI (document informel</w:t>
      </w:r>
      <w:r w:rsidR="00643B73">
        <w:rPr>
          <w:lang w:val="fr-FR"/>
        </w:rPr>
        <w:t> </w:t>
      </w:r>
      <w:r>
        <w:rPr>
          <w:lang w:val="fr-FR"/>
        </w:rPr>
        <w:t>INF.3).</w:t>
      </w:r>
    </w:p>
    <w:p w14:paraId="42DC96D1" w14:textId="1DC57AA4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Groupe de travail des normes de qualité des produits agricoles</w:t>
      </w:r>
    </w:p>
    <w:p w14:paraId="2392B3F5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</w:t>
      </w:r>
      <w:r w:rsidRPr="000163DE">
        <w:rPr>
          <w:lang w:val="fr-FR"/>
        </w:rPr>
        <w:t xml:space="preserve">es activités du Groupe de travail des normes de qualité des produits agricoles (WP.7) présentant un intérêt pour le WP.11 </w:t>
      </w:r>
      <w:r>
        <w:rPr>
          <w:lang w:val="fr-FR"/>
        </w:rPr>
        <w:t>sont</w:t>
      </w:r>
      <w:r w:rsidRPr="000163DE">
        <w:rPr>
          <w:lang w:val="fr-FR"/>
        </w:rPr>
        <w:t xml:space="preserve"> les suivantes :</w:t>
      </w:r>
    </w:p>
    <w:p w14:paraId="4E0E8449" w14:textId="0DE45050" w:rsidR="00177325" w:rsidRPr="000163DE" w:rsidRDefault="00F16ABE" w:rsidP="00177325">
      <w:pPr>
        <w:pStyle w:val="Bullet1G"/>
        <w:numPr>
          <w:ilvl w:val="0"/>
          <w:numId w:val="1"/>
        </w:numPr>
        <w:rPr>
          <w:lang w:val="fr-FR"/>
        </w:rPr>
      </w:pPr>
      <w:hyperlink r:id="rId8" w:history="1">
        <w:r w:rsidR="00177325" w:rsidRPr="000163DE">
          <w:rPr>
            <w:lang w:val="fr-FR"/>
          </w:rPr>
          <w:t xml:space="preserve">Trente </w:t>
        </w:r>
        <w:r w:rsidR="00177325">
          <w:rPr>
            <w:lang w:val="fr-FR"/>
          </w:rPr>
          <w:t xml:space="preserve">et unième </w:t>
        </w:r>
        <w:r w:rsidR="00177325" w:rsidRPr="000163DE">
          <w:rPr>
            <w:lang w:val="fr-FR"/>
          </w:rPr>
          <w:t xml:space="preserve">session de la Section spécialisée de la normalisation de la viande (GE.11), </w:t>
        </w:r>
        <w:r w:rsidR="00177325">
          <w:rPr>
            <w:lang w:val="fr-FR"/>
          </w:rPr>
          <w:t>les 28 et 29</w:t>
        </w:r>
        <w:r w:rsidR="00F15285">
          <w:rPr>
            <w:lang w:val="fr-FR"/>
          </w:rPr>
          <w:t> </w:t>
        </w:r>
        <w:r w:rsidR="00177325">
          <w:rPr>
            <w:lang w:val="fr-FR"/>
          </w:rPr>
          <w:t>août</w:t>
        </w:r>
        <w:r w:rsidR="00177325" w:rsidRPr="000163DE">
          <w:rPr>
            <w:lang w:val="fr-FR"/>
          </w:rPr>
          <w:t xml:space="preserve"> 202</w:t>
        </w:r>
        <w:r w:rsidR="00177325">
          <w:rPr>
            <w:lang w:val="fr-FR"/>
          </w:rPr>
          <w:t>3</w:t>
        </w:r>
        <w:r w:rsidR="00177325" w:rsidRPr="000163DE">
          <w:rPr>
            <w:lang w:val="fr-FR"/>
          </w:rPr>
          <w:t xml:space="preserve"> à Genève ;</w:t>
        </w:r>
      </w:hyperlink>
    </w:p>
    <w:p w14:paraId="1DF5CCE6" w14:textId="77777777" w:rsidR="00177325" w:rsidRPr="000163DE" w:rsidRDefault="00F16ABE" w:rsidP="00177325">
      <w:pPr>
        <w:pStyle w:val="Bullet1G"/>
        <w:numPr>
          <w:ilvl w:val="0"/>
          <w:numId w:val="1"/>
        </w:numPr>
        <w:rPr>
          <w:lang w:val="fr-FR"/>
        </w:rPr>
      </w:pPr>
      <w:hyperlink r:id="rId9" w:history="1">
        <w:r w:rsidR="00177325" w:rsidRPr="000163DE">
          <w:rPr>
            <w:lang w:val="fr-FR"/>
          </w:rPr>
          <w:t>Soixante-dix-</w:t>
        </w:r>
        <w:r w:rsidR="00177325">
          <w:rPr>
            <w:lang w:val="fr-FR"/>
          </w:rPr>
          <w:t>huitième</w:t>
        </w:r>
        <w:r w:rsidR="00177325" w:rsidRPr="000163DE">
          <w:rPr>
            <w:lang w:val="fr-FR"/>
          </w:rPr>
          <w:t xml:space="preserve"> session du WP.7, du 1</w:t>
        </w:r>
        <w:r w:rsidR="00177325">
          <w:rPr>
            <w:lang w:val="fr-FR"/>
          </w:rPr>
          <w:t>3</w:t>
        </w:r>
        <w:r w:rsidR="00177325" w:rsidRPr="000163DE">
          <w:rPr>
            <w:lang w:val="fr-FR"/>
          </w:rPr>
          <w:t xml:space="preserve"> au 1</w:t>
        </w:r>
        <w:r w:rsidR="00177325">
          <w:rPr>
            <w:lang w:val="fr-FR"/>
          </w:rPr>
          <w:t>5</w:t>
        </w:r>
        <w:r w:rsidR="00177325" w:rsidRPr="000163DE">
          <w:rPr>
            <w:lang w:val="fr-FR"/>
          </w:rPr>
          <w:t> novembre 202</w:t>
        </w:r>
        <w:r w:rsidR="00177325">
          <w:rPr>
            <w:lang w:val="fr-FR"/>
          </w:rPr>
          <w:t>3</w:t>
        </w:r>
        <w:r w:rsidR="00177325" w:rsidRPr="000163DE">
          <w:rPr>
            <w:lang w:val="fr-FR"/>
          </w:rPr>
          <w:t xml:space="preserve"> à Genève.</w:t>
        </w:r>
      </w:hyperlink>
    </w:p>
    <w:p w14:paraId="79C24800" w14:textId="77777777" w:rsidR="00177325" w:rsidRPr="000163DE" w:rsidRDefault="00177325" w:rsidP="00177325">
      <w:pPr>
        <w:pStyle w:val="SingleTxtG"/>
        <w:rPr>
          <w:spacing w:val="-3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dernier des outils conçus par la Commission économique pour l</w:t>
      </w:r>
      <w:r>
        <w:rPr>
          <w:lang w:val="fr-FR"/>
        </w:rPr>
        <w:t>’</w:t>
      </w:r>
      <w:r w:rsidRPr="000163DE">
        <w:rPr>
          <w:lang w:val="fr-FR"/>
        </w:rPr>
        <w:t>Europe (CEE) pour lutter contre les pertes et le gaspillage de denrées alimentaires est disponible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0" w:history="1">
        <w:r w:rsidRPr="009425EC">
          <w:rPr>
            <w:rStyle w:val="Lienhypertexte"/>
            <w:lang w:val="fr-FR"/>
          </w:rPr>
          <w:t>https://unece.org/trade/wp7/food-loss-and-waste</w:t>
        </w:r>
      </w:hyperlink>
      <w:r w:rsidRPr="000163DE">
        <w:rPr>
          <w:lang w:val="fr-FR"/>
        </w:rPr>
        <w:t>.</w:t>
      </w:r>
    </w:p>
    <w:p w14:paraId="2D512DE6" w14:textId="77777777" w:rsidR="00177325" w:rsidRPr="000163DE" w:rsidRDefault="00177325" w:rsidP="00177325">
      <w:pPr>
        <w:pStyle w:val="SingleTxtG"/>
        <w:rPr>
          <w:spacing w:val="-3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On trouvera de plus amples informations </w:t>
      </w:r>
      <w:r>
        <w:rPr>
          <w:lang w:val="fr-FR"/>
        </w:rPr>
        <w:t>concernant</w:t>
      </w:r>
      <w:r w:rsidRPr="000163DE">
        <w:rPr>
          <w:lang w:val="fr-FR"/>
        </w:rPr>
        <w:t xml:space="preserve"> ces activités et d</w:t>
      </w:r>
      <w:r>
        <w:rPr>
          <w:lang w:val="fr-FR"/>
        </w:rPr>
        <w:t>’</w:t>
      </w:r>
      <w:r w:rsidRPr="000163DE">
        <w:rPr>
          <w:lang w:val="fr-FR"/>
        </w:rPr>
        <w:t>autres sur le site Web du WP.7, à l</w:t>
      </w:r>
      <w:r>
        <w:rPr>
          <w:lang w:val="fr-FR"/>
        </w:rPr>
        <w:t>’</w:t>
      </w:r>
      <w:r w:rsidRPr="000163DE">
        <w:rPr>
          <w:lang w:val="fr-FR"/>
        </w:rPr>
        <w:t>adresse suivante</w:t>
      </w:r>
      <w:r>
        <w:rPr>
          <w:lang w:val="fr-FR"/>
        </w:rPr>
        <w:t> </w:t>
      </w:r>
      <w:r w:rsidRPr="000163DE">
        <w:rPr>
          <w:lang w:val="fr-FR"/>
        </w:rPr>
        <w:t xml:space="preserve">: </w:t>
      </w:r>
      <w:hyperlink r:id="rId11" w:history="1">
        <w:r w:rsidRPr="009425EC">
          <w:rPr>
            <w:rStyle w:val="Lienhypertexte"/>
            <w:lang w:val="fr-FR"/>
          </w:rPr>
          <w:t>https://unece.org/trade/working-party-agricultural-quality-standards-wp7</w:t>
        </w:r>
      </w:hyperlink>
      <w:r w:rsidRPr="000163DE">
        <w:rPr>
          <w:lang w:val="fr-FR"/>
        </w:rPr>
        <w:t>.</w:t>
      </w:r>
    </w:p>
    <w:p w14:paraId="1E5A9AD0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3.</w:t>
      </w:r>
      <w:r w:rsidRPr="000163DE">
        <w:rPr>
          <w:lang w:val="fr-FR"/>
        </w:rPr>
        <w:tab/>
        <w:t>Activités d</w:t>
      </w:r>
      <w:r>
        <w:rPr>
          <w:lang w:val="fr-FR"/>
        </w:rPr>
        <w:t>’</w:t>
      </w:r>
      <w:r w:rsidRPr="000163DE">
        <w:rPr>
          <w:lang w:val="fr-FR"/>
        </w:rPr>
        <w:t>autres organisations internationales qui s</w:t>
      </w:r>
      <w:r>
        <w:rPr>
          <w:lang w:val="fr-FR"/>
        </w:rPr>
        <w:t>’</w:t>
      </w:r>
      <w:r w:rsidRPr="000163DE">
        <w:rPr>
          <w:lang w:val="fr-FR"/>
        </w:rPr>
        <w:t xml:space="preserve">occupent </w:t>
      </w:r>
      <w:r>
        <w:rPr>
          <w:lang w:val="fr-FR"/>
        </w:rPr>
        <w:br/>
      </w:r>
      <w:r w:rsidRPr="000163DE">
        <w:rPr>
          <w:lang w:val="fr-FR"/>
        </w:rPr>
        <w:t>de</w:t>
      </w:r>
      <w:r>
        <w:rPr>
          <w:lang w:val="fr-FR"/>
        </w:rPr>
        <w:t xml:space="preserve"> questions </w:t>
      </w:r>
      <w:r w:rsidRPr="000163DE">
        <w:rPr>
          <w:lang w:val="fr-FR"/>
        </w:rPr>
        <w:t>intéressant le Groupe de travail</w:t>
      </w:r>
    </w:p>
    <w:p w14:paraId="14F1D144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Institut international du froid (IIF)</w:t>
      </w:r>
    </w:p>
    <w:p w14:paraId="1BF5DDEB" w14:textId="55B2C1F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sera informé des résultats de la réunion de la Sous-Commission du transport réfrigéré de l</w:t>
      </w:r>
      <w:r>
        <w:rPr>
          <w:lang w:val="fr-FR"/>
        </w:rPr>
        <w:t>’</w:t>
      </w:r>
      <w:r w:rsidRPr="000163DE">
        <w:rPr>
          <w:lang w:val="fr-FR"/>
        </w:rPr>
        <w:t>IIF, qui s</w:t>
      </w:r>
      <w:r>
        <w:rPr>
          <w:lang w:val="fr-FR"/>
        </w:rPr>
        <w:t>’</w:t>
      </w:r>
      <w:r w:rsidRPr="000163DE">
        <w:rPr>
          <w:lang w:val="fr-FR"/>
        </w:rPr>
        <w:t xml:space="preserve">est tenue </w:t>
      </w:r>
      <w:r>
        <w:rPr>
          <w:lang w:val="fr-FR"/>
        </w:rPr>
        <w:t xml:space="preserve">à </w:t>
      </w:r>
      <w:proofErr w:type="spellStart"/>
      <w:r>
        <w:rPr>
          <w:lang w:val="fr-FR"/>
        </w:rPr>
        <w:t>Selca</w:t>
      </w:r>
      <w:proofErr w:type="spellEnd"/>
      <w:r>
        <w:rPr>
          <w:lang w:val="fr-FR"/>
        </w:rPr>
        <w:t xml:space="preserve"> (Slovénie) les 18 et 19</w:t>
      </w:r>
      <w:r w:rsidR="00643B73">
        <w:rPr>
          <w:lang w:val="fr-FR"/>
        </w:rPr>
        <w:t> </w:t>
      </w:r>
      <w:r>
        <w:rPr>
          <w:lang w:val="fr-FR"/>
        </w:rPr>
        <w:t>avril 2023 (document informel</w:t>
      </w:r>
      <w:r w:rsidR="00643B73">
        <w:rPr>
          <w:lang w:val="fr-FR"/>
        </w:rPr>
        <w:t> </w:t>
      </w:r>
      <w:r>
        <w:rPr>
          <w:lang w:val="fr-FR"/>
        </w:rPr>
        <w:t>INF.2)</w:t>
      </w:r>
      <w:r w:rsidRPr="000163DE">
        <w:rPr>
          <w:lang w:val="fr-FR"/>
        </w:rPr>
        <w:t>.</w:t>
      </w:r>
    </w:p>
    <w:p w14:paraId="424F4D66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</w:r>
      <w:proofErr w:type="spellStart"/>
      <w:r w:rsidRPr="000163DE">
        <w:rPr>
          <w:lang w:val="fr-FR"/>
        </w:rPr>
        <w:t>Transfrigoroute</w:t>
      </w:r>
      <w:proofErr w:type="spellEnd"/>
      <w:r w:rsidRPr="000163DE">
        <w:rPr>
          <w:lang w:val="fr-FR"/>
        </w:rPr>
        <w:t xml:space="preserve"> International</w:t>
      </w:r>
    </w:p>
    <w:p w14:paraId="77591167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représentant de </w:t>
      </w:r>
      <w:proofErr w:type="spellStart"/>
      <w:r w:rsidRPr="000163DE">
        <w:rPr>
          <w:lang w:val="fr-FR"/>
        </w:rPr>
        <w:t>Transfrigoroute</w:t>
      </w:r>
      <w:proofErr w:type="spellEnd"/>
      <w:r w:rsidRPr="000163DE">
        <w:rPr>
          <w:lang w:val="fr-FR"/>
        </w:rPr>
        <w:t xml:space="preserve"> International sera invité à présenter les activités récemment menées par son organisation.</w:t>
      </w:r>
    </w:p>
    <w:p w14:paraId="2EFD83F8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c)</w:t>
      </w:r>
      <w:r w:rsidRPr="000163DE">
        <w:rPr>
          <w:lang w:val="fr-FR"/>
        </w:rPr>
        <w:tab/>
        <w:t>Organisations de normalisation</w:t>
      </w:r>
    </w:p>
    <w:p w14:paraId="4EBC9C22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délégations participant aux travaux des organisations de normalisation sont invitées à informer le Groupe de travail de l</w:t>
      </w:r>
      <w:r>
        <w:rPr>
          <w:lang w:val="fr-FR"/>
        </w:rPr>
        <w:t>’</w:t>
      </w:r>
      <w:r w:rsidRPr="000163DE">
        <w:rPr>
          <w:lang w:val="fr-FR"/>
        </w:rPr>
        <w:t>état d</w:t>
      </w:r>
      <w:r>
        <w:rPr>
          <w:lang w:val="fr-FR"/>
        </w:rPr>
        <w:t>’</w:t>
      </w:r>
      <w:r w:rsidRPr="000163DE">
        <w:rPr>
          <w:lang w:val="fr-FR"/>
        </w:rPr>
        <w:t>avancement des travaux d</w:t>
      </w:r>
      <w:r>
        <w:rPr>
          <w:lang w:val="fr-FR"/>
        </w:rPr>
        <w:t>’</w:t>
      </w:r>
      <w:r w:rsidRPr="000163DE">
        <w:rPr>
          <w:lang w:val="fr-FR"/>
        </w:rPr>
        <w:t>élaboration de normes relatives au transport sous température dirigée, ainsi que des incidences que ces normes sont censées avoir sur l</w:t>
      </w:r>
      <w:r>
        <w:rPr>
          <w:lang w:val="fr-FR"/>
        </w:rPr>
        <w:t>’</w:t>
      </w:r>
      <w:r w:rsidRPr="000163DE">
        <w:rPr>
          <w:lang w:val="fr-FR"/>
        </w:rPr>
        <w:t>ATP.</w:t>
      </w:r>
    </w:p>
    <w:p w14:paraId="34BE926E" w14:textId="7CBF90BD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4.</w:t>
      </w:r>
      <w:r w:rsidRPr="000163DE">
        <w:rPr>
          <w:lang w:val="fr-FR"/>
        </w:rPr>
        <w:tab/>
        <w:t>État et mise en œuvre de l</w:t>
      </w:r>
      <w:r>
        <w:rPr>
          <w:lang w:val="fr-FR"/>
        </w:rPr>
        <w:t>’</w:t>
      </w:r>
      <w:r w:rsidRPr="000163DE">
        <w:rPr>
          <w:lang w:val="fr-FR"/>
        </w:rPr>
        <w:t xml:space="preserve">Accord relatif aux transports </w:t>
      </w:r>
      <w:r w:rsidR="009876D1">
        <w:rPr>
          <w:lang w:val="fr-FR"/>
        </w:rPr>
        <w:br/>
      </w:r>
      <w:r w:rsidRPr="000163DE">
        <w:rPr>
          <w:lang w:val="fr-FR"/>
        </w:rPr>
        <w:t xml:space="preserve">internationaux de denrées périssables et aux engins </w:t>
      </w:r>
      <w:r w:rsidR="009876D1">
        <w:rPr>
          <w:lang w:val="fr-FR"/>
        </w:rPr>
        <w:br/>
      </w:r>
      <w:r w:rsidRPr="000163DE">
        <w:rPr>
          <w:lang w:val="fr-FR"/>
        </w:rPr>
        <w:t>spéciaux à utiliser pour ces transports (ATP)</w:t>
      </w:r>
    </w:p>
    <w:p w14:paraId="0E0443C8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État de l</w:t>
      </w:r>
      <w:r>
        <w:rPr>
          <w:lang w:val="fr-FR"/>
        </w:rPr>
        <w:t>’</w:t>
      </w:r>
      <w:r w:rsidRPr="000163DE">
        <w:rPr>
          <w:lang w:val="fr-FR"/>
        </w:rPr>
        <w:t>Accord</w:t>
      </w:r>
    </w:p>
    <w:p w14:paraId="54A8FD83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Aucune adhésion nouvelle à l</w:t>
      </w:r>
      <w:r>
        <w:rPr>
          <w:lang w:val="fr-FR"/>
        </w:rPr>
        <w:t>’</w:t>
      </w:r>
      <w:r w:rsidRPr="000163DE">
        <w:rPr>
          <w:lang w:val="fr-FR"/>
        </w:rPr>
        <w:t>ATP n</w:t>
      </w:r>
      <w:r>
        <w:rPr>
          <w:lang w:val="fr-FR"/>
        </w:rPr>
        <w:t>’</w:t>
      </w:r>
      <w:r w:rsidRPr="000163DE">
        <w:rPr>
          <w:lang w:val="fr-FR"/>
        </w:rPr>
        <w:t>est à signaler depuis la dernière session ; le nombre de Parties contractantes reste donc de 52.</w:t>
      </w:r>
    </w:p>
    <w:p w14:paraId="72126AB8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État des amendements</w:t>
      </w:r>
    </w:p>
    <w:p w14:paraId="479516C5" w14:textId="6BA48390" w:rsidR="00177325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74E9">
        <w:rPr>
          <w:lang w:val="fr-FR"/>
        </w:rPr>
        <w:t>Les propositions d</w:t>
      </w:r>
      <w:r>
        <w:rPr>
          <w:lang w:val="fr-FR"/>
        </w:rPr>
        <w:t>’</w:t>
      </w:r>
      <w:r w:rsidRPr="00AE74E9">
        <w:rPr>
          <w:lang w:val="fr-FR"/>
        </w:rPr>
        <w:t>amendements à l</w:t>
      </w:r>
      <w:r>
        <w:rPr>
          <w:lang w:val="fr-FR"/>
        </w:rPr>
        <w:t>’</w:t>
      </w:r>
      <w:r w:rsidRPr="00AE74E9">
        <w:rPr>
          <w:lang w:val="fr-FR"/>
        </w:rPr>
        <w:t xml:space="preserve">ATP adoptées par le </w:t>
      </w:r>
      <w:r>
        <w:rPr>
          <w:lang w:val="fr-FR"/>
        </w:rPr>
        <w:t>Groupe de travail</w:t>
      </w:r>
      <w:r w:rsidRPr="00AE74E9">
        <w:rPr>
          <w:lang w:val="fr-FR"/>
        </w:rPr>
        <w:t xml:space="preserve"> à ses soixante-</w:t>
      </w:r>
      <w:r>
        <w:rPr>
          <w:lang w:val="fr-FR"/>
        </w:rPr>
        <w:t>dix-septième, soixante-dix-huitième et soixante-dix-neuvième s</w:t>
      </w:r>
      <w:r w:rsidRPr="00AE74E9">
        <w:rPr>
          <w:lang w:val="fr-FR"/>
        </w:rPr>
        <w:t xml:space="preserve">essions, tenues à Genève respectivement du </w:t>
      </w:r>
      <w:r>
        <w:rPr>
          <w:lang w:val="fr-FR"/>
        </w:rPr>
        <w:t>26 au 29</w:t>
      </w:r>
      <w:r w:rsidR="00643B73">
        <w:rPr>
          <w:lang w:val="fr-FR"/>
        </w:rPr>
        <w:t> </w:t>
      </w:r>
      <w:r>
        <w:rPr>
          <w:lang w:val="fr-FR"/>
        </w:rPr>
        <w:t>octobre 2021, du 3 au</w:t>
      </w:r>
      <w:r w:rsidR="00643B73">
        <w:rPr>
          <w:lang w:val="fr-FR"/>
        </w:rPr>
        <w:t xml:space="preserve"> </w:t>
      </w:r>
      <w:r>
        <w:rPr>
          <w:lang w:val="fr-FR"/>
        </w:rPr>
        <w:t>6</w:t>
      </w:r>
      <w:r w:rsidR="00643B73">
        <w:rPr>
          <w:lang w:val="fr-FR"/>
        </w:rPr>
        <w:t> </w:t>
      </w:r>
      <w:r>
        <w:rPr>
          <w:lang w:val="fr-FR"/>
        </w:rPr>
        <w:t>mai 2022 et du 25 au 28</w:t>
      </w:r>
      <w:r w:rsidR="00643B73">
        <w:rPr>
          <w:lang w:val="fr-FR"/>
        </w:rPr>
        <w:t> </w:t>
      </w:r>
      <w:r>
        <w:rPr>
          <w:lang w:val="fr-FR"/>
        </w:rPr>
        <w:t>octobre</w:t>
      </w:r>
      <w:r w:rsidR="009876D1">
        <w:rPr>
          <w:lang w:val="fr-FR"/>
        </w:rPr>
        <w:t xml:space="preserve"> </w:t>
      </w:r>
      <w:r>
        <w:rPr>
          <w:lang w:val="fr-FR"/>
        </w:rPr>
        <w:t>2022,</w:t>
      </w:r>
      <w:r w:rsidRPr="00AE74E9">
        <w:rPr>
          <w:lang w:val="fr-FR"/>
        </w:rPr>
        <w:t xml:space="preserve"> qui sont reproduites respectivement à l</w:t>
      </w:r>
      <w:r>
        <w:rPr>
          <w:lang w:val="fr-FR"/>
        </w:rPr>
        <w:t>’</w:t>
      </w:r>
      <w:r w:rsidRPr="00AE74E9">
        <w:rPr>
          <w:lang w:val="fr-FR"/>
        </w:rPr>
        <w:t xml:space="preserve">annexe du rapport </w:t>
      </w:r>
      <w:r w:rsidRPr="00B45554">
        <w:rPr>
          <w:lang w:val="fr-FR"/>
        </w:rPr>
        <w:t>ECE/TRANS/WP.11/245</w:t>
      </w:r>
      <w:r>
        <w:rPr>
          <w:lang w:val="fr-FR"/>
        </w:rPr>
        <w:t>, à l’annexe</w:t>
      </w:r>
      <w:r w:rsidR="00643B73">
        <w:rPr>
          <w:lang w:val="fr-FR"/>
        </w:rPr>
        <w:t> </w:t>
      </w:r>
      <w:r>
        <w:rPr>
          <w:lang w:val="fr-FR"/>
        </w:rPr>
        <w:t xml:space="preserve">II du rapport </w:t>
      </w:r>
      <w:r w:rsidRPr="00B45554">
        <w:rPr>
          <w:lang w:val="fr-FR"/>
        </w:rPr>
        <w:t xml:space="preserve">ECE/TRANS/WP.11/247 </w:t>
      </w:r>
      <w:r w:rsidRPr="00AE74E9">
        <w:rPr>
          <w:lang w:val="fr-FR"/>
        </w:rPr>
        <w:t>et à l</w:t>
      </w:r>
      <w:r>
        <w:rPr>
          <w:lang w:val="fr-FR"/>
        </w:rPr>
        <w:t>’</w:t>
      </w:r>
      <w:r w:rsidRPr="00AE74E9">
        <w:rPr>
          <w:lang w:val="fr-FR"/>
        </w:rPr>
        <w:t>annexe</w:t>
      </w:r>
      <w:r w:rsidR="00643B73">
        <w:rPr>
          <w:lang w:val="fr-FR"/>
        </w:rPr>
        <w:t> </w:t>
      </w:r>
      <w:r w:rsidRPr="00AE74E9">
        <w:rPr>
          <w:lang w:val="fr-FR"/>
        </w:rPr>
        <w:t>I</w:t>
      </w:r>
      <w:r>
        <w:rPr>
          <w:lang w:val="fr-FR"/>
        </w:rPr>
        <w:t>I</w:t>
      </w:r>
      <w:r w:rsidRPr="00AE74E9">
        <w:rPr>
          <w:lang w:val="fr-FR"/>
        </w:rPr>
        <w:t xml:space="preserve"> du rapport ECE/TRANS/WP.11/24</w:t>
      </w:r>
      <w:r>
        <w:rPr>
          <w:lang w:val="fr-FR"/>
        </w:rPr>
        <w:t>9</w:t>
      </w:r>
      <w:r w:rsidRPr="00AE74E9">
        <w:rPr>
          <w:lang w:val="fr-FR"/>
        </w:rPr>
        <w:t xml:space="preserve"> (notification dépositaire </w:t>
      </w:r>
      <w:r w:rsidRPr="00B45554">
        <w:rPr>
          <w:lang w:val="fr-FR"/>
        </w:rPr>
        <w:t>C.N.30.2023.TREATIES-XI.B.22</w:t>
      </w:r>
      <w:r w:rsidRPr="00AE74E9">
        <w:rPr>
          <w:lang w:val="fr-FR"/>
        </w:rPr>
        <w:t>), ont été notifiées aux Parties contractantes à l</w:t>
      </w:r>
      <w:r>
        <w:rPr>
          <w:lang w:val="fr-FR"/>
        </w:rPr>
        <w:t>’</w:t>
      </w:r>
      <w:r w:rsidRPr="00AE74E9">
        <w:rPr>
          <w:lang w:val="fr-FR"/>
        </w:rPr>
        <w:t>ATP par la Section des traités de l</w:t>
      </w:r>
      <w:r>
        <w:rPr>
          <w:lang w:val="fr-FR"/>
        </w:rPr>
        <w:t>’</w:t>
      </w:r>
      <w:r w:rsidRPr="00AE74E9">
        <w:rPr>
          <w:lang w:val="fr-FR"/>
        </w:rPr>
        <w:t xml:space="preserve">ONU le </w:t>
      </w:r>
      <w:r>
        <w:rPr>
          <w:lang w:val="fr-FR"/>
        </w:rPr>
        <w:t>3</w:t>
      </w:r>
      <w:r w:rsidR="00643B73">
        <w:rPr>
          <w:lang w:val="fr-FR"/>
        </w:rPr>
        <w:t> </w:t>
      </w:r>
      <w:r>
        <w:rPr>
          <w:lang w:val="fr-FR"/>
        </w:rPr>
        <w:t>février 2023</w:t>
      </w:r>
      <w:r w:rsidRPr="00AE74E9">
        <w:rPr>
          <w:lang w:val="fr-FR"/>
        </w:rPr>
        <w:t>.</w:t>
      </w:r>
    </w:p>
    <w:p w14:paraId="3D975C35" w14:textId="66B94F13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45554">
        <w:rPr>
          <w:lang w:val="fr-FR"/>
        </w:rPr>
        <w:t>Le 30</w:t>
      </w:r>
      <w:r w:rsidR="00643B73">
        <w:rPr>
          <w:lang w:val="fr-FR"/>
        </w:rPr>
        <w:t> </w:t>
      </w:r>
      <w:r w:rsidRPr="00B45554">
        <w:rPr>
          <w:lang w:val="fr-FR"/>
        </w:rPr>
        <w:t xml:space="preserve">mars 2023, le Gouvernement allemand, agissant en vertu </w:t>
      </w:r>
      <w:r w:rsidRPr="004C64D0">
        <w:rPr>
          <w:lang w:val="fr-FR"/>
        </w:rPr>
        <w:t>du paragraphe</w:t>
      </w:r>
      <w:r w:rsidR="00643B73">
        <w:rPr>
          <w:lang w:val="fr-FR"/>
        </w:rPr>
        <w:t> </w:t>
      </w:r>
      <w:r w:rsidRPr="004C64D0">
        <w:rPr>
          <w:lang w:val="fr-FR"/>
        </w:rPr>
        <w:t>2</w:t>
      </w:r>
      <w:r w:rsidR="00643B73">
        <w:rPr>
          <w:lang w:val="fr-FR"/>
        </w:rPr>
        <w:t> </w:t>
      </w:r>
      <w:r w:rsidRPr="004C64D0">
        <w:rPr>
          <w:lang w:val="fr-FR"/>
        </w:rPr>
        <w:t>b) de l</w:t>
      </w:r>
      <w:r>
        <w:rPr>
          <w:lang w:val="fr-FR"/>
        </w:rPr>
        <w:t>’</w:t>
      </w:r>
      <w:r w:rsidRPr="004C64D0">
        <w:rPr>
          <w:lang w:val="fr-FR"/>
        </w:rPr>
        <w:t>article</w:t>
      </w:r>
      <w:r w:rsidR="00643B73">
        <w:rPr>
          <w:lang w:val="fr-FR"/>
        </w:rPr>
        <w:t> </w:t>
      </w:r>
      <w:r w:rsidRPr="004C64D0">
        <w:rPr>
          <w:lang w:val="fr-FR"/>
        </w:rPr>
        <w:t>18</w:t>
      </w:r>
      <w:r w:rsidRPr="00B45554">
        <w:rPr>
          <w:lang w:val="fr-FR"/>
        </w:rPr>
        <w:t xml:space="preserve"> de l</w:t>
      </w:r>
      <w:r>
        <w:rPr>
          <w:lang w:val="fr-FR"/>
        </w:rPr>
        <w:t>’</w:t>
      </w:r>
      <w:r w:rsidRPr="00B45554">
        <w:rPr>
          <w:lang w:val="fr-FR"/>
        </w:rPr>
        <w:t>ATP, a informé le Secrétaire général qu</w:t>
      </w:r>
      <w:r>
        <w:rPr>
          <w:lang w:val="fr-FR"/>
        </w:rPr>
        <w:t>’</w:t>
      </w:r>
      <w:r w:rsidRPr="00B45554">
        <w:rPr>
          <w:lang w:val="fr-FR"/>
        </w:rPr>
        <w:t>il avait l</w:t>
      </w:r>
      <w:r>
        <w:rPr>
          <w:lang w:val="fr-FR"/>
        </w:rPr>
        <w:t>’</w:t>
      </w:r>
      <w:r w:rsidRPr="00B45554">
        <w:rPr>
          <w:lang w:val="fr-FR"/>
        </w:rPr>
        <w:t>intention d</w:t>
      </w:r>
      <w:r>
        <w:rPr>
          <w:lang w:val="fr-FR"/>
        </w:rPr>
        <w:t>’</w:t>
      </w:r>
      <w:r w:rsidRPr="00B45554">
        <w:rPr>
          <w:lang w:val="fr-FR"/>
        </w:rPr>
        <w:t>accepter les propositions, mais que les conditions de cette acceptation n</w:t>
      </w:r>
      <w:r>
        <w:rPr>
          <w:lang w:val="fr-FR"/>
        </w:rPr>
        <w:t>’</w:t>
      </w:r>
      <w:r w:rsidRPr="00B45554">
        <w:rPr>
          <w:lang w:val="fr-FR"/>
        </w:rPr>
        <w:t>étaient pas encore remplies (C.N.</w:t>
      </w:r>
      <w:proofErr w:type="gramStart"/>
      <w:r w:rsidRPr="00B45554">
        <w:rPr>
          <w:lang w:val="fr-FR"/>
        </w:rPr>
        <w:t>101.2023.TREATIES</w:t>
      </w:r>
      <w:proofErr w:type="gramEnd"/>
      <w:r w:rsidRPr="00B45554">
        <w:rPr>
          <w:lang w:val="fr-FR"/>
        </w:rPr>
        <w:t>-XI.B.22).</w:t>
      </w:r>
      <w:r>
        <w:rPr>
          <w:lang w:val="fr-FR"/>
        </w:rPr>
        <w:t xml:space="preserve"> </w:t>
      </w:r>
      <w:r w:rsidRPr="00B45554">
        <w:rPr>
          <w:lang w:val="fr-FR"/>
        </w:rPr>
        <w:t>En conséquence, les propositions d</w:t>
      </w:r>
      <w:r>
        <w:rPr>
          <w:lang w:val="fr-FR"/>
        </w:rPr>
        <w:t>’</w:t>
      </w:r>
      <w:r w:rsidRPr="00B45554">
        <w:rPr>
          <w:lang w:val="fr-FR"/>
        </w:rPr>
        <w:t xml:space="preserve">amendements adoptées aux sessions de 2021 et 2022 du </w:t>
      </w:r>
      <w:r>
        <w:rPr>
          <w:lang w:val="fr-FR"/>
        </w:rPr>
        <w:t>Groupe de travail</w:t>
      </w:r>
      <w:r w:rsidRPr="00B45554">
        <w:rPr>
          <w:lang w:val="fr-FR"/>
        </w:rPr>
        <w:t xml:space="preserve"> ne seront réputées acceptées que si, avant l</w:t>
      </w:r>
      <w:r>
        <w:rPr>
          <w:lang w:val="fr-FR"/>
        </w:rPr>
        <w:t>’</w:t>
      </w:r>
      <w:r w:rsidRPr="00B45554">
        <w:rPr>
          <w:lang w:val="fr-FR"/>
        </w:rPr>
        <w:t>expiration d</w:t>
      </w:r>
      <w:r>
        <w:rPr>
          <w:lang w:val="fr-FR"/>
        </w:rPr>
        <w:t>’</w:t>
      </w:r>
      <w:r w:rsidRPr="00B45554">
        <w:rPr>
          <w:lang w:val="fr-FR"/>
        </w:rPr>
        <w:t>un délai de neuf mois après la période de notification initiale de six mois, le Gouvernement allemand ne présente pas une objection aux amendements proposés.</w:t>
      </w:r>
    </w:p>
    <w:p w14:paraId="72B93285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lastRenderedPageBreak/>
        <w:tab/>
        <w:t>c)</w:t>
      </w:r>
      <w:r w:rsidRPr="000163DE">
        <w:rPr>
          <w:lang w:val="fr-FR"/>
        </w:rPr>
        <w:tab/>
        <w:t>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 par l</w:t>
      </w:r>
      <w:r>
        <w:rPr>
          <w:lang w:val="fr-FR"/>
        </w:rPr>
        <w:t>’</w:t>
      </w:r>
      <w:r w:rsidRPr="000163DE">
        <w:rPr>
          <w:lang w:val="fr-FR"/>
        </w:rPr>
        <w:t xml:space="preserve">autorité compétente des pays parties </w:t>
      </w:r>
      <w:r>
        <w:rPr>
          <w:lang w:val="fr-FR"/>
        </w:rPr>
        <w:br/>
      </w:r>
      <w:r w:rsidRPr="000163DE">
        <w:rPr>
          <w:lang w:val="fr-FR"/>
        </w:rPr>
        <w:t>à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45D40D48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La liste actualisée des 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 peut être consultée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2" w:history="1">
        <w:r w:rsidRPr="009425EC">
          <w:rPr>
            <w:rStyle w:val="Lienhypertexte"/>
            <w:lang w:val="fr-FR"/>
          </w:rPr>
          <w:t>https://unece.org/atp-competent-authorities-and-testing-stations</w:t>
        </w:r>
      </w:hyperlink>
      <w:r w:rsidRPr="000163DE">
        <w:rPr>
          <w:lang w:val="fr-FR"/>
        </w:rPr>
        <w:t>.</w:t>
      </w:r>
    </w:p>
    <w:p w14:paraId="730E4B76" w14:textId="06C77126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d)</w:t>
      </w:r>
      <w:r w:rsidRPr="000163DE">
        <w:rPr>
          <w:lang w:val="fr-FR"/>
        </w:rPr>
        <w:tab/>
        <w:t>Échange d</w:t>
      </w:r>
      <w:r>
        <w:rPr>
          <w:lang w:val="fr-FR"/>
        </w:rPr>
        <w:t>’</w:t>
      </w:r>
      <w:r w:rsidRPr="000163DE">
        <w:rPr>
          <w:lang w:val="fr-FR"/>
        </w:rPr>
        <w:t>informations entre les Parties en vertu de l</w:t>
      </w:r>
      <w:r>
        <w:rPr>
          <w:lang w:val="fr-FR"/>
        </w:rPr>
        <w:t>’</w:t>
      </w:r>
      <w:r w:rsidRPr="000163DE">
        <w:rPr>
          <w:lang w:val="fr-FR"/>
        </w:rPr>
        <w:t>article</w:t>
      </w:r>
      <w:r w:rsidR="00643B73">
        <w:rPr>
          <w:lang w:val="fr-FR"/>
        </w:rPr>
        <w:t> </w:t>
      </w:r>
      <w:r w:rsidRPr="000163DE">
        <w:rPr>
          <w:lang w:val="fr-FR"/>
        </w:rPr>
        <w:t>6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0671D293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À sa soixante-dix-</w:t>
      </w:r>
      <w:r>
        <w:rPr>
          <w:lang w:val="fr-FR"/>
        </w:rPr>
        <w:t>neuvième</w:t>
      </w:r>
      <w:r w:rsidRPr="000163DE">
        <w:rPr>
          <w:lang w:val="fr-FR"/>
        </w:rPr>
        <w:t xml:space="preserve"> session, le Groupe de travail a remercié les 2</w:t>
      </w:r>
      <w:r>
        <w:rPr>
          <w:lang w:val="fr-FR"/>
        </w:rPr>
        <w:t>1</w:t>
      </w:r>
      <w:r w:rsidRPr="000163DE">
        <w:rPr>
          <w:lang w:val="fr-FR"/>
        </w:rPr>
        <w:t> pays qui avaient fourni des données en réponse au questionnaire sur l</w:t>
      </w:r>
      <w:r>
        <w:rPr>
          <w:lang w:val="fr-FR"/>
        </w:rPr>
        <w:t>’</w:t>
      </w:r>
      <w:r w:rsidRPr="000163DE">
        <w:rPr>
          <w:lang w:val="fr-FR"/>
        </w:rPr>
        <w:t>application de l</w:t>
      </w:r>
      <w:r>
        <w:rPr>
          <w:lang w:val="fr-FR"/>
        </w:rPr>
        <w:t>’</w:t>
      </w:r>
      <w:r w:rsidRPr="000163DE">
        <w:rPr>
          <w:lang w:val="fr-FR"/>
        </w:rPr>
        <w:t>ATP en 202</w:t>
      </w:r>
      <w:r>
        <w:rPr>
          <w:lang w:val="fr-FR"/>
        </w:rPr>
        <w:t>1</w:t>
      </w:r>
      <w:r w:rsidRPr="000163DE">
        <w:rPr>
          <w:lang w:val="fr-FR"/>
        </w:rPr>
        <w:t xml:space="preserve"> et </w:t>
      </w:r>
      <w:r>
        <w:rPr>
          <w:lang w:val="fr-FR"/>
        </w:rPr>
        <w:t xml:space="preserve">a </w:t>
      </w:r>
      <w:r w:rsidRPr="000163DE">
        <w:rPr>
          <w:lang w:val="fr-FR"/>
        </w:rPr>
        <w:t xml:space="preserve">souligné </w:t>
      </w:r>
      <w:r>
        <w:rPr>
          <w:lang w:val="fr-FR"/>
        </w:rPr>
        <w:t>que</w:t>
      </w:r>
      <w:r w:rsidRPr="000163DE">
        <w:rPr>
          <w:lang w:val="fr-FR"/>
        </w:rPr>
        <w:t xml:space="preserve"> toutes les Parties contractantes à l</w:t>
      </w:r>
      <w:r>
        <w:rPr>
          <w:lang w:val="fr-FR"/>
        </w:rPr>
        <w:t>’</w:t>
      </w:r>
      <w:r w:rsidRPr="000163DE">
        <w:rPr>
          <w:lang w:val="fr-FR"/>
        </w:rPr>
        <w:t>ATP</w:t>
      </w:r>
      <w:r>
        <w:rPr>
          <w:lang w:val="fr-FR"/>
        </w:rPr>
        <w:t xml:space="preserve"> étaient tenues de le faire car il s’agissait d’un moyen d’harmoniser l’application</w:t>
      </w:r>
      <w:r w:rsidRPr="000163DE">
        <w:rPr>
          <w:lang w:val="fr-FR"/>
        </w:rPr>
        <w:t xml:space="preserve"> de l</w:t>
      </w:r>
      <w:r>
        <w:rPr>
          <w:lang w:val="fr-FR"/>
        </w:rPr>
        <w:t>’</w:t>
      </w:r>
      <w:r w:rsidRPr="000163DE">
        <w:rPr>
          <w:lang w:val="fr-FR"/>
        </w:rPr>
        <w:t xml:space="preserve">Accord. </w:t>
      </w:r>
    </w:p>
    <w:p w14:paraId="57A809AC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informations reçues pour l</w:t>
      </w:r>
      <w:r>
        <w:rPr>
          <w:lang w:val="fr-FR"/>
        </w:rPr>
        <w:t>’</w:t>
      </w:r>
      <w:r w:rsidRPr="000163DE">
        <w:rPr>
          <w:lang w:val="fr-FR"/>
        </w:rPr>
        <w:t>année 202</w:t>
      </w:r>
      <w:r>
        <w:rPr>
          <w:lang w:val="fr-FR"/>
        </w:rPr>
        <w:t>2</w:t>
      </w:r>
      <w:r w:rsidRPr="000163DE">
        <w:rPr>
          <w:lang w:val="fr-FR"/>
        </w:rPr>
        <w:t xml:space="preserve"> figurent dans le document ECE/TRANS/WP.11/202</w:t>
      </w:r>
      <w:r>
        <w:rPr>
          <w:lang w:val="fr-FR"/>
        </w:rPr>
        <w:t>3</w:t>
      </w:r>
      <w:r w:rsidRPr="000163DE">
        <w:rPr>
          <w:lang w:val="fr-FR"/>
        </w:rPr>
        <w:t>/1.</w:t>
      </w:r>
    </w:p>
    <w:p w14:paraId="6487F522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Comme </w:t>
      </w:r>
      <w:proofErr w:type="gramStart"/>
      <w:r w:rsidRPr="000163DE">
        <w:rPr>
          <w:lang w:val="fr-FR"/>
        </w:rPr>
        <w:t>suite à</w:t>
      </w:r>
      <w:proofErr w:type="gramEnd"/>
      <w:r w:rsidRPr="000163DE">
        <w:rPr>
          <w:lang w:val="fr-FR"/>
        </w:rPr>
        <w:t xml:space="preserve"> la demande formulée par le Groupe de travail à sa soixante-treizième session, le secrétariat a envoyé une lettre à toutes les Parties contractantes pour leur demander de s</w:t>
      </w:r>
      <w:r>
        <w:rPr>
          <w:lang w:val="fr-FR"/>
        </w:rPr>
        <w:t>’</w:t>
      </w:r>
      <w:r w:rsidRPr="000163DE">
        <w:rPr>
          <w:lang w:val="fr-FR"/>
        </w:rPr>
        <w:t>acquitter de l</w:t>
      </w:r>
      <w:r>
        <w:rPr>
          <w:lang w:val="fr-FR"/>
        </w:rPr>
        <w:t>’</w:t>
      </w:r>
      <w:r w:rsidRPr="000163DE">
        <w:rPr>
          <w:lang w:val="fr-FR"/>
        </w:rPr>
        <w:t>obligation qui leur est faite par l</w:t>
      </w:r>
      <w:r>
        <w:rPr>
          <w:lang w:val="fr-FR"/>
        </w:rPr>
        <w:t>’</w:t>
      </w:r>
      <w:r w:rsidRPr="000163DE">
        <w:rPr>
          <w:lang w:val="fr-FR"/>
        </w:rPr>
        <w:t>article 6 de l</w:t>
      </w:r>
      <w:r>
        <w:rPr>
          <w:lang w:val="fr-FR"/>
        </w:rPr>
        <w:t>’</w:t>
      </w:r>
      <w:r w:rsidRPr="000163DE">
        <w:rPr>
          <w:lang w:val="fr-FR"/>
        </w:rPr>
        <w:t>ATP de répondre au questionnaire qui leur est adressé chaque année et de mettre à jour les informations sur les coordonnées de leurs autorités compétentes et de leurs stations d</w:t>
      </w:r>
      <w:r>
        <w:rPr>
          <w:lang w:val="fr-FR"/>
        </w:rPr>
        <w:t>’</w:t>
      </w:r>
      <w:r w:rsidRPr="000163DE">
        <w:rPr>
          <w:lang w:val="fr-FR"/>
        </w:rPr>
        <w:t xml:space="preserve">essai. Toutes les informations reçues par le secrétariat ont été intégrées </w:t>
      </w:r>
      <w:r>
        <w:rPr>
          <w:lang w:val="fr-FR"/>
        </w:rPr>
        <w:t>dans</w:t>
      </w:r>
      <w:r w:rsidRPr="000163DE">
        <w:rPr>
          <w:lang w:val="fr-FR"/>
        </w:rPr>
        <w:t xml:space="preserve"> la liste des autorités compétentes et des 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désignées, qui peut être consultée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3" w:history="1">
        <w:r w:rsidRPr="009425EC">
          <w:rPr>
            <w:rStyle w:val="Lienhypertexte"/>
            <w:lang w:val="fr-FR"/>
          </w:rPr>
          <w:t>https://unece.org/atp-competent-authorities-and-testing-stations</w:t>
        </w:r>
      </w:hyperlink>
      <w:r w:rsidRPr="000163DE">
        <w:rPr>
          <w:lang w:val="fr-FR"/>
        </w:rPr>
        <w:t>.</w:t>
      </w:r>
    </w:p>
    <w:p w14:paraId="4ED3F789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e)</w:t>
      </w:r>
      <w:r w:rsidRPr="000163DE">
        <w:rPr>
          <w:lang w:val="fr-FR"/>
        </w:rPr>
        <w:tab/>
        <w:t>Échange de bonnes pratiques pour une meilleure application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34CC28F9" w14:textId="7F25B316" w:rsidR="00177325" w:rsidRPr="000267F9" w:rsidRDefault="00177325" w:rsidP="009876D1">
      <w:pPr>
        <w:pStyle w:val="H23G"/>
        <w:ind w:firstLine="0"/>
        <w:rPr>
          <w:lang w:val="fr-FR"/>
        </w:rPr>
      </w:pPr>
      <w:r w:rsidRPr="000267F9">
        <w:rPr>
          <w:lang w:val="fr-FR"/>
        </w:rPr>
        <w:tab/>
        <w:t>Guide des bonnes pratiques à respecter pour le montage de dispositifs thermiques encastrés et/ou munis de déflecteurs et les dispositifs thermiques sous châssis ou</w:t>
      </w:r>
      <w:r w:rsidR="00F96981">
        <w:rPr>
          <w:lang w:val="fr-FR"/>
        </w:rPr>
        <w:t> </w:t>
      </w:r>
      <w:r w:rsidRPr="000267F9">
        <w:rPr>
          <w:lang w:val="fr-FR"/>
        </w:rPr>
        <w:t>pouvant être déportés</w:t>
      </w:r>
    </w:p>
    <w:p w14:paraId="174CA902" w14:textId="77777777" w:rsidR="00177325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souhaitera peut-être examiner </w:t>
      </w:r>
      <w:r>
        <w:rPr>
          <w:lang w:val="fr-FR"/>
        </w:rPr>
        <w:t>la</w:t>
      </w:r>
      <w:r w:rsidRPr="000163DE">
        <w:rPr>
          <w:lang w:val="fr-FR"/>
        </w:rPr>
        <w:t xml:space="preserve"> proposition </w:t>
      </w:r>
      <w:r>
        <w:rPr>
          <w:lang w:val="fr-FR"/>
        </w:rPr>
        <w:t>soumise par la France (</w:t>
      </w:r>
      <w:r w:rsidRPr="000D1868">
        <w:rPr>
          <w:lang w:val="fr-FR"/>
        </w:rPr>
        <w:t>ECE/TRANS/WP.11/2023/2</w:t>
      </w:r>
      <w:r>
        <w:rPr>
          <w:lang w:val="fr-FR"/>
        </w:rPr>
        <w:t>)</w:t>
      </w:r>
      <w:r w:rsidRPr="000163DE">
        <w:rPr>
          <w:lang w:val="fr-FR"/>
        </w:rPr>
        <w:t>.</w:t>
      </w:r>
    </w:p>
    <w:p w14:paraId="72FC6F51" w14:textId="1451BCD7" w:rsidR="00177325" w:rsidRPr="000267F9" w:rsidRDefault="00177325" w:rsidP="009876D1">
      <w:pPr>
        <w:pStyle w:val="H23G"/>
        <w:ind w:firstLine="0"/>
        <w:rPr>
          <w:lang w:val="fr-FR"/>
        </w:rPr>
      </w:pPr>
      <w:r w:rsidRPr="000267F9">
        <w:rPr>
          <w:lang w:val="fr-FR"/>
        </w:rPr>
        <w:t>Guide sur la délivrance de la déclaration de conformité (annexe</w:t>
      </w:r>
      <w:r w:rsidR="00643B73">
        <w:rPr>
          <w:lang w:val="fr-FR"/>
        </w:rPr>
        <w:t> </w:t>
      </w:r>
      <w:r w:rsidRPr="000267F9">
        <w:rPr>
          <w:lang w:val="fr-FR"/>
        </w:rPr>
        <w:t>1, appendice</w:t>
      </w:r>
      <w:r w:rsidR="00643B73">
        <w:rPr>
          <w:lang w:val="fr-FR"/>
        </w:rPr>
        <w:t> </w:t>
      </w:r>
      <w:r w:rsidRPr="000267F9">
        <w:rPr>
          <w:lang w:val="fr-FR"/>
        </w:rPr>
        <w:t>2 paragraphe</w:t>
      </w:r>
      <w:r w:rsidR="00643B73">
        <w:rPr>
          <w:lang w:val="fr-FR"/>
        </w:rPr>
        <w:t> </w:t>
      </w:r>
      <w:r w:rsidRPr="000267F9">
        <w:rPr>
          <w:lang w:val="fr-FR"/>
        </w:rPr>
        <w:t>7.3.6) et le dimensionnement des équipements multi-compartiments, multi</w:t>
      </w:r>
      <w:r w:rsidR="00643B73">
        <w:rPr>
          <w:lang w:val="fr-FR"/>
        </w:rPr>
        <w:noBreakHyphen/>
      </w:r>
      <w:r w:rsidRPr="000267F9">
        <w:rPr>
          <w:lang w:val="fr-FR"/>
        </w:rPr>
        <w:t>températures (MTMC)</w:t>
      </w:r>
      <w:r w:rsidR="00643B73">
        <w:rPr>
          <w:lang w:val="fr-FR"/>
        </w:rPr>
        <w:t> − </w:t>
      </w:r>
      <w:r w:rsidRPr="000267F9">
        <w:rPr>
          <w:lang w:val="fr-FR"/>
        </w:rPr>
        <w:t>Traitement des cas d</w:t>
      </w:r>
      <w:r>
        <w:rPr>
          <w:lang w:val="fr-FR"/>
        </w:rPr>
        <w:t>’</w:t>
      </w:r>
      <w:r w:rsidRPr="000267F9">
        <w:rPr>
          <w:lang w:val="fr-FR"/>
        </w:rPr>
        <w:t>application spécifiques à</w:t>
      </w:r>
      <w:r w:rsidR="009876D1">
        <w:rPr>
          <w:lang w:val="fr-FR"/>
        </w:rPr>
        <w:t> </w:t>
      </w:r>
      <w:r w:rsidRPr="000267F9">
        <w:rPr>
          <w:lang w:val="fr-FR"/>
        </w:rPr>
        <w:t>l</w:t>
      </w:r>
      <w:r>
        <w:rPr>
          <w:lang w:val="fr-FR"/>
        </w:rPr>
        <w:t>’</w:t>
      </w:r>
      <w:r w:rsidRPr="000267F9">
        <w:rPr>
          <w:lang w:val="fr-FR"/>
        </w:rPr>
        <w:t>outil</w:t>
      </w:r>
      <w:r w:rsidR="009876D1">
        <w:rPr>
          <w:lang w:val="fr-FR"/>
        </w:rPr>
        <w:t> </w:t>
      </w:r>
      <w:r w:rsidRPr="000267F9">
        <w:rPr>
          <w:lang w:val="fr-FR"/>
        </w:rPr>
        <w:t>de</w:t>
      </w:r>
      <w:r w:rsidR="00643B73">
        <w:rPr>
          <w:lang w:val="fr-FR"/>
        </w:rPr>
        <w:t> </w:t>
      </w:r>
      <w:r w:rsidRPr="000267F9">
        <w:rPr>
          <w:lang w:val="fr-FR"/>
        </w:rPr>
        <w:t>dimensionnement des engins multi-températures</w:t>
      </w:r>
    </w:p>
    <w:p w14:paraId="59475C1A" w14:textId="77777777" w:rsidR="00177325" w:rsidRPr="000163DE" w:rsidRDefault="00177325" w:rsidP="00177325">
      <w:pPr>
        <w:pStyle w:val="SingleTxtG"/>
        <w:rPr>
          <w:lang w:val="fr-FR"/>
        </w:rPr>
      </w:pPr>
      <w:r w:rsidRPr="000D1868">
        <w:rPr>
          <w:lang w:val="fr-FR"/>
        </w:rPr>
        <w:tab/>
      </w:r>
      <w:r w:rsidRPr="000D1868">
        <w:rPr>
          <w:lang w:val="fr-FR"/>
        </w:rPr>
        <w:tab/>
        <w:t>Le Groupe de travail souhaitera peut-être examiner la proposition soumise par la France (ECE/TRANS/WP.11/2023/</w:t>
      </w:r>
      <w:r>
        <w:rPr>
          <w:lang w:val="fr-FR"/>
        </w:rPr>
        <w:t>6</w:t>
      </w:r>
      <w:r w:rsidRPr="000D1868">
        <w:rPr>
          <w:lang w:val="fr-FR"/>
        </w:rPr>
        <w:t>).</w:t>
      </w:r>
    </w:p>
    <w:p w14:paraId="21A53E05" w14:textId="77777777" w:rsidR="00177325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f)</w:t>
      </w:r>
      <w:r w:rsidRPr="000163DE">
        <w:rPr>
          <w:lang w:val="fr-FR"/>
        </w:rPr>
        <w:tab/>
        <w:t>Interprétation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5B4900DC" w14:textId="77777777" w:rsidR="00177325" w:rsidRPr="000267F9" w:rsidRDefault="00177325" w:rsidP="009876D1">
      <w:pPr>
        <w:pStyle w:val="H23G"/>
        <w:ind w:firstLine="0"/>
        <w:rPr>
          <w:lang w:val="fr-FR"/>
        </w:rPr>
      </w:pPr>
      <w:r w:rsidRPr="000267F9">
        <w:rPr>
          <w:lang w:val="fr-FR"/>
        </w:rPr>
        <w:tab/>
        <w:t>Questions d</w:t>
      </w:r>
      <w:r>
        <w:rPr>
          <w:lang w:val="fr-FR"/>
        </w:rPr>
        <w:t>’</w:t>
      </w:r>
      <w:r w:rsidRPr="000267F9">
        <w:rPr>
          <w:lang w:val="fr-FR"/>
        </w:rPr>
        <w:t>interprétation</w:t>
      </w:r>
    </w:p>
    <w:p w14:paraId="1AB2D6DC" w14:textId="07841BD7" w:rsidR="00177325" w:rsidRPr="001976D2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Groupe de travail souhaitera peut-être examiner les questions soumises par la Finlande (</w:t>
      </w:r>
      <w:r w:rsidRPr="001976D2">
        <w:rPr>
          <w:lang w:val="fr-FR"/>
        </w:rPr>
        <w:t>ECE/TRANS/WP.11/2023/9</w:t>
      </w:r>
      <w:r>
        <w:rPr>
          <w:lang w:val="fr-FR"/>
        </w:rPr>
        <w:t>).</w:t>
      </w:r>
    </w:p>
    <w:p w14:paraId="59E96EB7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est invité à débattre de l</w:t>
      </w:r>
      <w:r>
        <w:rPr>
          <w:lang w:val="fr-FR"/>
        </w:rPr>
        <w:t>’</w:t>
      </w:r>
      <w:r w:rsidRPr="000163DE">
        <w:rPr>
          <w:lang w:val="fr-FR"/>
        </w:rPr>
        <w:t>interprétation de toute disposition de l</w:t>
      </w:r>
      <w:r>
        <w:rPr>
          <w:lang w:val="fr-FR"/>
        </w:rPr>
        <w:t>’</w:t>
      </w:r>
      <w:r w:rsidRPr="000163DE">
        <w:rPr>
          <w:lang w:val="fr-FR"/>
        </w:rPr>
        <w:t>ATP considérée comme ambiguë ou floue.</w:t>
      </w:r>
    </w:p>
    <w:p w14:paraId="6B49568B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5.</w:t>
      </w:r>
      <w:r w:rsidRPr="000163DE">
        <w:rPr>
          <w:lang w:val="fr-FR"/>
        </w:rPr>
        <w:tab/>
        <w:t>Propositions d</w:t>
      </w:r>
      <w:r>
        <w:rPr>
          <w:lang w:val="fr-FR"/>
        </w:rPr>
        <w:t>’</w:t>
      </w:r>
      <w:r w:rsidRPr="000163DE">
        <w:rPr>
          <w:lang w:val="fr-FR"/>
        </w:rPr>
        <w:t>amendements à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7789FA32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Propositions en suspens</w:t>
      </w:r>
    </w:p>
    <w:p w14:paraId="035038FE" w14:textId="1FBF6F8E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1976D2">
        <w:rPr>
          <w:lang w:val="fr-FR"/>
        </w:rPr>
        <w:t>Proposition</w:t>
      </w:r>
      <w:r>
        <w:rPr>
          <w:lang w:val="fr-FR"/>
        </w:rPr>
        <w:t>s</w:t>
      </w:r>
      <w:r w:rsidRPr="001976D2">
        <w:rPr>
          <w:lang w:val="fr-FR"/>
        </w:rPr>
        <w:t xml:space="preserve"> d</w:t>
      </w:r>
      <w:r>
        <w:rPr>
          <w:lang w:val="fr-FR"/>
        </w:rPr>
        <w:t>’</w:t>
      </w:r>
      <w:r w:rsidRPr="001976D2">
        <w:rPr>
          <w:lang w:val="fr-FR"/>
        </w:rPr>
        <w:t>amendements au paragraphe</w:t>
      </w:r>
      <w:r w:rsidR="00643B73">
        <w:rPr>
          <w:lang w:val="fr-FR"/>
        </w:rPr>
        <w:t> </w:t>
      </w:r>
      <w:r w:rsidRPr="001976D2">
        <w:rPr>
          <w:lang w:val="fr-FR"/>
        </w:rPr>
        <w:t>7.3.7 de</w:t>
      </w:r>
      <w:r>
        <w:rPr>
          <w:lang w:val="fr-FR"/>
        </w:rPr>
        <w:t xml:space="preserve"> </w:t>
      </w:r>
      <w:r w:rsidRPr="001976D2">
        <w:rPr>
          <w:lang w:val="fr-FR"/>
        </w:rPr>
        <w:t>l</w:t>
      </w:r>
      <w:r>
        <w:rPr>
          <w:lang w:val="fr-FR"/>
        </w:rPr>
        <w:t>’</w:t>
      </w:r>
      <w:r w:rsidRPr="001976D2">
        <w:rPr>
          <w:lang w:val="fr-FR"/>
        </w:rPr>
        <w:t>appendice</w:t>
      </w:r>
      <w:r w:rsidR="00643B73">
        <w:rPr>
          <w:lang w:val="fr-FR"/>
        </w:rPr>
        <w:t> </w:t>
      </w:r>
      <w:r w:rsidRPr="001976D2">
        <w:rPr>
          <w:lang w:val="fr-FR"/>
        </w:rPr>
        <w:t>2 de l</w:t>
      </w:r>
      <w:r>
        <w:rPr>
          <w:lang w:val="fr-FR"/>
        </w:rPr>
        <w:t>’</w:t>
      </w:r>
      <w:r w:rsidRPr="001976D2">
        <w:rPr>
          <w:lang w:val="fr-FR"/>
        </w:rPr>
        <w:t>annexe 1</w:t>
      </w:r>
    </w:p>
    <w:p w14:paraId="37A7203F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>
        <w:rPr>
          <w:lang w:val="fr-FR"/>
        </w:rPr>
        <w:t>souhaitera peut-être</w:t>
      </w:r>
      <w:r w:rsidRPr="000163DE">
        <w:rPr>
          <w:lang w:val="fr-FR"/>
        </w:rPr>
        <w:t xml:space="preserve"> examiner l</w:t>
      </w:r>
      <w:r>
        <w:rPr>
          <w:lang w:val="fr-FR"/>
        </w:rPr>
        <w:t>es</w:t>
      </w:r>
      <w:r w:rsidRPr="000163DE">
        <w:rPr>
          <w:lang w:val="fr-FR"/>
        </w:rPr>
        <w:t xml:space="preserve"> proposition</w:t>
      </w:r>
      <w:r>
        <w:rPr>
          <w:lang w:val="fr-FR"/>
        </w:rPr>
        <w:t>s</w:t>
      </w:r>
      <w:r w:rsidRPr="000163DE">
        <w:rPr>
          <w:lang w:val="fr-FR"/>
        </w:rPr>
        <w:t xml:space="preserve"> de la France </w:t>
      </w:r>
      <w:r w:rsidRPr="00643B73">
        <w:rPr>
          <w:spacing w:val="-2"/>
          <w:lang w:val="fr-FR"/>
        </w:rPr>
        <w:t>(ECE/TRANS/WP.11/2023/3, ECE/TRANS/WP.11/2023/4 et ECE/TRANS/WP.11/2023/5).</w:t>
      </w:r>
    </w:p>
    <w:p w14:paraId="218CDEAB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lastRenderedPageBreak/>
        <w:tab/>
      </w:r>
      <w:r w:rsidRPr="000163DE">
        <w:rPr>
          <w:lang w:val="fr-FR"/>
        </w:rPr>
        <w:tab/>
      </w:r>
      <w:r w:rsidRPr="001976D2">
        <w:rPr>
          <w:lang w:val="fr-FR"/>
        </w:rPr>
        <w:t>Définition de l</w:t>
      </w:r>
      <w:r>
        <w:rPr>
          <w:lang w:val="fr-FR"/>
        </w:rPr>
        <w:t>’</w:t>
      </w:r>
      <w:r w:rsidRPr="001976D2">
        <w:rPr>
          <w:lang w:val="fr-FR"/>
        </w:rPr>
        <w:t>autonomie d</w:t>
      </w:r>
      <w:r>
        <w:rPr>
          <w:lang w:val="fr-FR"/>
        </w:rPr>
        <w:t>’</w:t>
      </w:r>
      <w:r w:rsidRPr="001976D2">
        <w:rPr>
          <w:lang w:val="fr-FR"/>
        </w:rPr>
        <w:t>un engin</w:t>
      </w:r>
    </w:p>
    <w:p w14:paraId="3446FF11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souhaitera peut-être examiner la proposition de la France (</w:t>
      </w:r>
      <w:r w:rsidRPr="001976D2">
        <w:rPr>
          <w:lang w:val="fr-FR"/>
        </w:rPr>
        <w:t>ECE/TRANS/WP.11/2023/7</w:t>
      </w:r>
      <w:r w:rsidRPr="000163DE">
        <w:rPr>
          <w:lang w:val="fr-FR"/>
        </w:rPr>
        <w:t>).</w:t>
      </w:r>
    </w:p>
    <w:p w14:paraId="22B40AD1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1976D2">
        <w:rPr>
          <w:lang w:val="fr-FR"/>
        </w:rPr>
        <w:t>Class</w:t>
      </w:r>
      <w:r>
        <w:rPr>
          <w:lang w:val="fr-FR"/>
        </w:rPr>
        <w:t>ement</w:t>
      </w:r>
      <w:r w:rsidRPr="001976D2">
        <w:rPr>
          <w:lang w:val="fr-FR"/>
        </w:rPr>
        <w:t xml:space="preserve"> d</w:t>
      </w:r>
      <w:r>
        <w:rPr>
          <w:lang w:val="fr-FR"/>
        </w:rPr>
        <w:t>’</w:t>
      </w:r>
      <w:r w:rsidRPr="001976D2">
        <w:rPr>
          <w:lang w:val="fr-FR"/>
        </w:rPr>
        <w:t>un engin alimenté par une source d</w:t>
      </w:r>
      <w:r>
        <w:rPr>
          <w:lang w:val="fr-FR"/>
        </w:rPr>
        <w:t>’</w:t>
      </w:r>
      <w:r w:rsidRPr="001976D2">
        <w:rPr>
          <w:lang w:val="fr-FR"/>
        </w:rPr>
        <w:t>énergie</w:t>
      </w:r>
      <w:r>
        <w:rPr>
          <w:lang w:val="fr-FR"/>
        </w:rPr>
        <w:t xml:space="preserve"> </w:t>
      </w:r>
      <w:r w:rsidRPr="001976D2">
        <w:rPr>
          <w:lang w:val="fr-FR"/>
        </w:rPr>
        <w:t>électrique</w:t>
      </w:r>
    </w:p>
    <w:p w14:paraId="700FAD05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>
        <w:rPr>
          <w:lang w:val="fr-FR"/>
        </w:rPr>
        <w:t>souhaitera</w:t>
      </w:r>
      <w:r w:rsidRPr="000163DE">
        <w:rPr>
          <w:lang w:val="fr-FR"/>
        </w:rPr>
        <w:t xml:space="preserve"> </w:t>
      </w:r>
      <w:r>
        <w:rPr>
          <w:lang w:val="fr-FR"/>
        </w:rPr>
        <w:t>peut-être</w:t>
      </w:r>
      <w:r w:rsidRPr="000163DE">
        <w:rPr>
          <w:lang w:val="fr-FR"/>
        </w:rPr>
        <w:t xml:space="preserve"> examiner la proposition de la France (</w:t>
      </w:r>
      <w:r w:rsidRPr="001976D2">
        <w:rPr>
          <w:lang w:val="fr-FR"/>
        </w:rPr>
        <w:t>ECE/TRANS/WP.11/2023/</w:t>
      </w:r>
      <w:r>
        <w:rPr>
          <w:lang w:val="fr-FR"/>
        </w:rPr>
        <w:t>8</w:t>
      </w:r>
      <w:r w:rsidRPr="000163DE">
        <w:rPr>
          <w:lang w:val="fr-FR"/>
        </w:rPr>
        <w:t>).</w:t>
      </w:r>
    </w:p>
    <w:p w14:paraId="246D8264" w14:textId="77777777" w:rsidR="00177325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 xml:space="preserve">Nouvelles propositions </w:t>
      </w:r>
    </w:p>
    <w:p w14:paraId="18300D9F" w14:textId="373C54CC" w:rsidR="00177325" w:rsidRDefault="00177325" w:rsidP="00177325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d’amendement au paragraphe</w:t>
      </w:r>
      <w:r w:rsidR="00643B73">
        <w:rPr>
          <w:lang w:val="fr-FR"/>
        </w:rPr>
        <w:t> </w:t>
      </w:r>
      <w:r>
        <w:rPr>
          <w:lang w:val="fr-FR"/>
        </w:rPr>
        <w:t>6.2.2</w:t>
      </w:r>
    </w:p>
    <w:p w14:paraId="068757B2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0163DE">
        <w:rPr>
          <w:lang w:val="fr-FR"/>
        </w:rPr>
        <w:t>examiner la proposition de l</w:t>
      </w:r>
      <w:r>
        <w:rPr>
          <w:lang w:val="fr-FR"/>
        </w:rPr>
        <w:t xml:space="preserve">’Italie </w:t>
      </w:r>
      <w:r w:rsidRPr="000163DE">
        <w:rPr>
          <w:lang w:val="fr-FR"/>
        </w:rPr>
        <w:t>(ECE/TRANS/WP.11/202</w:t>
      </w:r>
      <w:r>
        <w:rPr>
          <w:lang w:val="fr-FR"/>
        </w:rPr>
        <w:t>3</w:t>
      </w:r>
      <w:r w:rsidRPr="000163DE">
        <w:rPr>
          <w:lang w:val="fr-FR"/>
        </w:rPr>
        <w:t>/1</w:t>
      </w:r>
      <w:r>
        <w:rPr>
          <w:lang w:val="fr-FR"/>
        </w:rPr>
        <w:t>1</w:t>
      </w:r>
      <w:r w:rsidRPr="000163DE">
        <w:rPr>
          <w:lang w:val="fr-FR"/>
        </w:rPr>
        <w:t>).</w:t>
      </w:r>
    </w:p>
    <w:p w14:paraId="113BED5B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D34112">
        <w:rPr>
          <w:lang w:val="fr-FR"/>
        </w:rPr>
        <w:t>Proposition de liste des principaux composants et de leurs caractéristiques essentielles</w:t>
      </w:r>
    </w:p>
    <w:p w14:paraId="430D7D8C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0163DE">
        <w:rPr>
          <w:lang w:val="fr-FR"/>
        </w:rPr>
        <w:t xml:space="preserve">examiner la proposition de </w:t>
      </w:r>
      <w:proofErr w:type="spellStart"/>
      <w:r>
        <w:rPr>
          <w:lang w:val="fr-FR"/>
        </w:rPr>
        <w:t>Transfrigoroute</w:t>
      </w:r>
      <w:proofErr w:type="spellEnd"/>
      <w:r>
        <w:rPr>
          <w:lang w:val="fr-FR"/>
        </w:rPr>
        <w:t xml:space="preserve"> International</w:t>
      </w:r>
      <w:r w:rsidRPr="000163DE">
        <w:rPr>
          <w:lang w:val="fr-FR"/>
        </w:rPr>
        <w:t xml:space="preserve"> (ECE/TRANS/WP.11/202</w:t>
      </w:r>
      <w:r>
        <w:rPr>
          <w:lang w:val="fr-FR"/>
        </w:rPr>
        <w:t>3</w:t>
      </w:r>
      <w:r w:rsidRPr="000163DE">
        <w:rPr>
          <w:lang w:val="fr-FR"/>
        </w:rPr>
        <w:t>/</w:t>
      </w:r>
      <w:r>
        <w:rPr>
          <w:lang w:val="fr-FR"/>
        </w:rPr>
        <w:t>12</w:t>
      </w:r>
      <w:r w:rsidRPr="000163DE">
        <w:rPr>
          <w:lang w:val="fr-FR"/>
        </w:rPr>
        <w:t>).</w:t>
      </w:r>
    </w:p>
    <w:p w14:paraId="77963441" w14:textId="77777777" w:rsidR="00177325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>
        <w:rPr>
          <w:lang w:val="fr-FR"/>
        </w:rPr>
        <w:t>Propositions d’amendements</w:t>
      </w:r>
    </w:p>
    <w:p w14:paraId="585F9DFE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0163DE">
        <w:rPr>
          <w:lang w:val="fr-FR"/>
        </w:rPr>
        <w:t>examiner la proposition d</w:t>
      </w:r>
      <w:r>
        <w:rPr>
          <w:lang w:val="fr-FR"/>
        </w:rPr>
        <w:t>es Pays-Bas</w:t>
      </w:r>
      <w:r w:rsidRPr="000163DE">
        <w:rPr>
          <w:lang w:val="fr-FR"/>
        </w:rPr>
        <w:t xml:space="preserve"> (ECE/TRANS/WP.11/202</w:t>
      </w:r>
      <w:r>
        <w:rPr>
          <w:lang w:val="fr-FR"/>
        </w:rPr>
        <w:t>3</w:t>
      </w:r>
      <w:r w:rsidRPr="000163DE">
        <w:rPr>
          <w:lang w:val="fr-FR"/>
        </w:rPr>
        <w:t>/1</w:t>
      </w:r>
      <w:r>
        <w:rPr>
          <w:lang w:val="fr-FR"/>
        </w:rPr>
        <w:t>4</w:t>
      </w:r>
      <w:r w:rsidRPr="000163DE">
        <w:rPr>
          <w:lang w:val="fr-FR"/>
        </w:rPr>
        <w:t>).</w:t>
      </w:r>
    </w:p>
    <w:p w14:paraId="673D0731" w14:textId="7C8D7720" w:rsidR="00177325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>
        <w:rPr>
          <w:lang w:val="fr-FR"/>
        </w:rPr>
        <w:t>Prescriptions relatives à l’installation de groupes frigorifiques sur le</w:t>
      </w:r>
      <w:r w:rsidR="00F15285">
        <w:rPr>
          <w:lang w:val="fr-FR"/>
        </w:rPr>
        <w:t>s engins</w:t>
      </w:r>
    </w:p>
    <w:p w14:paraId="2B49CE8D" w14:textId="77777777" w:rsidR="00177325" w:rsidRPr="00D0752D" w:rsidRDefault="00177325" w:rsidP="00643B73">
      <w:pPr>
        <w:pStyle w:val="SingleTxtG"/>
        <w:rPr>
          <w:lang w:val="fr-FR"/>
        </w:rPr>
      </w:pPr>
      <w:r w:rsidRPr="00D0752D">
        <w:rPr>
          <w:lang w:val="fr-FR"/>
        </w:rPr>
        <w:tab/>
      </w:r>
      <w:r w:rsidRPr="00D0752D">
        <w:rPr>
          <w:lang w:val="fr-FR"/>
        </w:rPr>
        <w:tab/>
        <w:t xml:space="preserve">Le Groupe de travail </w:t>
      </w:r>
      <w:r w:rsidRPr="00B55427">
        <w:rPr>
          <w:lang w:val="fr-FR"/>
        </w:rPr>
        <w:t xml:space="preserve">souhaitera peut-être </w:t>
      </w:r>
      <w:r w:rsidRPr="00D0752D">
        <w:rPr>
          <w:lang w:val="fr-FR"/>
        </w:rPr>
        <w:t>examiner la proposition des Pays-Bas (ECE/TRANS/WP.11/2023/1</w:t>
      </w:r>
      <w:r>
        <w:rPr>
          <w:lang w:val="fr-FR"/>
        </w:rPr>
        <w:t>5</w:t>
      </w:r>
      <w:r w:rsidRPr="00D0752D">
        <w:rPr>
          <w:lang w:val="fr-FR"/>
        </w:rPr>
        <w:t>).</w:t>
      </w:r>
    </w:p>
    <w:p w14:paraId="4985B257" w14:textId="018D0955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C836E1">
        <w:rPr>
          <w:lang w:val="fr-FR"/>
        </w:rPr>
        <w:t>Correction à l</w:t>
      </w:r>
      <w:r>
        <w:rPr>
          <w:lang w:val="fr-FR"/>
        </w:rPr>
        <w:t>’</w:t>
      </w:r>
      <w:r w:rsidRPr="00C836E1">
        <w:rPr>
          <w:lang w:val="fr-FR"/>
        </w:rPr>
        <w:t>article</w:t>
      </w:r>
      <w:r w:rsidR="00643B73">
        <w:rPr>
          <w:lang w:val="fr-FR"/>
        </w:rPr>
        <w:t> </w:t>
      </w:r>
      <w:r w:rsidRPr="00C836E1">
        <w:rPr>
          <w:lang w:val="fr-FR"/>
        </w:rPr>
        <w:t>3 de l</w:t>
      </w:r>
      <w:r>
        <w:rPr>
          <w:lang w:val="fr-FR"/>
        </w:rPr>
        <w:t>’</w:t>
      </w:r>
      <w:r w:rsidRPr="00C836E1">
        <w:rPr>
          <w:lang w:val="fr-FR"/>
        </w:rPr>
        <w:t>appendice</w:t>
      </w:r>
      <w:r w:rsidR="00643B73">
        <w:rPr>
          <w:lang w:val="fr-FR"/>
        </w:rPr>
        <w:t> </w:t>
      </w:r>
      <w:r w:rsidRPr="00C836E1">
        <w:rPr>
          <w:lang w:val="fr-FR"/>
        </w:rPr>
        <w:t>1 de l</w:t>
      </w:r>
      <w:r>
        <w:rPr>
          <w:lang w:val="fr-FR"/>
        </w:rPr>
        <w:t>’</w:t>
      </w:r>
      <w:r w:rsidRPr="00C836E1">
        <w:rPr>
          <w:lang w:val="fr-FR"/>
        </w:rPr>
        <w:t>annexe</w:t>
      </w:r>
      <w:r w:rsidR="00643B73">
        <w:rPr>
          <w:lang w:val="fr-FR"/>
        </w:rPr>
        <w:t> </w:t>
      </w:r>
      <w:r w:rsidRPr="00C836E1">
        <w:rPr>
          <w:lang w:val="fr-FR"/>
        </w:rPr>
        <w:t>1 concernant les versions anglaise et russe de l</w:t>
      </w:r>
      <w:r>
        <w:rPr>
          <w:lang w:val="fr-FR"/>
        </w:rPr>
        <w:t>’</w:t>
      </w:r>
      <w:r w:rsidRPr="00C836E1">
        <w:rPr>
          <w:lang w:val="fr-FR"/>
        </w:rPr>
        <w:t>ATP</w:t>
      </w:r>
    </w:p>
    <w:p w14:paraId="29179982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bookmarkStart w:id="0" w:name="_Hlk144365682"/>
      <w:r>
        <w:rPr>
          <w:lang w:val="fr-FR"/>
        </w:rPr>
        <w:tab/>
      </w:r>
      <w:r w:rsidRPr="00C836E1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C836E1">
        <w:rPr>
          <w:lang w:val="fr-FR"/>
        </w:rPr>
        <w:t>examiner la proposition des Pays-Bas (ECE/TRANS/WP.11/2023/1</w:t>
      </w:r>
      <w:r>
        <w:rPr>
          <w:lang w:val="fr-FR"/>
        </w:rPr>
        <w:t>6</w:t>
      </w:r>
      <w:r w:rsidRPr="00C836E1">
        <w:rPr>
          <w:lang w:val="fr-FR"/>
        </w:rPr>
        <w:t>).</w:t>
      </w:r>
      <w:bookmarkEnd w:id="0"/>
    </w:p>
    <w:p w14:paraId="0968EB45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>
        <w:rPr>
          <w:lang w:val="fr-FR"/>
        </w:rPr>
        <w:t>Vérification périodique des enregistreurs de température</w:t>
      </w:r>
    </w:p>
    <w:p w14:paraId="19165DC8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41264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241264">
        <w:rPr>
          <w:lang w:val="fr-FR"/>
        </w:rPr>
        <w:t>examiner la proposition des Pays-Bas (ECE/TRANS/WP.11/2023/1</w:t>
      </w:r>
      <w:r>
        <w:rPr>
          <w:lang w:val="fr-FR"/>
        </w:rPr>
        <w:t>7</w:t>
      </w:r>
      <w:r w:rsidRPr="00241264">
        <w:rPr>
          <w:lang w:val="fr-FR"/>
        </w:rPr>
        <w:t>).</w:t>
      </w:r>
    </w:p>
    <w:p w14:paraId="0A187F7A" w14:textId="0E99827A" w:rsidR="00177325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 xml:space="preserve">Proposition </w:t>
      </w:r>
      <w:r>
        <w:rPr>
          <w:lang w:val="fr-FR"/>
        </w:rPr>
        <w:t>de modification des contrôles en service prescrits pour les engins calorifiques et les engins frigorifiques et calorifiques (par</w:t>
      </w:r>
      <w:r w:rsidR="009876D1">
        <w:rPr>
          <w:lang w:val="fr-FR"/>
        </w:rPr>
        <w:t>.</w:t>
      </w:r>
      <w:r w:rsidR="00643B73">
        <w:rPr>
          <w:lang w:val="fr-FR"/>
        </w:rPr>
        <w:t> </w:t>
      </w:r>
      <w:r>
        <w:rPr>
          <w:lang w:val="fr-FR"/>
        </w:rPr>
        <w:t>6.3 et 6.4</w:t>
      </w:r>
      <w:r w:rsidR="00643B73">
        <w:rPr>
          <w:lang w:val="fr-FR"/>
        </w:rPr>
        <w:t> </w:t>
      </w:r>
      <w:r>
        <w:rPr>
          <w:lang w:val="fr-FR"/>
        </w:rPr>
        <w:t>ii) de</w:t>
      </w:r>
      <w:r w:rsidR="00643B73">
        <w:rPr>
          <w:lang w:val="fr-FR"/>
        </w:rPr>
        <w:t> </w:t>
      </w:r>
      <w:r>
        <w:rPr>
          <w:lang w:val="fr-FR"/>
        </w:rPr>
        <w:t>l’appendice</w:t>
      </w:r>
      <w:r w:rsidR="00643B73">
        <w:rPr>
          <w:lang w:val="fr-FR"/>
        </w:rPr>
        <w:t> </w:t>
      </w:r>
      <w:r>
        <w:rPr>
          <w:lang w:val="fr-FR"/>
        </w:rPr>
        <w:t>2 de l’annexe</w:t>
      </w:r>
      <w:r w:rsidR="00643B73">
        <w:rPr>
          <w:lang w:val="fr-FR"/>
        </w:rPr>
        <w:t> </w:t>
      </w:r>
      <w:r>
        <w:rPr>
          <w:lang w:val="fr-FR"/>
        </w:rPr>
        <w:t>1 de l’ATP)</w:t>
      </w:r>
    </w:p>
    <w:p w14:paraId="68DF192D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0163DE">
        <w:rPr>
          <w:lang w:val="fr-FR"/>
        </w:rPr>
        <w:t xml:space="preserve">examiner la proposition de </w:t>
      </w:r>
      <w:r>
        <w:rPr>
          <w:lang w:val="fr-FR"/>
        </w:rPr>
        <w:t>la Finlande</w:t>
      </w:r>
      <w:r w:rsidRPr="000163DE">
        <w:rPr>
          <w:lang w:val="fr-FR"/>
        </w:rPr>
        <w:t xml:space="preserve"> (ECE/TRANS/WP.11/202</w:t>
      </w:r>
      <w:r>
        <w:rPr>
          <w:lang w:val="fr-FR"/>
        </w:rPr>
        <w:t>3</w:t>
      </w:r>
      <w:r w:rsidRPr="000163DE">
        <w:rPr>
          <w:lang w:val="fr-FR"/>
        </w:rPr>
        <w:t>/</w:t>
      </w:r>
      <w:r>
        <w:rPr>
          <w:lang w:val="fr-FR"/>
        </w:rPr>
        <w:t>1</w:t>
      </w:r>
      <w:r w:rsidRPr="000163DE">
        <w:rPr>
          <w:lang w:val="fr-FR"/>
        </w:rPr>
        <w:t>8).</w:t>
      </w:r>
    </w:p>
    <w:p w14:paraId="51D5B37B" w14:textId="62E586A8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>
        <w:rPr>
          <w:lang w:val="fr-FR"/>
        </w:rPr>
        <w:t>Groupes frigorifiques entraînés par l</w:t>
      </w:r>
      <w:r w:rsidR="00643B73">
        <w:rPr>
          <w:lang w:val="fr-FR"/>
        </w:rPr>
        <w:t>e</w:t>
      </w:r>
      <w:r>
        <w:rPr>
          <w:lang w:val="fr-FR"/>
        </w:rPr>
        <w:t xml:space="preserve"> </w:t>
      </w:r>
      <w:r w:rsidR="00F15285">
        <w:rPr>
          <w:lang w:val="fr-FR"/>
        </w:rPr>
        <w:t>déplacement</w:t>
      </w:r>
      <w:r>
        <w:rPr>
          <w:lang w:val="fr-FR"/>
        </w:rPr>
        <w:t xml:space="preserve"> du véhicule</w:t>
      </w:r>
      <w:r w:rsidRPr="000163DE">
        <w:rPr>
          <w:lang w:val="fr-FR"/>
        </w:rPr>
        <w:t xml:space="preserve"> </w:t>
      </w:r>
    </w:p>
    <w:p w14:paraId="0E535140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81018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C81018">
        <w:rPr>
          <w:lang w:val="fr-FR"/>
        </w:rPr>
        <w:t>examiner la proposition des Pays-Bas (ECE/TRANS/WP.11/2023/1</w:t>
      </w:r>
      <w:r>
        <w:rPr>
          <w:lang w:val="fr-FR"/>
        </w:rPr>
        <w:t>9</w:t>
      </w:r>
      <w:r w:rsidRPr="00C81018">
        <w:rPr>
          <w:lang w:val="fr-FR"/>
        </w:rPr>
        <w:t>).</w:t>
      </w:r>
    </w:p>
    <w:p w14:paraId="2D60B661" w14:textId="0C09F76A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0A5EB8">
        <w:rPr>
          <w:lang w:val="fr-FR"/>
        </w:rPr>
        <w:t>Amendement au paragraphe 6</w:t>
      </w:r>
      <w:r w:rsidR="00643B73">
        <w:rPr>
          <w:lang w:val="fr-FR"/>
        </w:rPr>
        <w:t> </w:t>
      </w:r>
      <w:r w:rsidRPr="000A5EB8">
        <w:rPr>
          <w:lang w:val="fr-FR"/>
        </w:rPr>
        <w:t>c)</w:t>
      </w:r>
      <w:r w:rsidR="00643B73">
        <w:rPr>
          <w:lang w:val="fr-FR"/>
        </w:rPr>
        <w:t> </w:t>
      </w:r>
      <w:r w:rsidRPr="000A5EB8">
        <w:rPr>
          <w:lang w:val="fr-FR"/>
        </w:rPr>
        <w:t>iii)</w:t>
      </w:r>
      <w:r w:rsidR="00643B73">
        <w:rPr>
          <w:lang w:val="fr-FR"/>
        </w:rPr>
        <w:t> </w:t>
      </w:r>
      <w:r w:rsidRPr="000A5EB8">
        <w:rPr>
          <w:lang w:val="fr-FR"/>
        </w:rPr>
        <w:t>b) de l</w:t>
      </w:r>
      <w:r>
        <w:rPr>
          <w:lang w:val="fr-FR"/>
        </w:rPr>
        <w:t>’</w:t>
      </w:r>
      <w:r w:rsidRPr="000A5EB8">
        <w:rPr>
          <w:lang w:val="fr-FR"/>
        </w:rPr>
        <w:t>appendice</w:t>
      </w:r>
      <w:r w:rsidR="00643B73">
        <w:rPr>
          <w:lang w:val="fr-FR"/>
        </w:rPr>
        <w:t> </w:t>
      </w:r>
      <w:r w:rsidRPr="000A5EB8">
        <w:rPr>
          <w:lang w:val="fr-FR"/>
        </w:rPr>
        <w:t>1 de l</w:t>
      </w:r>
      <w:r>
        <w:rPr>
          <w:lang w:val="fr-FR"/>
        </w:rPr>
        <w:t>’</w:t>
      </w:r>
      <w:r w:rsidRPr="000A5EB8">
        <w:rPr>
          <w:lang w:val="fr-FR"/>
        </w:rPr>
        <w:t>annexe</w:t>
      </w:r>
      <w:r w:rsidR="00643B73">
        <w:rPr>
          <w:lang w:val="fr-FR"/>
        </w:rPr>
        <w:t> </w:t>
      </w:r>
      <w:r w:rsidRPr="000A5EB8">
        <w:rPr>
          <w:lang w:val="fr-FR"/>
        </w:rPr>
        <w:t>1</w:t>
      </w:r>
    </w:p>
    <w:p w14:paraId="72416E91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souhaitera peut-être examiner la proposition d</w:t>
      </w:r>
      <w:r>
        <w:rPr>
          <w:lang w:val="fr-FR"/>
        </w:rPr>
        <w:t xml:space="preserve">u Royaume-Uni de Grande-Bretagne et d’Irlande du Nord </w:t>
      </w:r>
      <w:r w:rsidRPr="000163DE">
        <w:rPr>
          <w:lang w:val="fr-FR"/>
        </w:rPr>
        <w:t>(ECE/TRANS/WP.11/202</w:t>
      </w:r>
      <w:r>
        <w:rPr>
          <w:lang w:val="fr-FR"/>
        </w:rPr>
        <w:t>3</w:t>
      </w:r>
      <w:r w:rsidRPr="000163DE">
        <w:rPr>
          <w:lang w:val="fr-FR"/>
        </w:rPr>
        <w:t>/</w:t>
      </w:r>
      <w:r>
        <w:rPr>
          <w:lang w:val="fr-FR"/>
        </w:rPr>
        <w:t>20</w:t>
      </w:r>
      <w:r w:rsidRPr="000163DE">
        <w:rPr>
          <w:lang w:val="fr-FR"/>
        </w:rPr>
        <w:t>).</w:t>
      </w:r>
    </w:p>
    <w:p w14:paraId="533BADE1" w14:textId="553DDF8B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0A5EB8">
        <w:rPr>
          <w:lang w:val="fr-FR"/>
        </w:rPr>
        <w:t>Amendements au paragraphe</w:t>
      </w:r>
      <w:r w:rsidR="00643B73">
        <w:rPr>
          <w:lang w:val="fr-FR"/>
        </w:rPr>
        <w:t> </w:t>
      </w:r>
      <w:r w:rsidRPr="000A5EB8">
        <w:rPr>
          <w:lang w:val="fr-FR"/>
        </w:rPr>
        <w:t>1 de l</w:t>
      </w:r>
      <w:r>
        <w:rPr>
          <w:lang w:val="fr-FR"/>
        </w:rPr>
        <w:t>’a</w:t>
      </w:r>
      <w:r w:rsidRPr="000A5EB8">
        <w:rPr>
          <w:lang w:val="fr-FR"/>
        </w:rPr>
        <w:t>nnexe</w:t>
      </w:r>
      <w:r w:rsidR="00643B73">
        <w:rPr>
          <w:lang w:val="fr-FR"/>
        </w:rPr>
        <w:t> </w:t>
      </w:r>
      <w:r w:rsidRPr="000A5EB8">
        <w:rPr>
          <w:lang w:val="fr-FR"/>
        </w:rPr>
        <w:t>1 et à l</w:t>
      </w:r>
      <w:r>
        <w:rPr>
          <w:lang w:val="fr-FR"/>
        </w:rPr>
        <w:t>’a</w:t>
      </w:r>
      <w:r w:rsidRPr="000A5EB8">
        <w:rPr>
          <w:lang w:val="fr-FR"/>
        </w:rPr>
        <w:t>ppendice</w:t>
      </w:r>
      <w:r w:rsidR="00643B73">
        <w:rPr>
          <w:lang w:val="fr-FR"/>
        </w:rPr>
        <w:t> </w:t>
      </w:r>
      <w:r w:rsidRPr="000A5EB8">
        <w:rPr>
          <w:lang w:val="fr-FR"/>
        </w:rPr>
        <w:t>4 de l</w:t>
      </w:r>
      <w:r>
        <w:rPr>
          <w:lang w:val="fr-FR"/>
        </w:rPr>
        <w:t>’a</w:t>
      </w:r>
      <w:r w:rsidRPr="000A5EB8">
        <w:rPr>
          <w:lang w:val="fr-FR"/>
        </w:rPr>
        <w:t>nnexe</w:t>
      </w:r>
      <w:r w:rsidR="00643B73">
        <w:rPr>
          <w:lang w:val="fr-FR"/>
        </w:rPr>
        <w:t> </w:t>
      </w:r>
      <w:r w:rsidRPr="000A5EB8">
        <w:rPr>
          <w:lang w:val="fr-FR"/>
        </w:rPr>
        <w:t>1</w:t>
      </w:r>
    </w:p>
    <w:p w14:paraId="338A7EA9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B55427">
        <w:rPr>
          <w:lang w:val="fr-FR"/>
        </w:rPr>
        <w:t xml:space="preserve">souhaitera peut-être </w:t>
      </w:r>
      <w:r w:rsidRPr="000163DE">
        <w:rPr>
          <w:lang w:val="fr-FR"/>
        </w:rPr>
        <w:t xml:space="preserve">examiner la proposition </w:t>
      </w:r>
      <w:r w:rsidRPr="000A5EB8">
        <w:rPr>
          <w:lang w:val="fr-FR"/>
        </w:rPr>
        <w:t>du Royaume-Uni de Grande-Bretagne et d</w:t>
      </w:r>
      <w:r>
        <w:rPr>
          <w:lang w:val="fr-FR"/>
        </w:rPr>
        <w:t>’</w:t>
      </w:r>
      <w:r w:rsidRPr="000A5EB8">
        <w:rPr>
          <w:lang w:val="fr-FR"/>
        </w:rPr>
        <w:t>Irlande du Nord (ECE/TRANS/WP.11/2023/2</w:t>
      </w:r>
      <w:r>
        <w:rPr>
          <w:lang w:val="fr-FR"/>
        </w:rPr>
        <w:t>1</w:t>
      </w:r>
      <w:r w:rsidRPr="000A5EB8">
        <w:rPr>
          <w:lang w:val="fr-FR"/>
        </w:rPr>
        <w:t>).</w:t>
      </w:r>
      <w:r w:rsidRPr="000163DE">
        <w:rPr>
          <w:lang w:val="fr-FR"/>
        </w:rPr>
        <w:tab/>
      </w:r>
    </w:p>
    <w:p w14:paraId="6329DEC7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lastRenderedPageBreak/>
        <w:tab/>
        <w:t>6.</w:t>
      </w:r>
      <w:r w:rsidRPr="000163DE">
        <w:rPr>
          <w:lang w:val="fr-FR"/>
        </w:rPr>
        <w:tab/>
        <w:t>Manuel ATP</w:t>
      </w:r>
    </w:p>
    <w:p w14:paraId="585459C6" w14:textId="66277998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0A5EB8">
        <w:rPr>
          <w:lang w:val="fr-FR"/>
        </w:rPr>
        <w:t>Amendements au</w:t>
      </w:r>
      <w:r>
        <w:rPr>
          <w:lang w:val="fr-FR"/>
        </w:rPr>
        <w:t xml:space="preserve"> paragraphe 4 des</w:t>
      </w:r>
      <w:r w:rsidRPr="000A5EB8">
        <w:rPr>
          <w:lang w:val="fr-FR"/>
        </w:rPr>
        <w:t xml:space="preserve"> observations concernant l</w:t>
      </w:r>
      <w:r>
        <w:rPr>
          <w:lang w:val="fr-FR"/>
        </w:rPr>
        <w:t>’</w:t>
      </w:r>
      <w:r w:rsidRPr="000A5EB8">
        <w:rPr>
          <w:lang w:val="fr-FR"/>
        </w:rPr>
        <w:t>appendice</w:t>
      </w:r>
      <w:r w:rsidR="00643B73">
        <w:rPr>
          <w:lang w:val="fr-FR"/>
        </w:rPr>
        <w:t> </w:t>
      </w:r>
      <w:r w:rsidRPr="000A5EB8">
        <w:rPr>
          <w:lang w:val="fr-FR"/>
        </w:rPr>
        <w:t>1</w:t>
      </w:r>
      <w:r>
        <w:rPr>
          <w:lang w:val="fr-FR"/>
        </w:rPr>
        <w:t xml:space="preserve"> </w:t>
      </w:r>
      <w:r w:rsidRPr="000A5EB8">
        <w:rPr>
          <w:lang w:val="fr-FR"/>
        </w:rPr>
        <w:t>de</w:t>
      </w:r>
      <w:r w:rsidR="00643B73">
        <w:rPr>
          <w:lang w:val="fr-FR"/>
        </w:rPr>
        <w:t> </w:t>
      </w:r>
      <w:r w:rsidRPr="000A5EB8">
        <w:rPr>
          <w:lang w:val="fr-FR"/>
        </w:rPr>
        <w:t>l</w:t>
      </w:r>
      <w:r>
        <w:rPr>
          <w:lang w:val="fr-FR"/>
        </w:rPr>
        <w:t>’</w:t>
      </w:r>
      <w:r w:rsidRPr="000A5EB8">
        <w:rPr>
          <w:lang w:val="fr-FR"/>
        </w:rPr>
        <w:t>annexe</w:t>
      </w:r>
      <w:r w:rsidR="00643B73">
        <w:rPr>
          <w:lang w:val="fr-FR"/>
        </w:rPr>
        <w:t> </w:t>
      </w:r>
      <w:r w:rsidRPr="000A5EB8">
        <w:rPr>
          <w:lang w:val="fr-FR"/>
        </w:rPr>
        <w:t>2 du Manuel ATP</w:t>
      </w:r>
      <w:r>
        <w:rPr>
          <w:lang w:val="fr-FR"/>
        </w:rPr>
        <w:t xml:space="preserve"> : </w:t>
      </w:r>
      <w:r w:rsidRPr="000A5EB8">
        <w:rPr>
          <w:lang w:val="fr-FR"/>
        </w:rPr>
        <w:t xml:space="preserve">Positions des sondes de mesure </w:t>
      </w:r>
      <w:r w:rsidR="00643B73">
        <w:rPr>
          <w:lang w:val="fr-FR"/>
        </w:rPr>
        <w:br/>
      </w:r>
      <w:r w:rsidRPr="000A5EB8">
        <w:rPr>
          <w:lang w:val="fr-FR"/>
        </w:rPr>
        <w:t>de température au</w:t>
      </w:r>
      <w:r w:rsidR="00643B73">
        <w:rPr>
          <w:lang w:val="fr-FR"/>
        </w:rPr>
        <w:t> </w:t>
      </w:r>
      <w:r w:rsidRPr="000A5EB8">
        <w:rPr>
          <w:lang w:val="fr-FR"/>
        </w:rPr>
        <w:t>cours</w:t>
      </w:r>
      <w:r>
        <w:rPr>
          <w:lang w:val="fr-FR"/>
        </w:rPr>
        <w:t xml:space="preserve"> </w:t>
      </w:r>
      <w:r w:rsidRPr="000A5EB8">
        <w:rPr>
          <w:lang w:val="fr-FR"/>
        </w:rPr>
        <w:t>des transports</w:t>
      </w:r>
    </w:p>
    <w:p w14:paraId="3704E6D5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>
        <w:rPr>
          <w:lang w:val="fr-FR"/>
        </w:rPr>
        <w:t>souhaitera peut-être</w:t>
      </w:r>
      <w:r w:rsidRPr="000163DE">
        <w:rPr>
          <w:lang w:val="fr-FR"/>
        </w:rPr>
        <w:t xml:space="preserve"> examiner la proposition de la France (ECE/TRANS/WP.11/202</w:t>
      </w:r>
      <w:r>
        <w:rPr>
          <w:lang w:val="fr-FR"/>
        </w:rPr>
        <w:t>3</w:t>
      </w:r>
      <w:r w:rsidRPr="000163DE">
        <w:rPr>
          <w:lang w:val="fr-FR"/>
        </w:rPr>
        <w:t>/1</w:t>
      </w:r>
      <w:r>
        <w:rPr>
          <w:lang w:val="fr-FR"/>
        </w:rPr>
        <w:t>0</w:t>
      </w:r>
      <w:r w:rsidRPr="000163DE">
        <w:rPr>
          <w:lang w:val="fr-FR"/>
        </w:rPr>
        <w:t>).</w:t>
      </w:r>
    </w:p>
    <w:p w14:paraId="5218546A" w14:textId="6811E227" w:rsidR="00177325" w:rsidRPr="000267F9" w:rsidRDefault="00177325" w:rsidP="00F96981">
      <w:pPr>
        <w:pStyle w:val="SingleTxt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0267F9">
        <w:rPr>
          <w:lang w:val="fr-FR"/>
        </w:rPr>
        <w:t>La dernière version du Manuel ATP peut être consultée en anglais, en français et en russe sur le site Web de la Division des transports, à l</w:t>
      </w:r>
      <w:r>
        <w:rPr>
          <w:lang w:val="fr-FR"/>
        </w:rPr>
        <w:t>’</w:t>
      </w:r>
      <w:r w:rsidRPr="000267F9">
        <w:rPr>
          <w:lang w:val="fr-FR"/>
        </w:rPr>
        <w:t xml:space="preserve">adresse suivante : </w:t>
      </w:r>
      <w:hyperlink r:id="rId14" w:history="1">
        <w:r w:rsidRPr="00F96981">
          <w:rPr>
            <w:rStyle w:val="Lienhypertexte"/>
            <w:lang w:val="fr-FR"/>
          </w:rPr>
          <w:t>https://unece.org/atp-handbook</w:t>
        </w:r>
      </w:hyperlink>
      <w:r w:rsidRPr="00F96981">
        <w:rPr>
          <w:lang w:val="fr-FR"/>
        </w:rPr>
        <w:t>.</w:t>
      </w:r>
    </w:p>
    <w:p w14:paraId="0A6B5AF3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7.</w:t>
      </w:r>
      <w:r w:rsidRPr="000163DE">
        <w:rPr>
          <w:lang w:val="fr-FR"/>
        </w:rPr>
        <w:tab/>
        <w:t>Rapports des groupes de travail informels</w:t>
      </w:r>
    </w:p>
    <w:p w14:paraId="538CDA18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rapports des groupes de travail informels qui seront reçus après la publication du présent ordre du jour annoté feront l</w:t>
      </w:r>
      <w:r>
        <w:rPr>
          <w:lang w:val="fr-FR"/>
        </w:rPr>
        <w:t>’</w:t>
      </w:r>
      <w:r w:rsidRPr="000163DE">
        <w:rPr>
          <w:lang w:val="fr-FR"/>
        </w:rPr>
        <w:t>objet de documents informels.</w:t>
      </w:r>
    </w:p>
    <w:p w14:paraId="5D979EF0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8.</w:t>
      </w:r>
      <w:r w:rsidRPr="000163DE">
        <w:rPr>
          <w:lang w:val="fr-FR"/>
        </w:rPr>
        <w:tab/>
        <w:t>Portée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1CB93D53" w14:textId="77777777" w:rsidR="00177325" w:rsidRPr="000267F9" w:rsidRDefault="00177325" w:rsidP="00E80B7C">
      <w:pPr>
        <w:pStyle w:val="H23G"/>
        <w:keepNext w:val="0"/>
        <w:ind w:firstLine="0"/>
        <w:rPr>
          <w:lang w:val="fr-FR"/>
        </w:rPr>
      </w:pPr>
      <w:r w:rsidRPr="000267F9">
        <w:rPr>
          <w:lang w:val="fr-FR"/>
        </w:rPr>
        <w:tab/>
        <w:t>Portée de l</w:t>
      </w:r>
      <w:r>
        <w:rPr>
          <w:lang w:val="fr-FR"/>
        </w:rPr>
        <w:t>’</w:t>
      </w:r>
      <w:r w:rsidRPr="000267F9">
        <w:rPr>
          <w:lang w:val="fr-FR"/>
        </w:rPr>
        <w:t>ATP</w:t>
      </w:r>
    </w:p>
    <w:p w14:paraId="09724E5B" w14:textId="77777777" w:rsidR="00177325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67482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867482">
        <w:rPr>
          <w:lang w:val="fr-FR"/>
        </w:rPr>
        <w:t>examiner la proposition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Transfrigoroute</w:t>
      </w:r>
      <w:proofErr w:type="spellEnd"/>
      <w:r>
        <w:rPr>
          <w:lang w:val="fr-FR"/>
        </w:rPr>
        <w:t xml:space="preserve"> International</w:t>
      </w:r>
      <w:r w:rsidRPr="00867482">
        <w:rPr>
          <w:lang w:val="fr-FR"/>
        </w:rPr>
        <w:t xml:space="preserve"> (ECE/TRANS/WP.11/2023/1</w:t>
      </w:r>
      <w:r>
        <w:rPr>
          <w:lang w:val="fr-FR"/>
        </w:rPr>
        <w:t>3</w:t>
      </w:r>
      <w:r w:rsidRPr="00867482">
        <w:rPr>
          <w:lang w:val="fr-FR"/>
        </w:rPr>
        <w:t>).</w:t>
      </w:r>
    </w:p>
    <w:p w14:paraId="0134AB31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EF2DFE">
        <w:rPr>
          <w:lang w:val="fr-FR"/>
        </w:rPr>
        <w:t xml:space="preserve">souhaitera peut-être </w:t>
      </w:r>
      <w:r w:rsidRPr="000163DE">
        <w:rPr>
          <w:lang w:val="fr-FR"/>
        </w:rPr>
        <w:t>examiner tout fait nouveau relatif à la portée de l</w:t>
      </w:r>
      <w:r>
        <w:rPr>
          <w:lang w:val="fr-FR"/>
        </w:rPr>
        <w:t>’</w:t>
      </w:r>
      <w:r w:rsidRPr="000163DE">
        <w:rPr>
          <w:lang w:val="fr-FR"/>
        </w:rPr>
        <w:t>ATP ayant une incidence sur ses travaux.</w:t>
      </w:r>
    </w:p>
    <w:p w14:paraId="5C9817C5" w14:textId="03C4D428" w:rsidR="00177325" w:rsidRPr="000163DE" w:rsidRDefault="00177325" w:rsidP="00643B73">
      <w:pPr>
        <w:pStyle w:val="H23G"/>
        <w:ind w:firstLine="0"/>
        <w:rPr>
          <w:lang w:val="fr-FR"/>
        </w:rPr>
      </w:pPr>
      <w:r w:rsidRPr="000163DE">
        <w:rPr>
          <w:lang w:val="fr-FR"/>
        </w:rPr>
        <w:tab/>
        <w:t>L</w:t>
      </w:r>
      <w:r>
        <w:rPr>
          <w:lang w:val="fr-FR"/>
        </w:rPr>
        <w:t>’</w:t>
      </w:r>
      <w:r w:rsidRPr="000163DE">
        <w:rPr>
          <w:lang w:val="fr-FR"/>
        </w:rPr>
        <w:t>avenir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51D4B769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</w:t>
      </w:r>
      <w:r>
        <w:rPr>
          <w:lang w:val="fr-FR"/>
        </w:rPr>
        <w:t>e</w:t>
      </w:r>
      <w:r w:rsidRPr="000163DE">
        <w:rPr>
          <w:lang w:val="fr-FR"/>
        </w:rPr>
        <w:t xml:space="preserve"> </w:t>
      </w:r>
      <w:r>
        <w:rPr>
          <w:lang w:val="fr-FR"/>
        </w:rPr>
        <w:t>plan par étapes concernant l’adhésion à l’ATP et l’application de celui-ci</w:t>
      </w:r>
      <w:r w:rsidRPr="000163DE">
        <w:rPr>
          <w:lang w:val="fr-FR"/>
        </w:rPr>
        <w:t xml:space="preserve"> tel qu</w:t>
      </w:r>
      <w:r>
        <w:rPr>
          <w:lang w:val="fr-FR"/>
        </w:rPr>
        <w:t>’</w:t>
      </w:r>
      <w:r w:rsidRPr="000163DE">
        <w:rPr>
          <w:lang w:val="fr-FR"/>
        </w:rPr>
        <w:t xml:space="preserve">établi par le projet </w:t>
      </w:r>
      <w:proofErr w:type="spellStart"/>
      <w:r w:rsidRPr="000163DE">
        <w:rPr>
          <w:lang w:val="fr-FR"/>
        </w:rPr>
        <w:t>EuroMed</w:t>
      </w:r>
      <w:proofErr w:type="spellEnd"/>
      <w:r w:rsidRPr="000163DE">
        <w:rPr>
          <w:lang w:val="fr-FR"/>
        </w:rPr>
        <w:t xml:space="preserve"> de transports urbains, ferroviaires et routiers avec des contributions du secrétariat et des présidents du Groupe de travail a été publié et peut être consulté sur le site Web de la CEE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5" w:history="1">
        <w:r w:rsidRPr="001805AB">
          <w:rPr>
            <w:rStyle w:val="Lienhypertexte"/>
            <w:lang w:val="fr-FR"/>
          </w:rPr>
          <w:t>https://unece.org/road-map-accession-and-implementation-atp</w:t>
        </w:r>
      </w:hyperlink>
      <w:r w:rsidRPr="000163DE">
        <w:rPr>
          <w:lang w:val="fr-FR"/>
        </w:rPr>
        <w:t>.</w:t>
      </w:r>
    </w:p>
    <w:p w14:paraId="688D0A17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9.</w:t>
      </w:r>
      <w:r w:rsidRPr="000163DE">
        <w:rPr>
          <w:lang w:val="fr-FR"/>
        </w:rPr>
        <w:tab/>
        <w:t>Étiquetage énergétique, fluides frigorigènes et agents d</w:t>
      </w:r>
      <w:r>
        <w:rPr>
          <w:lang w:val="fr-FR"/>
        </w:rPr>
        <w:t>’</w:t>
      </w:r>
      <w:r w:rsidRPr="000163DE">
        <w:rPr>
          <w:lang w:val="fr-FR"/>
        </w:rPr>
        <w:t>expansion</w:t>
      </w:r>
    </w:p>
    <w:p w14:paraId="05C8F11F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B55427">
        <w:rPr>
          <w:lang w:val="fr-FR"/>
        </w:rPr>
        <w:t xml:space="preserve">souhaitera peut-être </w:t>
      </w:r>
      <w:r w:rsidRPr="000163DE">
        <w:rPr>
          <w:lang w:val="fr-FR"/>
        </w:rPr>
        <w:t>examiner tout fait nouveau dans le domaine de l</w:t>
      </w:r>
      <w:r>
        <w:rPr>
          <w:lang w:val="fr-FR"/>
        </w:rPr>
        <w:t>’</w:t>
      </w:r>
      <w:r w:rsidRPr="000163DE">
        <w:rPr>
          <w:lang w:val="fr-FR"/>
        </w:rPr>
        <w:t>étiquetage énergétique, des fluides frigorigènes et des agents d</w:t>
      </w:r>
      <w:r>
        <w:rPr>
          <w:lang w:val="fr-FR"/>
        </w:rPr>
        <w:t>’</w:t>
      </w:r>
      <w:r w:rsidRPr="000163DE">
        <w:rPr>
          <w:lang w:val="fr-FR"/>
        </w:rPr>
        <w:t xml:space="preserve">expansion ayant une incidence sur ses travaux. </w:t>
      </w:r>
    </w:p>
    <w:p w14:paraId="08D6E0CC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10.</w:t>
      </w:r>
      <w:r w:rsidRPr="000163DE">
        <w:rPr>
          <w:lang w:val="fr-FR"/>
        </w:rPr>
        <w:tab/>
        <w:t xml:space="preserve">Programme de travail </w:t>
      </w:r>
    </w:p>
    <w:p w14:paraId="367A9DDE" w14:textId="77777777" w:rsidR="00177325" w:rsidRPr="000163DE" w:rsidRDefault="00177325" w:rsidP="00177325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Dates de la quatre</w:t>
      </w:r>
      <w:r>
        <w:rPr>
          <w:lang w:val="fr-FR"/>
        </w:rPr>
        <w:t>-</w:t>
      </w:r>
      <w:r w:rsidRPr="000163DE">
        <w:rPr>
          <w:lang w:val="fr-FR"/>
        </w:rPr>
        <w:t>vingt</w:t>
      </w:r>
      <w:r>
        <w:rPr>
          <w:lang w:val="fr-FR"/>
        </w:rPr>
        <w:t>-un</w:t>
      </w:r>
      <w:r w:rsidRPr="000163DE">
        <w:rPr>
          <w:lang w:val="fr-FR"/>
        </w:rPr>
        <w:t>ième session</w:t>
      </w:r>
    </w:p>
    <w:p w14:paraId="19072A7D" w14:textId="352D4D5B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dates du 2</w:t>
      </w:r>
      <w:r>
        <w:rPr>
          <w:lang w:val="fr-FR"/>
        </w:rPr>
        <w:t>9</w:t>
      </w:r>
      <w:r w:rsidR="00E80B7C">
        <w:rPr>
          <w:lang w:val="fr-FR"/>
        </w:rPr>
        <w:t> </w:t>
      </w:r>
      <w:r>
        <w:rPr>
          <w:lang w:val="fr-FR"/>
        </w:rPr>
        <w:t>octobre au 1</w:t>
      </w:r>
      <w:r w:rsidRPr="000267F9">
        <w:rPr>
          <w:vertAlign w:val="superscript"/>
          <w:lang w:val="fr-FR"/>
        </w:rPr>
        <w:t>er</w:t>
      </w:r>
      <w:r w:rsidR="00E80B7C">
        <w:rPr>
          <w:lang w:val="fr-FR"/>
        </w:rPr>
        <w:t> </w:t>
      </w:r>
      <w:r>
        <w:rPr>
          <w:lang w:val="fr-FR"/>
        </w:rPr>
        <w:t>novembre 2024</w:t>
      </w:r>
      <w:r w:rsidRPr="000163DE">
        <w:rPr>
          <w:lang w:val="fr-FR"/>
        </w:rPr>
        <w:t xml:space="preserve"> (mardi à vendredi) ont été retenues pour la quatre</w:t>
      </w:r>
      <w:r w:rsidR="00E80B7C">
        <w:rPr>
          <w:lang w:val="fr-FR"/>
        </w:rPr>
        <w:noBreakHyphen/>
      </w:r>
      <w:r w:rsidRPr="000163DE">
        <w:rPr>
          <w:lang w:val="fr-FR"/>
        </w:rPr>
        <w:t>vingt</w:t>
      </w:r>
      <w:r w:rsidR="00E80B7C">
        <w:rPr>
          <w:lang w:val="fr-FR"/>
        </w:rPr>
        <w:noBreakHyphen/>
      </w:r>
      <w:r>
        <w:rPr>
          <w:lang w:val="fr-FR"/>
        </w:rPr>
        <w:t>un</w:t>
      </w:r>
      <w:r w:rsidRPr="000163DE">
        <w:rPr>
          <w:lang w:val="fr-FR"/>
        </w:rPr>
        <w:t xml:space="preserve">ième session du </w:t>
      </w:r>
      <w:r>
        <w:rPr>
          <w:lang w:val="fr-FR"/>
        </w:rPr>
        <w:t>Groupe de travail</w:t>
      </w:r>
      <w:r w:rsidRPr="000163DE">
        <w:rPr>
          <w:lang w:val="fr-FR"/>
        </w:rPr>
        <w:t>.</w:t>
      </w:r>
    </w:p>
    <w:p w14:paraId="42F5B2E9" w14:textId="5846A3BF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11.</w:t>
      </w:r>
      <w:r w:rsidRPr="000163DE">
        <w:rPr>
          <w:lang w:val="fr-FR"/>
        </w:rPr>
        <w:tab/>
        <w:t xml:space="preserve">Élection du </w:t>
      </w:r>
      <w:r w:rsidR="009876D1">
        <w:rPr>
          <w:lang w:val="fr-FR"/>
        </w:rPr>
        <w:t>B</w:t>
      </w:r>
      <w:r w:rsidRPr="000163DE">
        <w:rPr>
          <w:lang w:val="fr-FR"/>
        </w:rPr>
        <w:t>ureau</w:t>
      </w:r>
    </w:p>
    <w:p w14:paraId="66DD62A5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aura à élire le (la) Président(e) et les Vice-Président(e)s pour sa session de 202</w:t>
      </w:r>
      <w:r>
        <w:rPr>
          <w:lang w:val="fr-FR"/>
        </w:rPr>
        <w:t>4</w:t>
      </w:r>
      <w:r w:rsidRPr="000163DE">
        <w:rPr>
          <w:lang w:val="fr-FR"/>
        </w:rPr>
        <w:t>.</w:t>
      </w:r>
    </w:p>
    <w:p w14:paraId="561E3127" w14:textId="60E6D2C8" w:rsidR="00177325" w:rsidRPr="000163DE" w:rsidRDefault="00177325" w:rsidP="002C77EF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0163DE">
        <w:rPr>
          <w:lang w:val="fr-FR"/>
        </w:rPr>
        <w:t>Les élections se dérouleront conformément aux articles</w:t>
      </w:r>
      <w:r w:rsidR="002C77EF">
        <w:rPr>
          <w:lang w:val="fr-FR"/>
        </w:rPr>
        <w:t> </w:t>
      </w:r>
      <w:r w:rsidRPr="000163DE">
        <w:rPr>
          <w:lang w:val="fr-FR"/>
        </w:rPr>
        <w:t>12, 36 et 37 du Règlement intérieur du Groupe de travail (voir ECE/TRANS/WP.11/229), qui disposent ce qui suit :</w:t>
      </w:r>
    </w:p>
    <w:p w14:paraId="5F507D82" w14:textId="051B77E7" w:rsidR="00177325" w:rsidRPr="000163DE" w:rsidRDefault="00177325" w:rsidP="002C77EF">
      <w:pPr>
        <w:pStyle w:val="SingleTxtG"/>
        <w:keepNext/>
        <w:keepLines/>
        <w:ind w:firstLine="567"/>
        <w:rPr>
          <w:i/>
          <w:iCs/>
          <w:lang w:val="fr-FR"/>
        </w:rPr>
      </w:pPr>
      <w:r w:rsidRPr="00320D0C">
        <w:rPr>
          <w:lang w:val="fr-FR"/>
        </w:rPr>
        <w:t>«</w:t>
      </w:r>
      <w:r w:rsidRPr="000163DE"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  <w:lang w:val="fr-FR"/>
        </w:rPr>
        <w:t>Articl</w:t>
      </w:r>
      <w:r w:rsidRPr="000163DE">
        <w:rPr>
          <w:b/>
          <w:bCs/>
          <w:i/>
          <w:iCs/>
          <w:lang w:val="fr-FR"/>
        </w:rPr>
        <w:t>e</w:t>
      </w:r>
      <w:r w:rsidR="002C77EF">
        <w:rPr>
          <w:b/>
          <w:bCs/>
          <w:i/>
          <w:iCs/>
          <w:lang w:val="fr-FR"/>
        </w:rPr>
        <w:t> </w:t>
      </w:r>
      <w:r w:rsidRPr="000163DE">
        <w:rPr>
          <w:b/>
          <w:bCs/>
          <w:i/>
          <w:iCs/>
          <w:lang w:val="fr-FR"/>
        </w:rPr>
        <w:t>12</w:t>
      </w:r>
      <w:r w:rsidRPr="000163DE">
        <w:rPr>
          <w:lang w:val="fr-FR"/>
        </w:rPr>
        <w:t xml:space="preserve"> </w:t>
      </w:r>
    </w:p>
    <w:p w14:paraId="2DEBC3FD" w14:textId="77777777" w:rsidR="00177325" w:rsidRPr="000163DE" w:rsidRDefault="00177325" w:rsidP="00177325">
      <w:pPr>
        <w:pStyle w:val="SingleTxtG"/>
        <w:ind w:left="1701" w:firstLine="567"/>
        <w:rPr>
          <w:b/>
          <w:bCs/>
          <w:i/>
          <w:iCs/>
          <w:lang w:val="fr-FR"/>
        </w:rPr>
      </w:pPr>
      <w:r w:rsidRPr="000163DE">
        <w:rPr>
          <w:i/>
          <w:iCs/>
          <w:lang w:val="fr-FR"/>
        </w:rPr>
        <w:t>Le WP.11 élit tous les ans un (une) Président(e) et un (une) Vice-Président(e) choisi(e)s parmi les représentants des participants de plein droit selon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 xml:space="preserve">article </w:t>
      </w:r>
      <w:r>
        <w:rPr>
          <w:i/>
          <w:iCs/>
          <w:lang w:val="fr-FR"/>
        </w:rPr>
        <w:t>premier</w:t>
      </w:r>
      <w:r w:rsidRPr="000163DE">
        <w:rPr>
          <w:i/>
          <w:iCs/>
          <w:lang w:val="fr-FR"/>
        </w:rPr>
        <w:t>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 xml:space="preserve">Ils </w:t>
      </w:r>
      <w:r>
        <w:rPr>
          <w:i/>
          <w:iCs/>
          <w:lang w:val="fr-FR"/>
        </w:rPr>
        <w:t xml:space="preserve">(elles) </w:t>
      </w:r>
      <w:r w:rsidRPr="000163DE">
        <w:rPr>
          <w:i/>
          <w:iCs/>
          <w:lang w:val="fr-FR"/>
        </w:rPr>
        <w:t>entrent en fonction</w:t>
      </w:r>
      <w:r>
        <w:rPr>
          <w:i/>
          <w:iCs/>
          <w:lang w:val="fr-FR"/>
        </w:rPr>
        <w:t>s</w:t>
      </w:r>
      <w:r w:rsidRPr="000163DE">
        <w:rPr>
          <w:i/>
          <w:iCs/>
          <w:lang w:val="fr-FR"/>
        </w:rPr>
        <w:t xml:space="preserve"> lors de la session de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année suivant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élection.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 xml:space="preserve">Ils </w:t>
      </w:r>
      <w:r>
        <w:rPr>
          <w:i/>
          <w:iCs/>
          <w:lang w:val="fr-FR"/>
        </w:rPr>
        <w:t xml:space="preserve">(elles) </w:t>
      </w:r>
      <w:r w:rsidRPr="000163DE">
        <w:rPr>
          <w:i/>
          <w:iCs/>
          <w:lang w:val="fr-FR"/>
        </w:rPr>
        <w:t>sont rééligibles.</w:t>
      </w:r>
    </w:p>
    <w:p w14:paraId="48CA79A1" w14:textId="12E63A11" w:rsidR="00177325" w:rsidRPr="000163DE" w:rsidRDefault="00177325" w:rsidP="00177325">
      <w:pPr>
        <w:pStyle w:val="SingleTxtG"/>
        <w:ind w:firstLine="567"/>
        <w:rPr>
          <w:i/>
          <w:iCs/>
          <w:lang w:val="fr-FR"/>
        </w:rPr>
      </w:pPr>
      <w:r w:rsidRPr="000163DE">
        <w:rPr>
          <w:b/>
          <w:bCs/>
          <w:i/>
          <w:iCs/>
          <w:lang w:val="fr-FR"/>
        </w:rPr>
        <w:t>Article</w:t>
      </w:r>
      <w:r w:rsidR="002C77EF">
        <w:rPr>
          <w:b/>
          <w:bCs/>
          <w:i/>
          <w:iCs/>
          <w:lang w:val="fr-FR"/>
        </w:rPr>
        <w:t> </w:t>
      </w:r>
      <w:r w:rsidRPr="000163DE">
        <w:rPr>
          <w:b/>
          <w:bCs/>
          <w:i/>
          <w:iCs/>
          <w:lang w:val="fr-FR"/>
        </w:rPr>
        <w:t>36</w:t>
      </w:r>
      <w:r w:rsidRPr="000163DE">
        <w:rPr>
          <w:lang w:val="fr-FR"/>
        </w:rPr>
        <w:t xml:space="preserve"> </w:t>
      </w:r>
    </w:p>
    <w:p w14:paraId="1AA90296" w14:textId="77777777" w:rsidR="00177325" w:rsidRPr="000163DE" w:rsidRDefault="00177325" w:rsidP="00177325">
      <w:pPr>
        <w:pStyle w:val="SingleTxtG"/>
        <w:ind w:left="1701" w:firstLine="567"/>
        <w:rPr>
          <w:i/>
          <w:iCs/>
          <w:lang w:val="fr-FR"/>
        </w:rPr>
      </w:pPr>
      <w:r w:rsidRPr="000163DE">
        <w:rPr>
          <w:i/>
          <w:iCs/>
          <w:lang w:val="fr-FR"/>
        </w:rPr>
        <w:t>Les votes du WP.11 ont lieu normalement à main levée.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>Si un(e) représentant(e) demande qu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il soit procédé à un scrutin par appel nominal, il en sera ainsi fait, et les noms des participants seront appelés dans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ordre alphabétique anglais.</w:t>
      </w:r>
      <w:r w:rsidRPr="000163DE">
        <w:rPr>
          <w:lang w:val="fr-FR"/>
        </w:rPr>
        <w:t xml:space="preserve"> </w:t>
      </w:r>
    </w:p>
    <w:p w14:paraId="60D4F9F3" w14:textId="48E1625D" w:rsidR="00177325" w:rsidRPr="000163DE" w:rsidRDefault="00177325" w:rsidP="00177325">
      <w:pPr>
        <w:pStyle w:val="SingleTxtG"/>
        <w:ind w:firstLine="567"/>
        <w:rPr>
          <w:i/>
          <w:iCs/>
          <w:lang w:val="fr-FR"/>
        </w:rPr>
      </w:pPr>
      <w:r w:rsidRPr="000163DE">
        <w:rPr>
          <w:b/>
          <w:bCs/>
          <w:i/>
          <w:iCs/>
          <w:lang w:val="fr-FR"/>
        </w:rPr>
        <w:t>Article</w:t>
      </w:r>
      <w:r w:rsidR="002C77EF">
        <w:rPr>
          <w:b/>
          <w:bCs/>
          <w:i/>
          <w:iCs/>
          <w:lang w:val="fr-FR"/>
        </w:rPr>
        <w:t> </w:t>
      </w:r>
      <w:r w:rsidRPr="000163DE">
        <w:rPr>
          <w:b/>
          <w:bCs/>
          <w:i/>
          <w:iCs/>
          <w:lang w:val="fr-FR"/>
        </w:rPr>
        <w:t>37</w:t>
      </w:r>
      <w:r w:rsidRPr="000163DE">
        <w:rPr>
          <w:lang w:val="fr-FR"/>
        </w:rPr>
        <w:t xml:space="preserve"> </w:t>
      </w:r>
    </w:p>
    <w:p w14:paraId="6585C7BA" w14:textId="77777777" w:rsidR="00177325" w:rsidRPr="000163DE" w:rsidRDefault="00177325" w:rsidP="00177325">
      <w:pPr>
        <w:pStyle w:val="SingleTxtG"/>
        <w:ind w:left="1701" w:firstLine="567"/>
        <w:rPr>
          <w:lang w:val="fr-FR"/>
        </w:rPr>
      </w:pPr>
      <w:r w:rsidRPr="000163DE">
        <w:rPr>
          <w:i/>
          <w:iCs/>
          <w:lang w:val="fr-FR"/>
        </w:rPr>
        <w:t>Toutes les élections se font à main levée. </w:t>
      </w:r>
      <w:r w:rsidRPr="000163DE">
        <w:rPr>
          <w:lang w:val="fr-FR"/>
        </w:rPr>
        <w:t>».</w:t>
      </w:r>
    </w:p>
    <w:p w14:paraId="584C0C5A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12.</w:t>
      </w:r>
      <w:r w:rsidRPr="000163DE">
        <w:rPr>
          <w:lang w:val="fr-FR"/>
        </w:rPr>
        <w:tab/>
        <w:t>Questions diverses</w:t>
      </w:r>
    </w:p>
    <w:p w14:paraId="7882B41B" w14:textId="77777777" w:rsidR="00177325" w:rsidRPr="000163DE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</w:t>
      </w:r>
      <w:r w:rsidRPr="00B55427">
        <w:rPr>
          <w:lang w:val="fr-FR"/>
        </w:rPr>
        <w:t xml:space="preserve">souhaitera peut-être </w:t>
      </w:r>
      <w:r w:rsidRPr="000163DE">
        <w:rPr>
          <w:lang w:val="fr-FR"/>
        </w:rPr>
        <w:t>examiner toute autre question au titre de ce point de l</w:t>
      </w:r>
      <w:r>
        <w:rPr>
          <w:lang w:val="fr-FR"/>
        </w:rPr>
        <w:t>’</w:t>
      </w:r>
      <w:r w:rsidRPr="000163DE">
        <w:rPr>
          <w:lang w:val="fr-FR"/>
        </w:rPr>
        <w:t>ordre du jour.</w:t>
      </w:r>
    </w:p>
    <w:p w14:paraId="494460BA" w14:textId="77777777" w:rsidR="00177325" w:rsidRPr="000163DE" w:rsidRDefault="00177325" w:rsidP="00177325">
      <w:pPr>
        <w:pStyle w:val="H1G"/>
        <w:rPr>
          <w:lang w:val="fr-FR"/>
        </w:rPr>
      </w:pPr>
      <w:r w:rsidRPr="000163DE">
        <w:rPr>
          <w:lang w:val="fr-FR"/>
        </w:rPr>
        <w:tab/>
        <w:t>13.</w:t>
      </w:r>
      <w:r w:rsidRPr="000163DE">
        <w:rPr>
          <w:lang w:val="fr-FR"/>
        </w:rPr>
        <w:tab/>
        <w:t xml:space="preserve">Adoption </w:t>
      </w:r>
      <w:r>
        <w:rPr>
          <w:lang w:val="fr-FR"/>
        </w:rPr>
        <w:t>du rapport</w:t>
      </w:r>
    </w:p>
    <w:p w14:paraId="526849A1" w14:textId="5F3F8F38" w:rsidR="00F9573C" w:rsidRDefault="00177325" w:rsidP="0017732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 xml:space="preserve">Le Groupe de travail devrait adopter le rapport de sa </w:t>
      </w:r>
      <w:r>
        <w:rPr>
          <w:lang w:val="fr-FR"/>
        </w:rPr>
        <w:t>quatre-vingtième</w:t>
      </w:r>
      <w:r w:rsidRPr="000163DE">
        <w:rPr>
          <w:lang w:val="fr-FR"/>
        </w:rPr>
        <w:t xml:space="preserve"> session sur la base d</w:t>
      </w:r>
      <w:r>
        <w:rPr>
          <w:lang w:val="fr-FR"/>
        </w:rPr>
        <w:t>’</w:t>
      </w:r>
      <w:r w:rsidRPr="000163DE">
        <w:rPr>
          <w:lang w:val="fr-FR"/>
        </w:rPr>
        <w:t>un projet établi par le secrétariat.</w:t>
      </w:r>
    </w:p>
    <w:p w14:paraId="2D84908B" w14:textId="4C2F7A19" w:rsidR="00177325" w:rsidRPr="00177325" w:rsidRDefault="00177325" w:rsidP="001773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325" w:rsidRPr="00177325" w:rsidSect="0017732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440E" w14:textId="77777777" w:rsidR="00C3664F" w:rsidRDefault="00C3664F" w:rsidP="00F95C08">
      <w:pPr>
        <w:spacing w:line="240" w:lineRule="auto"/>
      </w:pPr>
    </w:p>
  </w:endnote>
  <w:endnote w:type="continuationSeparator" w:id="0">
    <w:p w14:paraId="62357A37" w14:textId="77777777" w:rsidR="00C3664F" w:rsidRPr="00AC3823" w:rsidRDefault="00C3664F" w:rsidP="00AC3823">
      <w:pPr>
        <w:pStyle w:val="Pieddepage"/>
      </w:pPr>
    </w:p>
  </w:endnote>
  <w:endnote w:type="continuationNotice" w:id="1">
    <w:p w14:paraId="3187C0DE" w14:textId="77777777" w:rsidR="00C3664F" w:rsidRDefault="00C366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9BE8" w14:textId="2F616B5B" w:rsidR="00177325" w:rsidRPr="00177325" w:rsidRDefault="00177325" w:rsidP="00177325">
    <w:pPr>
      <w:pStyle w:val="Pieddepage"/>
      <w:tabs>
        <w:tab w:val="right" w:pos="9638"/>
      </w:tabs>
    </w:pPr>
    <w:r w:rsidRPr="00177325">
      <w:rPr>
        <w:b/>
        <w:sz w:val="18"/>
      </w:rPr>
      <w:fldChar w:fldCharType="begin"/>
    </w:r>
    <w:r w:rsidRPr="00177325">
      <w:rPr>
        <w:b/>
        <w:sz w:val="18"/>
      </w:rPr>
      <w:instrText xml:space="preserve"> PAGE  \* MERGEFORMAT </w:instrText>
    </w:r>
    <w:r w:rsidRPr="00177325">
      <w:rPr>
        <w:b/>
        <w:sz w:val="18"/>
      </w:rPr>
      <w:fldChar w:fldCharType="separate"/>
    </w:r>
    <w:r w:rsidRPr="00177325">
      <w:rPr>
        <w:b/>
        <w:noProof/>
        <w:sz w:val="18"/>
      </w:rPr>
      <w:t>2</w:t>
    </w:r>
    <w:r w:rsidRPr="00177325">
      <w:rPr>
        <w:b/>
        <w:sz w:val="18"/>
      </w:rPr>
      <w:fldChar w:fldCharType="end"/>
    </w:r>
    <w:r>
      <w:rPr>
        <w:b/>
        <w:sz w:val="18"/>
      </w:rPr>
      <w:tab/>
    </w:r>
    <w:r>
      <w:t>GE.23-15620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F5C4" w14:textId="29566C0B" w:rsidR="00177325" w:rsidRPr="00177325" w:rsidRDefault="00177325" w:rsidP="00177325">
    <w:pPr>
      <w:pStyle w:val="Pieddepage"/>
      <w:tabs>
        <w:tab w:val="right" w:pos="9638"/>
      </w:tabs>
      <w:rPr>
        <w:b/>
        <w:sz w:val="18"/>
      </w:rPr>
    </w:pPr>
    <w:r>
      <w:t>GE.23-15620</w:t>
    </w:r>
    <w:r>
      <w:tab/>
    </w:r>
    <w:r w:rsidRPr="00177325">
      <w:rPr>
        <w:b/>
        <w:sz w:val="18"/>
      </w:rPr>
      <w:fldChar w:fldCharType="begin"/>
    </w:r>
    <w:r w:rsidRPr="00177325">
      <w:rPr>
        <w:b/>
        <w:sz w:val="18"/>
      </w:rPr>
      <w:instrText xml:space="preserve"> PAGE  \* MERGEFORMAT </w:instrText>
    </w:r>
    <w:r w:rsidRPr="00177325">
      <w:rPr>
        <w:b/>
        <w:sz w:val="18"/>
      </w:rPr>
      <w:fldChar w:fldCharType="separate"/>
    </w:r>
    <w:r w:rsidRPr="00177325">
      <w:rPr>
        <w:b/>
        <w:noProof/>
        <w:sz w:val="18"/>
      </w:rPr>
      <w:t>3</w:t>
    </w:r>
    <w:r w:rsidRPr="001773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2CE" w14:textId="7BE2034E" w:rsidR="007F20FA" w:rsidRPr="00177325" w:rsidRDefault="00177325" w:rsidP="0017732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335CE97" wp14:editId="6BE9F2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</w:t>
    </w:r>
    <w:proofErr w:type="gramStart"/>
    <w:r>
      <w:rPr>
        <w:sz w:val="20"/>
      </w:rPr>
      <w:t>15620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4AA392" wp14:editId="0113CB9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5832475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285">
      <w:rPr>
        <w:sz w:val="20"/>
      </w:rPr>
      <w:t xml:space="preserve">    310823    010923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C56" w14:textId="77777777" w:rsidR="00C3664F" w:rsidRPr="00AC3823" w:rsidRDefault="00C366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8139FE" w14:textId="77777777" w:rsidR="00C3664F" w:rsidRPr="00AC3823" w:rsidRDefault="00C366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FEFFE2" w14:textId="77777777" w:rsidR="00C3664F" w:rsidRPr="00AC3823" w:rsidRDefault="00C3664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22A3" w14:textId="52FCD222" w:rsidR="00177325" w:rsidRPr="00177325" w:rsidRDefault="00F16AB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ECE/TRANS/WP.11/250/Add.1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9A3" w14:textId="1A99983F" w:rsidR="00177325" w:rsidRPr="00177325" w:rsidRDefault="00F16ABE" w:rsidP="0017732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ECE/TRANS/WP.11/250/Add.1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45353094">
    <w:abstractNumId w:val="12"/>
  </w:num>
  <w:num w:numId="2" w16cid:durableId="176503395">
    <w:abstractNumId w:val="11"/>
  </w:num>
  <w:num w:numId="3" w16cid:durableId="15272043">
    <w:abstractNumId w:val="10"/>
  </w:num>
  <w:num w:numId="4" w16cid:durableId="2103069786">
    <w:abstractNumId w:val="8"/>
  </w:num>
  <w:num w:numId="5" w16cid:durableId="1383359068">
    <w:abstractNumId w:val="3"/>
  </w:num>
  <w:num w:numId="6" w16cid:durableId="1532844230">
    <w:abstractNumId w:val="2"/>
  </w:num>
  <w:num w:numId="7" w16cid:durableId="787118343">
    <w:abstractNumId w:val="1"/>
  </w:num>
  <w:num w:numId="8" w16cid:durableId="629435624">
    <w:abstractNumId w:val="0"/>
  </w:num>
  <w:num w:numId="9" w16cid:durableId="1041975063">
    <w:abstractNumId w:val="9"/>
  </w:num>
  <w:num w:numId="10" w16cid:durableId="1136415823">
    <w:abstractNumId w:val="7"/>
  </w:num>
  <w:num w:numId="11" w16cid:durableId="1499424637">
    <w:abstractNumId w:val="6"/>
  </w:num>
  <w:num w:numId="12" w16cid:durableId="1806461873">
    <w:abstractNumId w:val="5"/>
  </w:num>
  <w:num w:numId="13" w16cid:durableId="1370836997">
    <w:abstractNumId w:val="4"/>
  </w:num>
  <w:num w:numId="14" w16cid:durableId="1243418602">
    <w:abstractNumId w:val="12"/>
  </w:num>
  <w:num w:numId="15" w16cid:durableId="469905638">
    <w:abstractNumId w:val="11"/>
  </w:num>
  <w:num w:numId="16" w16cid:durableId="35814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77325"/>
    <w:rsid w:val="001F525A"/>
    <w:rsid w:val="00201148"/>
    <w:rsid w:val="00223272"/>
    <w:rsid w:val="0024779E"/>
    <w:rsid w:val="00257168"/>
    <w:rsid w:val="002744B8"/>
    <w:rsid w:val="002832AC"/>
    <w:rsid w:val="002C77EF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43B7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876D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664F"/>
    <w:rsid w:val="00C673E6"/>
    <w:rsid w:val="00C97039"/>
    <w:rsid w:val="00D3439C"/>
    <w:rsid w:val="00D7622E"/>
    <w:rsid w:val="00DB1831"/>
    <w:rsid w:val="00DD3BFD"/>
    <w:rsid w:val="00DF6678"/>
    <w:rsid w:val="00E0299A"/>
    <w:rsid w:val="00E80B7C"/>
    <w:rsid w:val="00E85C74"/>
    <w:rsid w:val="00EA6547"/>
    <w:rsid w:val="00ED7237"/>
    <w:rsid w:val="00EF2E22"/>
    <w:rsid w:val="00F15285"/>
    <w:rsid w:val="00F16ABE"/>
    <w:rsid w:val="00F35BAF"/>
    <w:rsid w:val="00F660DF"/>
    <w:rsid w:val="00F94664"/>
    <w:rsid w:val="00F9573C"/>
    <w:rsid w:val="00F95C08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C009"/>
  <w15:docId w15:val="{D4432F32-C0C4-4215-ABE5-DBC3BD8F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7732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ge11-30th-2022" TargetMode="External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unece.org/atp-competent-authorities-and-testing-sta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de/working-party-agricultural-quality-standards-wp7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unece.org/road-map-accession-and-implementation-atp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unece.org/trade/wp7/food-loss-and-wast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p7/wp7-77th-2022" TargetMode="External"/><Relationship Id="rId14" Type="http://schemas.openxmlformats.org/officeDocument/2006/relationships/hyperlink" Target="https://unece.org/atp-handbook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49183-4850-456A-AEB4-A5E4469ABB5D}"/>
</file>

<file path=customXml/itemProps2.xml><?xml version="1.0" encoding="utf-8"?>
<ds:datastoreItem xmlns:ds="http://schemas.openxmlformats.org/officeDocument/2006/customXml" ds:itemID="{E4B10BA9-81C9-4241-8A7A-6EDC752D357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6</Pages>
  <Words>2173</Words>
  <Characters>11498</Characters>
  <Application>Microsoft Office Word</Application>
  <DocSecurity>0</DocSecurity>
  <Lines>225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ECE/TRANS/WP.11/250/Add.1</vt:lpstr>
    </vt:vector>
  </TitlesOfParts>
  <Company>DCM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ECE/TRANS/WP.11/250/Add.1</dc:title>
  <dc:subject/>
  <dc:creator>Estelle-Delphine DITTA</dc:creator>
  <cp:keywords/>
  <cp:lastModifiedBy>Estelle-Delphine DITTA</cp:lastModifiedBy>
  <cp:revision>3</cp:revision>
  <cp:lastPrinted>2023-09-01T12:58:00Z</cp:lastPrinted>
  <dcterms:created xsi:type="dcterms:W3CDTF">2023-09-01T12:58:00Z</dcterms:created>
  <dcterms:modified xsi:type="dcterms:W3CDTF">2023-09-01T13:00:00Z</dcterms:modified>
</cp:coreProperties>
</file>