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2BCEFC3F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F188134" w14:textId="77777777" w:rsidR="00F35BAF" w:rsidRPr="00DB58B5" w:rsidRDefault="00F35BAF" w:rsidP="00CC6BF8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A21A240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75A3C7B" w14:textId="2B21C24A" w:rsidR="00F35BAF" w:rsidRPr="00DB58B5" w:rsidRDefault="00CC6BF8" w:rsidP="00CC6BF8">
            <w:pPr>
              <w:jc w:val="right"/>
            </w:pPr>
            <w:r w:rsidRPr="00CC6BF8">
              <w:rPr>
                <w:sz w:val="40"/>
              </w:rPr>
              <w:t>ECE</w:t>
            </w:r>
            <w:r>
              <w:t>/TRANS/WP.11/2023/19</w:t>
            </w:r>
          </w:p>
        </w:tc>
      </w:tr>
      <w:tr w:rsidR="00F35BAF" w:rsidRPr="00DB58B5" w14:paraId="35D5668B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EAFD441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EE73668" wp14:editId="471EF771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A6E9382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33981B2" w14:textId="77777777" w:rsidR="00F35BAF" w:rsidRDefault="00CC6BF8" w:rsidP="00C97039">
            <w:pPr>
              <w:spacing w:before="240"/>
            </w:pPr>
            <w:r>
              <w:t>Distr. générale</w:t>
            </w:r>
          </w:p>
          <w:p w14:paraId="7018B264" w14:textId="77777777" w:rsidR="00CC6BF8" w:rsidRDefault="00CC6BF8" w:rsidP="00CC6BF8">
            <w:pPr>
              <w:spacing w:line="240" w:lineRule="exact"/>
            </w:pPr>
            <w:r>
              <w:t>9 août 2023</w:t>
            </w:r>
          </w:p>
          <w:p w14:paraId="5FD5A1EF" w14:textId="77777777" w:rsidR="00CC6BF8" w:rsidRDefault="00CC6BF8" w:rsidP="00CC6BF8">
            <w:pPr>
              <w:spacing w:line="240" w:lineRule="exact"/>
            </w:pPr>
            <w:r>
              <w:t>Français</w:t>
            </w:r>
          </w:p>
          <w:p w14:paraId="7F1DD084" w14:textId="4CEFFC2D" w:rsidR="00CC6BF8" w:rsidRPr="00DB58B5" w:rsidRDefault="00CC6BF8" w:rsidP="00CC6BF8">
            <w:pPr>
              <w:spacing w:line="240" w:lineRule="exact"/>
            </w:pPr>
            <w:r>
              <w:t>Original : anglais</w:t>
            </w:r>
          </w:p>
        </w:tc>
      </w:tr>
    </w:tbl>
    <w:p w14:paraId="56CBAF72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5F169728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587784BD" w14:textId="77777777" w:rsidR="00CC6BF8" w:rsidRPr="00CC6BF8" w:rsidRDefault="00CC6BF8" w:rsidP="00CC6BF8">
      <w:pPr>
        <w:spacing w:before="120"/>
        <w:rPr>
          <w:b/>
          <w:sz w:val="32"/>
          <w:szCs w:val="32"/>
          <w:lang w:val="fr-FR"/>
        </w:rPr>
      </w:pPr>
      <w:bookmarkStart w:id="0" w:name="_Hlk144734244"/>
      <w:r w:rsidRPr="00CC6BF8">
        <w:rPr>
          <w:b/>
          <w:bCs/>
          <w:sz w:val="24"/>
          <w:szCs w:val="24"/>
          <w:lang w:val="fr-FR"/>
        </w:rPr>
        <w:t>Groupe de travail du transport des denrées périssables</w:t>
      </w:r>
    </w:p>
    <w:p w14:paraId="7C2C18EE" w14:textId="77777777" w:rsidR="00CC6BF8" w:rsidRPr="0022638F" w:rsidRDefault="00CC6BF8" w:rsidP="00CC6BF8">
      <w:pPr>
        <w:spacing w:before="120"/>
        <w:rPr>
          <w:b/>
          <w:lang w:val="fr-FR"/>
        </w:rPr>
      </w:pPr>
      <w:r w:rsidRPr="0022638F">
        <w:rPr>
          <w:b/>
          <w:bCs/>
          <w:lang w:val="fr-FR"/>
        </w:rPr>
        <w:t>Quatre-vingtième session</w:t>
      </w:r>
    </w:p>
    <w:p w14:paraId="42C54D3C" w14:textId="77777777" w:rsidR="00CC6BF8" w:rsidRPr="0022638F" w:rsidRDefault="00CC6BF8" w:rsidP="00CC6BF8">
      <w:pPr>
        <w:rPr>
          <w:lang w:val="fr-FR"/>
        </w:rPr>
      </w:pPr>
      <w:r w:rsidRPr="0022638F">
        <w:rPr>
          <w:lang w:val="fr-FR"/>
        </w:rPr>
        <w:t>Genève, 24-27 octobre 2023</w:t>
      </w:r>
    </w:p>
    <w:p w14:paraId="2630CA7E" w14:textId="77777777" w:rsidR="00CC6BF8" w:rsidRPr="0022638F" w:rsidRDefault="00CC6BF8" w:rsidP="00CC6BF8">
      <w:pPr>
        <w:rPr>
          <w:lang w:val="fr-FR"/>
        </w:rPr>
      </w:pPr>
      <w:r w:rsidRPr="0022638F">
        <w:rPr>
          <w:lang w:val="fr-FR"/>
        </w:rPr>
        <w:t>Point 5 b) de l</w:t>
      </w:r>
      <w:r>
        <w:rPr>
          <w:lang w:val="fr-FR"/>
        </w:rPr>
        <w:t>’</w:t>
      </w:r>
      <w:r w:rsidRPr="0022638F">
        <w:rPr>
          <w:lang w:val="fr-FR"/>
        </w:rPr>
        <w:t>ordre du jour provisoire</w:t>
      </w:r>
    </w:p>
    <w:p w14:paraId="38D5197E" w14:textId="77777777" w:rsidR="00CC6BF8" w:rsidRPr="0022638F" w:rsidRDefault="00CC6BF8" w:rsidP="00CC6BF8">
      <w:pPr>
        <w:rPr>
          <w:b/>
          <w:bCs/>
          <w:lang w:val="fr-FR"/>
        </w:rPr>
      </w:pPr>
      <w:r w:rsidRPr="0022638F">
        <w:rPr>
          <w:b/>
          <w:bCs/>
          <w:lang w:val="fr-FR"/>
        </w:rPr>
        <w:t>Propositions d</w:t>
      </w:r>
      <w:r>
        <w:rPr>
          <w:b/>
          <w:bCs/>
          <w:lang w:val="fr-FR"/>
        </w:rPr>
        <w:t>’</w:t>
      </w:r>
      <w:r w:rsidRPr="0022638F">
        <w:rPr>
          <w:b/>
          <w:bCs/>
          <w:lang w:val="fr-FR"/>
        </w:rPr>
        <w:t>amendements à l</w:t>
      </w:r>
      <w:r>
        <w:rPr>
          <w:b/>
          <w:bCs/>
          <w:lang w:val="fr-FR"/>
        </w:rPr>
        <w:t>’</w:t>
      </w:r>
      <w:r w:rsidRPr="0022638F">
        <w:rPr>
          <w:b/>
          <w:bCs/>
          <w:lang w:val="fr-FR"/>
        </w:rPr>
        <w:t>ATP :</w:t>
      </w:r>
    </w:p>
    <w:p w14:paraId="623FC8D1" w14:textId="77777777" w:rsidR="00CC6BF8" w:rsidRPr="0022638F" w:rsidRDefault="00CC6BF8" w:rsidP="00CC6BF8">
      <w:pPr>
        <w:rPr>
          <w:b/>
          <w:bCs/>
          <w:lang w:val="fr-FR"/>
        </w:rPr>
      </w:pPr>
      <w:r w:rsidRPr="0022638F">
        <w:rPr>
          <w:b/>
          <w:bCs/>
          <w:lang w:val="fr-FR"/>
        </w:rPr>
        <w:t>Nouvelles propositions</w:t>
      </w:r>
    </w:p>
    <w:p w14:paraId="4407F628" w14:textId="70F71135" w:rsidR="00CC6BF8" w:rsidRPr="0022638F" w:rsidRDefault="00CC6BF8" w:rsidP="00CC6BF8">
      <w:pPr>
        <w:pStyle w:val="HChG"/>
        <w:rPr>
          <w:lang w:val="fr-FR"/>
        </w:rPr>
      </w:pPr>
      <w:r w:rsidRPr="0022638F">
        <w:rPr>
          <w:lang w:val="fr-FR"/>
        </w:rPr>
        <w:tab/>
      </w:r>
      <w:r w:rsidRPr="0022638F">
        <w:rPr>
          <w:lang w:val="fr-FR"/>
        </w:rPr>
        <w:tab/>
      </w:r>
      <w:r w:rsidRPr="00CC6BF8">
        <w:t>Groupes</w:t>
      </w:r>
      <w:r w:rsidRPr="0022638F">
        <w:rPr>
          <w:lang w:val="fr-FR"/>
        </w:rPr>
        <w:t xml:space="preserve"> frigorifiques entraînés par le </w:t>
      </w:r>
      <w:r>
        <w:rPr>
          <w:lang w:val="fr-FR"/>
        </w:rPr>
        <w:t>déplacement</w:t>
      </w:r>
      <w:r w:rsidRPr="0022638F">
        <w:rPr>
          <w:lang w:val="fr-FR"/>
        </w:rPr>
        <w:t xml:space="preserve"> </w:t>
      </w:r>
      <w:r>
        <w:rPr>
          <w:lang w:val="fr-FR"/>
        </w:rPr>
        <w:br/>
      </w:r>
      <w:r w:rsidRPr="0022638F">
        <w:rPr>
          <w:lang w:val="fr-FR"/>
        </w:rPr>
        <w:t>du véhicule</w:t>
      </w:r>
    </w:p>
    <w:p w14:paraId="007B3C85" w14:textId="77777777" w:rsidR="00CC6BF8" w:rsidRPr="0022638F" w:rsidRDefault="00CC6BF8" w:rsidP="00CC6BF8">
      <w:pPr>
        <w:pStyle w:val="H1G"/>
        <w:rPr>
          <w:lang w:val="fr-FR"/>
        </w:rPr>
      </w:pPr>
      <w:r w:rsidRPr="0022638F">
        <w:rPr>
          <w:lang w:val="fr-FR"/>
        </w:rPr>
        <w:tab/>
      </w:r>
      <w:r w:rsidRPr="0022638F">
        <w:rPr>
          <w:lang w:val="fr-FR"/>
        </w:rPr>
        <w:tab/>
        <w:t>Communication du Gouvernement néerlandais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9637"/>
      </w:tblGrid>
      <w:tr w:rsidR="00CC6BF8" w:rsidRPr="0022638F" w14:paraId="6C254B7F" w14:textId="77777777" w:rsidTr="003A2767">
        <w:trPr>
          <w:jc w:val="center"/>
        </w:trPr>
        <w:tc>
          <w:tcPr>
            <w:tcW w:w="9637" w:type="dxa"/>
            <w:shd w:val="clear" w:color="auto" w:fill="auto"/>
          </w:tcPr>
          <w:p w14:paraId="12CD6195" w14:textId="77777777" w:rsidR="00CC6BF8" w:rsidRPr="0022638F" w:rsidRDefault="00CC6BF8" w:rsidP="003A2767">
            <w:pPr>
              <w:spacing w:before="240" w:after="120"/>
              <w:ind w:left="255"/>
              <w:rPr>
                <w:i/>
                <w:sz w:val="24"/>
                <w:lang w:val="fr-FR"/>
              </w:rPr>
            </w:pPr>
            <w:r w:rsidRPr="00CC6BF8">
              <w:rPr>
                <w:i/>
                <w:iCs/>
                <w:sz w:val="24"/>
                <w:szCs w:val="24"/>
                <w:lang w:val="fr-FR"/>
              </w:rPr>
              <w:t>Résumé</w:t>
            </w:r>
          </w:p>
        </w:tc>
      </w:tr>
      <w:tr w:rsidR="00CC6BF8" w:rsidRPr="0022638F" w14:paraId="25714022" w14:textId="77777777" w:rsidTr="003A2767">
        <w:trPr>
          <w:jc w:val="center"/>
        </w:trPr>
        <w:tc>
          <w:tcPr>
            <w:tcW w:w="9637" w:type="dxa"/>
            <w:shd w:val="clear" w:color="auto" w:fill="auto"/>
          </w:tcPr>
          <w:p w14:paraId="6DCE3F95" w14:textId="77777777" w:rsidR="00CC6BF8" w:rsidRPr="0022638F" w:rsidRDefault="00CC6BF8" w:rsidP="003A2767">
            <w:pPr>
              <w:pStyle w:val="SingleTxtG"/>
              <w:ind w:left="3402" w:hanging="2278"/>
              <w:rPr>
                <w:lang w:val="fr-FR"/>
              </w:rPr>
            </w:pPr>
            <w:r w:rsidRPr="005A7D72">
              <w:rPr>
                <w:b/>
                <w:bCs/>
                <w:lang w:val="fr-FR"/>
              </w:rPr>
              <w:t>Résumé analytique :</w:t>
            </w:r>
            <w:r w:rsidRPr="0022638F">
              <w:rPr>
                <w:lang w:val="fr-FR"/>
              </w:rPr>
              <w:tab/>
              <w:t>Lorsque le compresseur d</w:t>
            </w:r>
            <w:r>
              <w:rPr>
                <w:lang w:val="fr-FR"/>
              </w:rPr>
              <w:t>’</w:t>
            </w:r>
            <w:r w:rsidRPr="0022638F">
              <w:rPr>
                <w:lang w:val="fr-FR"/>
              </w:rPr>
              <w:t xml:space="preserve">un groupe frigorifique est directement entraîné par le </w:t>
            </w:r>
            <w:r>
              <w:rPr>
                <w:lang w:val="fr-FR"/>
              </w:rPr>
              <w:t>déplacement</w:t>
            </w:r>
            <w:r w:rsidRPr="0022638F">
              <w:rPr>
                <w:lang w:val="fr-FR"/>
              </w:rPr>
              <w:t xml:space="preserve"> du véhicule, la production de chaleur s</w:t>
            </w:r>
            <w:r>
              <w:rPr>
                <w:lang w:val="fr-FR"/>
              </w:rPr>
              <w:t>’</w:t>
            </w:r>
            <w:r w:rsidRPr="0022638F">
              <w:rPr>
                <w:lang w:val="fr-FR"/>
              </w:rPr>
              <w:t xml:space="preserve">arrête </w:t>
            </w:r>
            <w:r>
              <w:rPr>
                <w:lang w:val="fr-FR"/>
              </w:rPr>
              <w:t>au moment où</w:t>
            </w:r>
            <w:r w:rsidRPr="0022638F">
              <w:rPr>
                <w:lang w:val="fr-FR"/>
              </w:rPr>
              <w:t xml:space="preserve"> le véhicule s</w:t>
            </w:r>
            <w:r>
              <w:rPr>
                <w:lang w:val="fr-FR"/>
              </w:rPr>
              <w:t>’</w:t>
            </w:r>
            <w:r w:rsidRPr="0022638F">
              <w:rPr>
                <w:lang w:val="fr-FR"/>
              </w:rPr>
              <w:t xml:space="preserve">immobilise. Au cours des arrêts prolongés et des </w:t>
            </w:r>
            <w:r>
              <w:rPr>
                <w:lang w:val="fr-FR"/>
              </w:rPr>
              <w:t xml:space="preserve">trajets nécessitant de s’arrêter pour passer la </w:t>
            </w:r>
            <w:r w:rsidRPr="0022638F">
              <w:rPr>
                <w:lang w:val="fr-FR"/>
              </w:rPr>
              <w:t xml:space="preserve">nuit, la température risque de ne pas être maintenue au niveau souhaité. Faut-il autoriser ce type </w:t>
            </w:r>
            <w:r>
              <w:rPr>
                <w:lang w:val="fr-FR"/>
              </w:rPr>
              <w:t>de situation</w:t>
            </w:r>
            <w:r w:rsidRPr="0022638F">
              <w:rPr>
                <w:lang w:val="fr-FR"/>
              </w:rPr>
              <w:t xml:space="preserve">, </w:t>
            </w:r>
            <w:r>
              <w:rPr>
                <w:lang w:val="fr-FR"/>
              </w:rPr>
              <w:t>ces engins doivent-ils être considérés comme</w:t>
            </w:r>
            <w:r w:rsidRPr="0022638F">
              <w:rPr>
                <w:lang w:val="fr-FR"/>
              </w:rPr>
              <w:t xml:space="preserve"> non autonome</w:t>
            </w:r>
            <w:r>
              <w:rPr>
                <w:lang w:val="fr-FR"/>
              </w:rPr>
              <w:t>s</w:t>
            </w:r>
            <w:r w:rsidRPr="0022638F">
              <w:rPr>
                <w:lang w:val="fr-FR"/>
              </w:rPr>
              <w:t xml:space="preserve"> ou </w:t>
            </w:r>
            <w:r>
              <w:rPr>
                <w:lang w:val="fr-FR"/>
              </w:rPr>
              <w:t>est-ce simplement la</w:t>
            </w:r>
            <w:r w:rsidRPr="0022638F">
              <w:rPr>
                <w:lang w:val="fr-FR"/>
              </w:rPr>
              <w:t xml:space="preserve"> technologie </w:t>
            </w:r>
            <w:r>
              <w:rPr>
                <w:lang w:val="fr-FR"/>
              </w:rPr>
              <w:t>qui est</w:t>
            </w:r>
            <w:r w:rsidRPr="0022638F">
              <w:rPr>
                <w:lang w:val="fr-FR"/>
              </w:rPr>
              <w:t xml:space="preserve"> obsolète ?</w:t>
            </w:r>
          </w:p>
          <w:p w14:paraId="1C6A23B4" w14:textId="05303E83" w:rsidR="00CC6BF8" w:rsidRPr="0022638F" w:rsidRDefault="00CC6BF8" w:rsidP="003A2767">
            <w:pPr>
              <w:pStyle w:val="SingleTxtG"/>
              <w:ind w:left="3402" w:hanging="2278"/>
              <w:rPr>
                <w:lang w:val="fr-FR"/>
              </w:rPr>
            </w:pPr>
            <w:r w:rsidRPr="0022638F">
              <w:rPr>
                <w:b/>
                <w:bCs/>
                <w:lang w:val="fr-FR"/>
              </w:rPr>
              <w:t>Mesures à prendre</w:t>
            </w:r>
            <w:r>
              <w:rPr>
                <w:b/>
                <w:bCs/>
                <w:lang w:val="fr-FR"/>
              </w:rPr>
              <w:t> :</w:t>
            </w:r>
            <w:r w:rsidRPr="0022638F">
              <w:rPr>
                <w:lang w:val="fr-FR"/>
              </w:rPr>
              <w:tab/>
            </w:r>
            <w:r w:rsidRPr="0022638F">
              <w:rPr>
                <w:lang w:val="fr-FR"/>
              </w:rPr>
              <w:tab/>
              <w:t xml:space="preserve">Examen et suppression éventuelle de </w:t>
            </w:r>
            <w:r>
              <w:rPr>
                <w:lang w:val="fr-FR"/>
              </w:rPr>
              <w:t xml:space="preserve">la possibilité que les dispositifs soient entraînés </w:t>
            </w:r>
            <w:r w:rsidRPr="0022638F">
              <w:rPr>
                <w:lang w:val="fr-FR"/>
              </w:rPr>
              <w:t xml:space="preserve">par le </w:t>
            </w:r>
            <w:r>
              <w:rPr>
                <w:lang w:val="fr-FR"/>
              </w:rPr>
              <w:t>déplacement</w:t>
            </w:r>
            <w:r w:rsidRPr="0022638F">
              <w:rPr>
                <w:lang w:val="fr-FR"/>
              </w:rPr>
              <w:t xml:space="preserve"> du véhicule</w:t>
            </w:r>
          </w:p>
          <w:p w14:paraId="2EE86B83" w14:textId="77777777" w:rsidR="00CC6BF8" w:rsidRPr="0022638F" w:rsidRDefault="00CC6BF8" w:rsidP="003A2767">
            <w:pPr>
              <w:pStyle w:val="SingleTxtG"/>
              <w:rPr>
                <w:lang w:val="fr-FR"/>
              </w:rPr>
            </w:pPr>
            <w:r w:rsidRPr="005A7D72">
              <w:rPr>
                <w:b/>
                <w:bCs/>
                <w:lang w:val="fr-FR"/>
              </w:rPr>
              <w:t>Documents connexes :</w:t>
            </w:r>
            <w:r w:rsidRPr="0022638F">
              <w:rPr>
                <w:lang w:val="fr-FR"/>
              </w:rPr>
              <w:tab/>
              <w:t>s.o.</w:t>
            </w:r>
          </w:p>
        </w:tc>
      </w:tr>
      <w:tr w:rsidR="00CC6BF8" w:rsidRPr="0022638F" w14:paraId="571E939E" w14:textId="77777777" w:rsidTr="003A2767">
        <w:trPr>
          <w:jc w:val="center"/>
        </w:trPr>
        <w:tc>
          <w:tcPr>
            <w:tcW w:w="9637" w:type="dxa"/>
            <w:shd w:val="clear" w:color="auto" w:fill="auto"/>
          </w:tcPr>
          <w:p w14:paraId="04B60D08" w14:textId="77777777" w:rsidR="00CC6BF8" w:rsidRPr="0022638F" w:rsidRDefault="00CC6BF8" w:rsidP="003A2767">
            <w:pPr>
              <w:rPr>
                <w:lang w:val="fr-FR"/>
              </w:rPr>
            </w:pPr>
          </w:p>
        </w:tc>
      </w:tr>
    </w:tbl>
    <w:p w14:paraId="0B7A19FD" w14:textId="5E62DF45" w:rsidR="00CC6BF8" w:rsidRPr="0022638F" w:rsidRDefault="00CC6BF8" w:rsidP="00CC6BF8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22638F">
        <w:rPr>
          <w:lang w:val="fr-FR"/>
        </w:rPr>
        <w:t>Introduction</w:t>
      </w:r>
    </w:p>
    <w:p w14:paraId="6643B8AE" w14:textId="59EFD7E3" w:rsidR="00CC6BF8" w:rsidRPr="0022638F" w:rsidRDefault="00CC6BF8" w:rsidP="00CC6BF8">
      <w:pPr>
        <w:pStyle w:val="SingleTxtG"/>
        <w:numPr>
          <w:ilvl w:val="0"/>
          <w:numId w:val="17"/>
        </w:numPr>
        <w:ind w:left="1134" w:firstLine="0"/>
        <w:rPr>
          <w:lang w:val="fr-FR"/>
        </w:rPr>
      </w:pPr>
      <w:r>
        <w:rPr>
          <w:lang w:val="fr-FR"/>
        </w:rPr>
        <w:t>Des prescriptions d’essai applicables aux</w:t>
      </w:r>
      <w:r w:rsidRPr="0022638F">
        <w:rPr>
          <w:lang w:val="fr-FR"/>
        </w:rPr>
        <w:t xml:space="preserve"> dispositifs thermiques frigorifiques dont le compresseur est directement </w:t>
      </w:r>
      <w:r>
        <w:rPr>
          <w:lang w:val="fr-FR"/>
        </w:rPr>
        <w:t>entraîn</w:t>
      </w:r>
      <w:r w:rsidRPr="0022638F">
        <w:rPr>
          <w:lang w:val="fr-FR"/>
        </w:rPr>
        <w:t xml:space="preserve">é par le </w:t>
      </w:r>
      <w:r>
        <w:rPr>
          <w:lang w:val="fr-FR"/>
        </w:rPr>
        <w:t>déplacement</w:t>
      </w:r>
      <w:r w:rsidRPr="0022638F">
        <w:rPr>
          <w:lang w:val="fr-FR"/>
        </w:rPr>
        <w:t xml:space="preserve"> du véhicule sont énoncées au dernier paragraphe de l</w:t>
      </w:r>
      <w:r>
        <w:rPr>
          <w:lang w:val="fr-FR"/>
        </w:rPr>
        <w:t>’</w:t>
      </w:r>
      <w:r w:rsidRPr="0022638F">
        <w:rPr>
          <w:lang w:val="fr-FR"/>
        </w:rPr>
        <w:t>alinéa</w:t>
      </w:r>
      <w:r>
        <w:rPr>
          <w:lang w:val="fr-FR"/>
        </w:rPr>
        <w:t> </w:t>
      </w:r>
      <w:r w:rsidRPr="0022638F">
        <w:rPr>
          <w:lang w:val="fr-FR"/>
        </w:rPr>
        <w:t xml:space="preserve">b) du </w:t>
      </w:r>
      <w:r>
        <w:rPr>
          <w:lang w:val="fr-FR"/>
        </w:rPr>
        <w:t xml:space="preserve">paragraphe </w:t>
      </w:r>
      <w:r w:rsidRPr="0022638F">
        <w:rPr>
          <w:lang w:val="fr-FR"/>
        </w:rPr>
        <w:t>4.3.1 de l</w:t>
      </w:r>
      <w:r>
        <w:rPr>
          <w:lang w:val="fr-FR"/>
        </w:rPr>
        <w:t>’</w:t>
      </w:r>
      <w:r w:rsidRPr="0022638F">
        <w:rPr>
          <w:lang w:val="fr-FR"/>
        </w:rPr>
        <w:t>appendice 2 de l</w:t>
      </w:r>
      <w:r>
        <w:rPr>
          <w:lang w:val="fr-FR"/>
        </w:rPr>
        <w:t>’</w:t>
      </w:r>
      <w:r w:rsidRPr="0022638F">
        <w:rPr>
          <w:lang w:val="fr-FR"/>
        </w:rPr>
        <w:t xml:space="preserve">annexe 1. </w:t>
      </w:r>
    </w:p>
    <w:p w14:paraId="4F10C6C6" w14:textId="57611427" w:rsidR="00CC6BF8" w:rsidRPr="0022638F" w:rsidRDefault="00CC6BF8" w:rsidP="00CC6BF8">
      <w:pPr>
        <w:pStyle w:val="SingleTxtG"/>
        <w:keepLines/>
        <w:numPr>
          <w:ilvl w:val="0"/>
          <w:numId w:val="17"/>
        </w:numPr>
        <w:ind w:left="1134" w:firstLine="0"/>
        <w:rPr>
          <w:lang w:val="fr-FR"/>
        </w:rPr>
      </w:pPr>
      <w:r w:rsidRPr="0022638F">
        <w:rPr>
          <w:lang w:val="fr-FR"/>
        </w:rPr>
        <w:lastRenderedPageBreak/>
        <w:t>Plusieurs observations peuvent être faites concernant ce type de dispositif (par</w:t>
      </w:r>
      <w:r>
        <w:rPr>
          <w:lang w:val="fr-FR"/>
        </w:rPr>
        <w:t> </w:t>
      </w:r>
      <w:r w:rsidRPr="0022638F">
        <w:rPr>
          <w:lang w:val="fr-FR"/>
        </w:rPr>
        <w:t>exemple, est-il obsolète, doit-il être considéré comme non autonome), mais la principale préoccupation est liée au fait que, lorsque le véhicule doit s</w:t>
      </w:r>
      <w:r>
        <w:rPr>
          <w:lang w:val="fr-FR"/>
        </w:rPr>
        <w:t>’</w:t>
      </w:r>
      <w:r w:rsidRPr="0022638F">
        <w:rPr>
          <w:lang w:val="fr-FR"/>
        </w:rPr>
        <w:t xml:space="preserve">arrêter, la production de froid est interrompue, </w:t>
      </w:r>
      <w:r>
        <w:rPr>
          <w:lang w:val="fr-FR"/>
        </w:rPr>
        <w:t>y compris</w:t>
      </w:r>
      <w:r w:rsidRPr="0022638F">
        <w:rPr>
          <w:lang w:val="fr-FR"/>
        </w:rPr>
        <w:t xml:space="preserve"> en cas d</w:t>
      </w:r>
      <w:r>
        <w:rPr>
          <w:lang w:val="fr-FR"/>
        </w:rPr>
        <w:t>’</w:t>
      </w:r>
      <w:r w:rsidRPr="0022638F">
        <w:rPr>
          <w:lang w:val="fr-FR"/>
        </w:rPr>
        <w:t>attente prolongée dans les ports ou aux frontières</w:t>
      </w:r>
      <w:r>
        <w:rPr>
          <w:lang w:val="fr-FR"/>
        </w:rPr>
        <w:t>,</w:t>
      </w:r>
      <w:r w:rsidRPr="0022638F">
        <w:rPr>
          <w:lang w:val="fr-FR"/>
        </w:rPr>
        <w:t xml:space="preserve"> ou lors de </w:t>
      </w:r>
      <w:r>
        <w:rPr>
          <w:lang w:val="fr-FR"/>
        </w:rPr>
        <w:t>trajets nécessitant de s’arrêter pour passer la nuit</w:t>
      </w:r>
      <w:r w:rsidRPr="0022638F">
        <w:rPr>
          <w:lang w:val="fr-FR"/>
        </w:rPr>
        <w:t xml:space="preserve">. Sans système de secours, la température risque de ne pas être maintenue au niveau souhaité au cours de longs trajets et la sécurité </w:t>
      </w:r>
      <w:r>
        <w:rPr>
          <w:lang w:val="fr-FR"/>
        </w:rPr>
        <w:t>sanitaire des aliments</w:t>
      </w:r>
      <w:r w:rsidRPr="0022638F">
        <w:rPr>
          <w:lang w:val="fr-FR"/>
        </w:rPr>
        <w:t xml:space="preserve"> n</w:t>
      </w:r>
      <w:r>
        <w:rPr>
          <w:lang w:val="fr-FR"/>
        </w:rPr>
        <w:t>’</w:t>
      </w:r>
      <w:r w:rsidRPr="0022638F">
        <w:rPr>
          <w:lang w:val="fr-FR"/>
        </w:rPr>
        <w:t>est pas garantie.</w:t>
      </w:r>
    </w:p>
    <w:p w14:paraId="51A6726B" w14:textId="5AD7EAD9" w:rsidR="00CC6BF8" w:rsidRPr="0022638F" w:rsidRDefault="00CC6BF8" w:rsidP="00CC6BF8">
      <w:pPr>
        <w:pStyle w:val="SingleTxtG"/>
        <w:numPr>
          <w:ilvl w:val="0"/>
          <w:numId w:val="17"/>
        </w:numPr>
        <w:ind w:left="1134" w:firstLine="0"/>
        <w:rPr>
          <w:lang w:val="fr-FR"/>
        </w:rPr>
      </w:pPr>
      <w:r w:rsidRPr="0022638F">
        <w:rPr>
          <w:lang w:val="fr-FR"/>
        </w:rPr>
        <w:t>Étant donné que ce système est considéré comme obsolète et qu</w:t>
      </w:r>
      <w:r>
        <w:rPr>
          <w:lang w:val="fr-FR"/>
        </w:rPr>
        <w:t>’</w:t>
      </w:r>
      <w:r w:rsidRPr="0022638F">
        <w:rPr>
          <w:lang w:val="fr-FR"/>
        </w:rPr>
        <w:t xml:space="preserve">il suscite des préoccupations en matière de sécurité </w:t>
      </w:r>
      <w:r>
        <w:rPr>
          <w:lang w:val="fr-FR"/>
        </w:rPr>
        <w:t xml:space="preserve">sanitaire des </w:t>
      </w:r>
      <w:r w:rsidRPr="0022638F">
        <w:rPr>
          <w:lang w:val="fr-FR"/>
        </w:rPr>
        <w:t>aliment</w:t>
      </w:r>
      <w:r>
        <w:rPr>
          <w:lang w:val="fr-FR"/>
        </w:rPr>
        <w:t>s</w:t>
      </w:r>
      <w:r w:rsidRPr="0022638F">
        <w:rPr>
          <w:lang w:val="fr-FR"/>
        </w:rPr>
        <w:t xml:space="preserve">, il convient </w:t>
      </w:r>
      <w:r>
        <w:rPr>
          <w:lang w:val="fr-FR"/>
        </w:rPr>
        <w:t>de se demander</w:t>
      </w:r>
      <w:r w:rsidRPr="0022638F">
        <w:rPr>
          <w:lang w:val="fr-FR"/>
        </w:rPr>
        <w:t xml:space="preserve"> s</w:t>
      </w:r>
      <w:r>
        <w:rPr>
          <w:lang w:val="fr-FR"/>
        </w:rPr>
        <w:t>’</w:t>
      </w:r>
      <w:r w:rsidRPr="0022638F">
        <w:rPr>
          <w:lang w:val="fr-FR"/>
        </w:rPr>
        <w:t xml:space="preserve">il peut être </w:t>
      </w:r>
      <w:r>
        <w:rPr>
          <w:lang w:val="fr-FR"/>
        </w:rPr>
        <w:t>abandonné</w:t>
      </w:r>
      <w:r w:rsidRPr="0022638F">
        <w:rPr>
          <w:lang w:val="fr-FR"/>
        </w:rPr>
        <w:t>. S</w:t>
      </w:r>
      <w:r>
        <w:rPr>
          <w:lang w:val="fr-FR"/>
        </w:rPr>
        <w:t>i la réponse est non</w:t>
      </w:r>
      <w:r w:rsidRPr="0022638F">
        <w:rPr>
          <w:lang w:val="fr-FR"/>
        </w:rPr>
        <w:t xml:space="preserve">, il </w:t>
      </w:r>
      <w:r>
        <w:rPr>
          <w:lang w:val="fr-FR"/>
        </w:rPr>
        <w:t>faudrait</w:t>
      </w:r>
      <w:r w:rsidRPr="0022638F">
        <w:rPr>
          <w:lang w:val="fr-FR"/>
        </w:rPr>
        <w:t xml:space="preserve"> débattre de la nécessité d</w:t>
      </w:r>
      <w:r>
        <w:rPr>
          <w:lang w:val="fr-FR"/>
        </w:rPr>
        <w:t>’</w:t>
      </w:r>
      <w:r w:rsidRPr="0022638F">
        <w:rPr>
          <w:lang w:val="fr-FR"/>
        </w:rPr>
        <w:t xml:space="preserve">ajouter </w:t>
      </w:r>
      <w:r>
        <w:rPr>
          <w:lang w:val="fr-FR"/>
        </w:rPr>
        <w:t xml:space="preserve">des dispositions le visant </w:t>
      </w:r>
      <w:r w:rsidRPr="0022638F">
        <w:rPr>
          <w:lang w:val="fr-FR"/>
        </w:rPr>
        <w:t xml:space="preserve">au </w:t>
      </w:r>
      <w:r>
        <w:rPr>
          <w:lang w:val="fr-FR"/>
        </w:rPr>
        <w:t>paragraphe</w:t>
      </w:r>
      <w:r>
        <w:rPr>
          <w:lang w:val="fr-FR"/>
        </w:rPr>
        <w:t> </w:t>
      </w:r>
      <w:r w:rsidRPr="0022638F">
        <w:rPr>
          <w:lang w:val="fr-FR"/>
        </w:rPr>
        <w:t>6.2.2 de l</w:t>
      </w:r>
      <w:r>
        <w:rPr>
          <w:lang w:val="fr-FR"/>
        </w:rPr>
        <w:t>’</w:t>
      </w:r>
      <w:r w:rsidRPr="0022638F">
        <w:rPr>
          <w:lang w:val="fr-FR"/>
        </w:rPr>
        <w:t>appendice</w:t>
      </w:r>
      <w:r>
        <w:rPr>
          <w:lang w:val="fr-FR"/>
        </w:rPr>
        <w:t> </w:t>
      </w:r>
      <w:r w:rsidRPr="0022638F">
        <w:rPr>
          <w:lang w:val="fr-FR"/>
        </w:rPr>
        <w:t>2 de l</w:t>
      </w:r>
      <w:r>
        <w:rPr>
          <w:lang w:val="fr-FR"/>
        </w:rPr>
        <w:t>’</w:t>
      </w:r>
      <w:r w:rsidRPr="0022638F">
        <w:rPr>
          <w:lang w:val="fr-FR"/>
        </w:rPr>
        <w:t>annexe</w:t>
      </w:r>
      <w:r>
        <w:rPr>
          <w:lang w:val="fr-FR"/>
        </w:rPr>
        <w:t> </w:t>
      </w:r>
      <w:r w:rsidRPr="0022638F">
        <w:rPr>
          <w:lang w:val="fr-FR"/>
        </w:rPr>
        <w:t>1 et au</w:t>
      </w:r>
      <w:r>
        <w:rPr>
          <w:lang w:val="fr-FR"/>
        </w:rPr>
        <w:t xml:space="preserve"> paragraphe</w:t>
      </w:r>
      <w:r>
        <w:rPr>
          <w:lang w:val="fr-FR"/>
        </w:rPr>
        <w:t> </w:t>
      </w:r>
      <w:r w:rsidRPr="0022638F">
        <w:rPr>
          <w:lang w:val="fr-FR"/>
        </w:rPr>
        <w:t>2.1 de l</w:t>
      </w:r>
      <w:r>
        <w:rPr>
          <w:lang w:val="fr-FR"/>
        </w:rPr>
        <w:t>’</w:t>
      </w:r>
      <w:r w:rsidRPr="0022638F">
        <w:rPr>
          <w:lang w:val="fr-FR"/>
        </w:rPr>
        <w:t>appendice</w:t>
      </w:r>
      <w:r>
        <w:rPr>
          <w:lang w:val="fr-FR"/>
        </w:rPr>
        <w:t> </w:t>
      </w:r>
      <w:r w:rsidRPr="0022638F">
        <w:rPr>
          <w:lang w:val="fr-FR"/>
        </w:rPr>
        <w:t>4 de l</w:t>
      </w:r>
      <w:r>
        <w:rPr>
          <w:lang w:val="fr-FR"/>
        </w:rPr>
        <w:t>’</w:t>
      </w:r>
      <w:r w:rsidRPr="0022638F">
        <w:rPr>
          <w:lang w:val="fr-FR"/>
        </w:rPr>
        <w:t>annexe</w:t>
      </w:r>
      <w:r>
        <w:rPr>
          <w:lang w:val="fr-FR"/>
        </w:rPr>
        <w:t> </w:t>
      </w:r>
      <w:r w:rsidRPr="0022638F">
        <w:rPr>
          <w:lang w:val="fr-FR"/>
        </w:rPr>
        <w:t>1.</w:t>
      </w:r>
    </w:p>
    <w:p w14:paraId="79806090" w14:textId="77777777" w:rsidR="00CC6BF8" w:rsidRPr="0022638F" w:rsidRDefault="00CC6BF8" w:rsidP="00CC6BF8">
      <w:pPr>
        <w:pStyle w:val="SingleTxtG"/>
        <w:numPr>
          <w:ilvl w:val="0"/>
          <w:numId w:val="17"/>
        </w:numPr>
        <w:ind w:left="1134" w:firstLine="0"/>
        <w:rPr>
          <w:lang w:val="fr-FR"/>
        </w:rPr>
      </w:pPr>
      <w:r w:rsidRPr="0022638F">
        <w:rPr>
          <w:lang w:val="fr-FR"/>
        </w:rPr>
        <w:t>Le présent document ne vise pas à empêcher l</w:t>
      </w:r>
      <w:r>
        <w:rPr>
          <w:lang w:val="fr-FR"/>
        </w:rPr>
        <w:t>’</w:t>
      </w:r>
      <w:r w:rsidRPr="0022638F">
        <w:rPr>
          <w:lang w:val="fr-FR"/>
        </w:rPr>
        <w:t xml:space="preserve">utilisation des </w:t>
      </w:r>
      <w:r>
        <w:rPr>
          <w:lang w:val="fr-FR"/>
        </w:rPr>
        <w:t>« </w:t>
      </w:r>
      <w:r w:rsidRPr="0022638F">
        <w:rPr>
          <w:lang w:val="fr-FR"/>
        </w:rPr>
        <w:t>essieux électriques</w:t>
      </w:r>
      <w:r>
        <w:rPr>
          <w:lang w:val="fr-FR"/>
        </w:rPr>
        <w:t> »</w:t>
      </w:r>
      <w:r w:rsidRPr="0022638F">
        <w:rPr>
          <w:lang w:val="fr-FR"/>
        </w:rPr>
        <w:t xml:space="preserve"> sur les remorques, car le dispositif mécanique est </w:t>
      </w:r>
      <w:r>
        <w:rPr>
          <w:lang w:val="fr-FR"/>
        </w:rPr>
        <w:t xml:space="preserve">entraîné </w:t>
      </w:r>
      <w:r w:rsidRPr="0022638F">
        <w:rPr>
          <w:lang w:val="fr-FR"/>
        </w:rPr>
        <w:t>par l</w:t>
      </w:r>
      <w:r>
        <w:rPr>
          <w:lang w:val="fr-FR"/>
        </w:rPr>
        <w:t>’</w:t>
      </w:r>
      <w:r w:rsidRPr="0022638F">
        <w:rPr>
          <w:lang w:val="fr-FR"/>
        </w:rPr>
        <w:t>énergie électrique fournie par l</w:t>
      </w:r>
      <w:r>
        <w:rPr>
          <w:lang w:val="fr-FR"/>
        </w:rPr>
        <w:t>’</w:t>
      </w:r>
      <w:r w:rsidRPr="0022638F">
        <w:rPr>
          <w:lang w:val="fr-FR"/>
        </w:rPr>
        <w:t>essieu. Il est supposé que ces dispositifs sont équipés de batteries tampon et qu</w:t>
      </w:r>
      <w:r>
        <w:rPr>
          <w:lang w:val="fr-FR"/>
        </w:rPr>
        <w:t>’</w:t>
      </w:r>
      <w:r w:rsidRPr="0022638F">
        <w:rPr>
          <w:lang w:val="fr-FR"/>
        </w:rPr>
        <w:t>ils peuvent être branchés sur le réseau électrique pendant les périodes d</w:t>
      </w:r>
      <w:r>
        <w:rPr>
          <w:lang w:val="fr-FR"/>
        </w:rPr>
        <w:t>’</w:t>
      </w:r>
      <w:r w:rsidRPr="0022638F">
        <w:rPr>
          <w:lang w:val="fr-FR"/>
        </w:rPr>
        <w:t>attente plus longues.</w:t>
      </w:r>
    </w:p>
    <w:p w14:paraId="4D057184" w14:textId="77777777" w:rsidR="00CC6BF8" w:rsidRPr="0022638F" w:rsidRDefault="00CC6BF8" w:rsidP="00CC6BF8">
      <w:pPr>
        <w:pStyle w:val="HChG"/>
        <w:rPr>
          <w:lang w:val="fr-FR"/>
        </w:rPr>
      </w:pPr>
      <w:r w:rsidRPr="0022638F">
        <w:rPr>
          <w:lang w:val="fr-FR"/>
        </w:rPr>
        <w:tab/>
      </w:r>
      <w:r w:rsidRPr="0022638F">
        <w:rPr>
          <w:lang w:val="fr-FR"/>
        </w:rPr>
        <w:tab/>
        <w:t>Propositions</w:t>
      </w:r>
    </w:p>
    <w:p w14:paraId="64E0C2DF" w14:textId="77777777" w:rsidR="00CC6BF8" w:rsidRPr="0022638F" w:rsidRDefault="00CC6BF8" w:rsidP="00CC6BF8">
      <w:pPr>
        <w:pStyle w:val="H23G"/>
        <w:rPr>
          <w:rFonts w:eastAsia="Calibri"/>
          <w:lang w:val="fr-FR"/>
        </w:rPr>
      </w:pPr>
      <w:r w:rsidRPr="0022638F">
        <w:rPr>
          <w:lang w:val="fr-FR"/>
        </w:rPr>
        <w:tab/>
      </w:r>
      <w:r w:rsidRPr="0022638F">
        <w:rPr>
          <w:lang w:val="fr-FR"/>
        </w:rPr>
        <w:tab/>
        <w:t>Option 1</w:t>
      </w:r>
      <w:r>
        <w:rPr>
          <w:lang w:val="fr-FR"/>
        </w:rPr>
        <w:t> :</w:t>
      </w:r>
      <w:r w:rsidRPr="0022638F">
        <w:rPr>
          <w:lang w:val="fr-FR"/>
        </w:rPr>
        <w:t xml:space="preserve"> </w:t>
      </w:r>
      <w:r>
        <w:rPr>
          <w:lang w:val="fr-FR"/>
        </w:rPr>
        <w:t>abandon</w:t>
      </w:r>
      <w:r w:rsidRPr="0022638F">
        <w:rPr>
          <w:lang w:val="fr-FR"/>
        </w:rPr>
        <w:t xml:space="preserve"> d</w:t>
      </w:r>
      <w:r>
        <w:rPr>
          <w:lang w:val="fr-FR"/>
        </w:rPr>
        <w:t>u</w:t>
      </w:r>
      <w:r w:rsidRPr="0022638F">
        <w:rPr>
          <w:lang w:val="fr-FR"/>
        </w:rPr>
        <w:t xml:space="preserve"> système </w:t>
      </w:r>
    </w:p>
    <w:p w14:paraId="1DA0D0C3" w14:textId="70455DEA" w:rsidR="00CC6BF8" w:rsidRPr="0022638F" w:rsidRDefault="00CC6BF8" w:rsidP="00CC6BF8">
      <w:pPr>
        <w:pStyle w:val="SingleTxtG"/>
        <w:numPr>
          <w:ilvl w:val="0"/>
          <w:numId w:val="17"/>
        </w:numPr>
        <w:ind w:left="1134" w:firstLine="0"/>
        <w:rPr>
          <w:rFonts w:eastAsia="Calibri"/>
          <w:lang w:val="fr-FR"/>
        </w:rPr>
      </w:pPr>
      <w:r w:rsidRPr="0022638F">
        <w:rPr>
          <w:lang w:val="fr-FR"/>
        </w:rPr>
        <w:t>Supprimer le dernier paragraphe de l</w:t>
      </w:r>
      <w:r>
        <w:rPr>
          <w:lang w:val="fr-FR"/>
        </w:rPr>
        <w:t>’</w:t>
      </w:r>
      <w:r w:rsidRPr="0022638F">
        <w:rPr>
          <w:lang w:val="fr-FR"/>
        </w:rPr>
        <w:t xml:space="preserve">alinéa b) </w:t>
      </w:r>
      <w:r>
        <w:rPr>
          <w:lang w:val="fr-FR"/>
        </w:rPr>
        <w:t xml:space="preserve">du paragraphe </w:t>
      </w:r>
      <w:r w:rsidRPr="00B977C7">
        <w:rPr>
          <w:lang w:val="fr-FR"/>
        </w:rPr>
        <w:t xml:space="preserve">4.3.1 </w:t>
      </w:r>
      <w:r w:rsidRPr="0022638F">
        <w:rPr>
          <w:lang w:val="fr-FR"/>
        </w:rPr>
        <w:t>de l</w:t>
      </w:r>
      <w:r>
        <w:rPr>
          <w:lang w:val="fr-FR"/>
        </w:rPr>
        <w:t>’</w:t>
      </w:r>
      <w:r w:rsidRPr="0022638F">
        <w:rPr>
          <w:lang w:val="fr-FR"/>
        </w:rPr>
        <w:t>appendice 2 de l</w:t>
      </w:r>
      <w:r>
        <w:rPr>
          <w:lang w:val="fr-FR"/>
        </w:rPr>
        <w:t>’</w:t>
      </w:r>
      <w:r w:rsidRPr="0022638F">
        <w:rPr>
          <w:lang w:val="fr-FR"/>
        </w:rPr>
        <w:t>annexe 1 (le</w:t>
      </w:r>
      <w:r>
        <w:rPr>
          <w:lang w:val="fr-FR"/>
        </w:rPr>
        <w:t>s</w:t>
      </w:r>
      <w:r>
        <w:rPr>
          <w:lang w:val="fr-FR"/>
        </w:rPr>
        <w:t> </w:t>
      </w:r>
      <w:r>
        <w:rPr>
          <w:lang w:val="fr-FR"/>
        </w:rPr>
        <w:t>modifications figurent en caractères biffés pour les suppressions</w:t>
      </w:r>
      <w:r w:rsidRPr="0022638F">
        <w:rPr>
          <w:lang w:val="fr-FR"/>
        </w:rPr>
        <w:t>) :</w:t>
      </w:r>
    </w:p>
    <w:p w14:paraId="3D7583F5" w14:textId="48D15CFF" w:rsidR="00CC6BF8" w:rsidRPr="0022638F" w:rsidRDefault="00CC6BF8" w:rsidP="00CC6BF8">
      <w:pPr>
        <w:tabs>
          <w:tab w:val="left" w:pos="1134"/>
        </w:tabs>
        <w:spacing w:after="240"/>
        <w:ind w:left="1134" w:right="1134"/>
        <w:jc w:val="both"/>
        <w:rPr>
          <w:rFonts w:eastAsia="Calibri"/>
          <w:strike/>
          <w:lang w:val="fr-FR"/>
        </w:rPr>
      </w:pPr>
      <w:r w:rsidRPr="00BC562E">
        <w:rPr>
          <w:lang w:val="fr-FR"/>
        </w:rPr>
        <w:t>«</w:t>
      </w:r>
      <w:r>
        <w:rPr>
          <w:lang w:val="fr-FR"/>
        </w:rPr>
        <w:t> </w:t>
      </w:r>
      <w:r w:rsidRPr="0022638F">
        <w:rPr>
          <w:strike/>
          <w:lang w:val="fr-FR"/>
        </w:rPr>
        <w:t xml:space="preserve">Si le compresseur frigorifique est entraîné par le </w:t>
      </w:r>
      <w:r>
        <w:rPr>
          <w:strike/>
          <w:lang w:val="fr-FR"/>
        </w:rPr>
        <w:t xml:space="preserve">déplacement </w:t>
      </w:r>
      <w:r w:rsidRPr="0022638F">
        <w:rPr>
          <w:strike/>
          <w:lang w:val="fr-FR"/>
        </w:rPr>
        <w:t>du véhicule, l</w:t>
      </w:r>
      <w:r>
        <w:rPr>
          <w:strike/>
          <w:lang w:val="fr-FR"/>
        </w:rPr>
        <w:t>’</w:t>
      </w:r>
      <w:r w:rsidRPr="0022638F">
        <w:rPr>
          <w:strike/>
          <w:lang w:val="fr-FR"/>
        </w:rPr>
        <w:t>essai sera effectué à la vitesse nominale du compresseur indiquée par le constructeur.</w:t>
      </w:r>
      <w:r>
        <w:rPr>
          <w:strike/>
          <w:lang w:val="fr-FR"/>
        </w:rPr>
        <w:t> </w:t>
      </w:r>
      <w:r w:rsidRPr="00BC562E">
        <w:rPr>
          <w:lang w:val="fr-FR"/>
        </w:rPr>
        <w:t>»</w:t>
      </w:r>
      <w:r>
        <w:rPr>
          <w:lang w:val="fr-FR"/>
        </w:rPr>
        <w:t>.</w:t>
      </w:r>
    </w:p>
    <w:p w14:paraId="605433E8" w14:textId="77777777" w:rsidR="00CC6BF8" w:rsidRPr="0022638F" w:rsidRDefault="00CC6BF8" w:rsidP="00CC6BF8">
      <w:pPr>
        <w:pStyle w:val="H23G"/>
        <w:spacing w:line="240" w:lineRule="atLeast"/>
        <w:rPr>
          <w:rFonts w:eastAsia="Calibri"/>
          <w:lang w:val="fr-FR"/>
        </w:rPr>
      </w:pPr>
      <w:r w:rsidRPr="0022638F">
        <w:rPr>
          <w:lang w:val="fr-FR"/>
        </w:rPr>
        <w:tab/>
      </w:r>
      <w:r w:rsidRPr="0022638F">
        <w:rPr>
          <w:lang w:val="fr-FR"/>
        </w:rPr>
        <w:tab/>
        <w:t>Option 2</w:t>
      </w:r>
      <w:r>
        <w:rPr>
          <w:lang w:val="fr-FR"/>
        </w:rPr>
        <w:t> :</w:t>
      </w:r>
      <w:r w:rsidRPr="0022638F">
        <w:rPr>
          <w:lang w:val="fr-FR"/>
        </w:rPr>
        <w:t xml:space="preserve"> maintien de ce système et mise à jour de l</w:t>
      </w:r>
      <w:r>
        <w:rPr>
          <w:lang w:val="fr-FR"/>
        </w:rPr>
        <w:t>’</w:t>
      </w:r>
      <w:r w:rsidRPr="0022638F">
        <w:rPr>
          <w:lang w:val="fr-FR"/>
        </w:rPr>
        <w:t>ATP</w:t>
      </w:r>
    </w:p>
    <w:p w14:paraId="19582652" w14:textId="77777777" w:rsidR="00CC6BF8" w:rsidRDefault="00CC6BF8" w:rsidP="00CC6BF8">
      <w:pPr>
        <w:pStyle w:val="SingleTxtG"/>
        <w:numPr>
          <w:ilvl w:val="0"/>
          <w:numId w:val="17"/>
        </w:numPr>
        <w:ind w:left="1134" w:firstLine="0"/>
        <w:rPr>
          <w:rFonts w:eastAsia="Calibri"/>
          <w:lang w:val="fr-FR"/>
        </w:rPr>
      </w:pPr>
      <w:r>
        <w:rPr>
          <w:lang w:val="fr-FR"/>
        </w:rPr>
        <w:t xml:space="preserve">Les modifications </w:t>
      </w:r>
      <w:r w:rsidRPr="00FD6064">
        <w:rPr>
          <w:lang w:val="fr-FR"/>
        </w:rPr>
        <w:t xml:space="preserve">figurent en caractères </w:t>
      </w:r>
      <w:r w:rsidRPr="00A20428">
        <w:rPr>
          <w:u w:val="single"/>
          <w:lang w:val="fr-FR"/>
        </w:rPr>
        <w:t>soulignés</w:t>
      </w:r>
      <w:r>
        <w:rPr>
          <w:lang w:val="fr-FR"/>
        </w:rPr>
        <w:t xml:space="preserve"> </w:t>
      </w:r>
      <w:r w:rsidRPr="00FD6064">
        <w:rPr>
          <w:lang w:val="fr-FR"/>
        </w:rPr>
        <w:t xml:space="preserve">pour les ajouts et </w:t>
      </w:r>
      <w:r w:rsidRPr="00A20428">
        <w:rPr>
          <w:strike/>
          <w:lang w:val="fr-FR"/>
        </w:rPr>
        <w:t>biffés</w:t>
      </w:r>
      <w:r w:rsidRPr="00FD6064">
        <w:rPr>
          <w:lang w:val="fr-FR"/>
        </w:rPr>
        <w:t xml:space="preserve"> pour les suppressions</w:t>
      </w:r>
      <w:r w:rsidRPr="0022638F">
        <w:rPr>
          <w:lang w:val="fr-FR"/>
        </w:rPr>
        <w:t>.</w:t>
      </w:r>
    </w:p>
    <w:p w14:paraId="65C2E5DD" w14:textId="58CB3941" w:rsidR="00CC6BF8" w:rsidRPr="0022638F" w:rsidRDefault="00CC6BF8" w:rsidP="00CC6BF8">
      <w:pPr>
        <w:pStyle w:val="SingleTxtG"/>
        <w:rPr>
          <w:rFonts w:eastAsia="Calibri"/>
          <w:lang w:val="fr-FR"/>
        </w:rPr>
      </w:pPr>
      <w:r w:rsidRPr="0022638F">
        <w:rPr>
          <w:lang w:val="fr-FR"/>
        </w:rPr>
        <w:t>Première partie</w:t>
      </w:r>
      <w:r>
        <w:rPr>
          <w:lang w:val="fr-FR"/>
        </w:rPr>
        <w:t> :</w:t>
      </w:r>
      <w:r w:rsidRPr="0022638F">
        <w:rPr>
          <w:lang w:val="fr-FR"/>
        </w:rPr>
        <w:t xml:space="preserve"> </w:t>
      </w:r>
      <w:r>
        <w:rPr>
          <w:lang w:val="fr-FR"/>
        </w:rPr>
        <w:t>A</w:t>
      </w:r>
      <w:r w:rsidRPr="00460903">
        <w:rPr>
          <w:lang w:val="fr-FR"/>
        </w:rPr>
        <w:t>ppendice 2 de l</w:t>
      </w:r>
      <w:r>
        <w:rPr>
          <w:lang w:val="fr-FR"/>
        </w:rPr>
        <w:t>’</w:t>
      </w:r>
      <w:r w:rsidRPr="00460903">
        <w:rPr>
          <w:lang w:val="fr-FR"/>
        </w:rPr>
        <w:t>annexe 1,</w:t>
      </w:r>
      <w:r w:rsidRPr="0022638F">
        <w:rPr>
          <w:lang w:val="fr-FR"/>
        </w:rPr>
        <w:t xml:space="preserve"> lire</w:t>
      </w:r>
      <w:r>
        <w:rPr>
          <w:lang w:val="fr-FR"/>
        </w:rPr>
        <w:t> </w:t>
      </w:r>
      <w:r w:rsidRPr="0022638F">
        <w:rPr>
          <w:lang w:val="fr-FR"/>
        </w:rPr>
        <w:t>:</w:t>
      </w:r>
    </w:p>
    <w:p w14:paraId="00F93378" w14:textId="77777777" w:rsidR="00CC6BF8" w:rsidRPr="0022638F" w:rsidRDefault="00CC6BF8" w:rsidP="00CC6BF8">
      <w:pPr>
        <w:tabs>
          <w:tab w:val="left" w:pos="1134"/>
        </w:tabs>
        <w:spacing w:after="120"/>
        <w:ind w:left="1134" w:right="1134"/>
        <w:jc w:val="both"/>
        <w:rPr>
          <w:rFonts w:eastAsia="Calibri"/>
          <w:bCs/>
          <w:i/>
          <w:iCs/>
          <w:u w:val="single"/>
          <w:lang w:val="fr-FR"/>
        </w:rPr>
      </w:pPr>
      <w:r w:rsidRPr="0022638F">
        <w:rPr>
          <w:i/>
          <w:iCs/>
          <w:lang w:val="fr-FR"/>
        </w:rPr>
        <w:t>« 6.2.2</w:t>
      </w:r>
      <w:r>
        <w:rPr>
          <w:i/>
          <w:iCs/>
          <w:lang w:val="fr-FR"/>
        </w:rPr>
        <w:tab/>
      </w:r>
      <w:r w:rsidRPr="0022638F">
        <w:rPr>
          <w:lang w:val="fr-FR"/>
        </w:rPr>
        <w:tab/>
      </w:r>
      <w:r w:rsidRPr="0022638F">
        <w:rPr>
          <w:b/>
          <w:bCs/>
          <w:i/>
          <w:iCs/>
          <w:lang w:val="fr-FR"/>
        </w:rPr>
        <w:t>Engins non autonomes</w:t>
      </w:r>
    </w:p>
    <w:p w14:paraId="73383072" w14:textId="77777777" w:rsidR="00CC6BF8" w:rsidRPr="0022638F" w:rsidRDefault="00CC6BF8" w:rsidP="00CC6BF8">
      <w:pPr>
        <w:tabs>
          <w:tab w:val="left" w:pos="1701"/>
        </w:tabs>
        <w:spacing w:after="120"/>
        <w:ind w:left="1134" w:right="1134"/>
        <w:jc w:val="both"/>
        <w:rPr>
          <w:rFonts w:eastAsia="Calibri"/>
          <w:i/>
          <w:iCs/>
          <w:lang w:val="fr-FR"/>
        </w:rPr>
      </w:pPr>
      <w:r w:rsidRPr="0022638F">
        <w:rPr>
          <w:i/>
          <w:iCs/>
          <w:lang w:val="fr-FR"/>
        </w:rPr>
        <w:t>i)</w:t>
      </w:r>
      <w:r w:rsidRPr="0022638F">
        <w:rPr>
          <w:lang w:val="fr-FR"/>
        </w:rPr>
        <w:tab/>
      </w:r>
      <w:r w:rsidRPr="0022638F">
        <w:rPr>
          <w:i/>
          <w:iCs/>
          <w:lang w:val="fr-FR"/>
        </w:rPr>
        <w:t xml:space="preserve">Engins non autonomes dont le groupe de réfrigération est entraîné par le moteur du véhicule </w:t>
      </w:r>
      <w:r w:rsidRPr="0022638F">
        <w:rPr>
          <w:i/>
          <w:iCs/>
          <w:u w:val="single"/>
          <w:lang w:val="fr-FR"/>
        </w:rPr>
        <w:t xml:space="preserve">ou </w:t>
      </w:r>
      <w:r>
        <w:rPr>
          <w:i/>
          <w:iCs/>
          <w:u w:val="single"/>
          <w:lang w:val="fr-FR"/>
        </w:rPr>
        <w:t xml:space="preserve">par </w:t>
      </w:r>
      <w:r w:rsidRPr="0022638F">
        <w:rPr>
          <w:i/>
          <w:iCs/>
          <w:u w:val="single"/>
          <w:lang w:val="fr-FR"/>
        </w:rPr>
        <w:t xml:space="preserve">le </w:t>
      </w:r>
      <w:r>
        <w:rPr>
          <w:i/>
          <w:iCs/>
          <w:u w:val="single"/>
          <w:lang w:val="fr-FR"/>
        </w:rPr>
        <w:t>déplacement</w:t>
      </w:r>
      <w:r w:rsidRPr="0022638F">
        <w:rPr>
          <w:i/>
          <w:iCs/>
          <w:u w:val="single"/>
          <w:lang w:val="fr-FR"/>
        </w:rPr>
        <w:t xml:space="preserve"> du véhicule</w:t>
      </w:r>
      <w:r w:rsidRPr="0022638F">
        <w:rPr>
          <w:i/>
          <w:iCs/>
          <w:lang w:val="fr-FR"/>
        </w:rPr>
        <w:t>.</w:t>
      </w:r>
    </w:p>
    <w:p w14:paraId="4DA78BE9" w14:textId="77777777" w:rsidR="00CC6BF8" w:rsidRPr="0022638F" w:rsidRDefault="00CC6BF8" w:rsidP="00CC6BF8">
      <w:pPr>
        <w:tabs>
          <w:tab w:val="left" w:pos="1701"/>
        </w:tabs>
        <w:spacing w:after="120"/>
        <w:ind w:left="1134" w:right="1134"/>
        <w:jc w:val="both"/>
        <w:rPr>
          <w:rFonts w:eastAsia="Calibri"/>
          <w:i/>
          <w:iCs/>
          <w:lang w:val="fr-FR"/>
        </w:rPr>
      </w:pPr>
      <w:r w:rsidRPr="0022638F">
        <w:rPr>
          <w:i/>
          <w:iCs/>
          <w:lang w:val="fr-FR"/>
        </w:rPr>
        <w:t>On vérifiera que, lorsque la température extérieure n</w:t>
      </w:r>
      <w:r>
        <w:rPr>
          <w:i/>
          <w:iCs/>
          <w:lang w:val="fr-FR"/>
        </w:rPr>
        <w:t>’</w:t>
      </w:r>
      <w:r w:rsidRPr="0022638F">
        <w:rPr>
          <w:i/>
          <w:iCs/>
          <w:lang w:val="fr-FR"/>
        </w:rPr>
        <w:t>est pas inférieure à +15 °C, la température intérieure de l</w:t>
      </w:r>
      <w:r>
        <w:rPr>
          <w:i/>
          <w:iCs/>
          <w:lang w:val="fr-FR"/>
        </w:rPr>
        <w:t>’</w:t>
      </w:r>
      <w:r w:rsidRPr="0022638F">
        <w:rPr>
          <w:i/>
          <w:iCs/>
          <w:lang w:val="fr-FR"/>
        </w:rPr>
        <w:t xml:space="preserve">engin vide de tout chargement peut être maintenue à la température de classe, après descente en température et stabilisation, </w:t>
      </w:r>
      <w:r w:rsidRPr="00A20428">
        <w:rPr>
          <w:i/>
          <w:iCs/>
          <w:strike/>
          <w:lang w:val="fr-FR"/>
        </w:rPr>
        <w:t>lorsque</w:t>
      </w:r>
      <w:r>
        <w:rPr>
          <w:i/>
          <w:iCs/>
          <w:lang w:val="fr-FR"/>
        </w:rPr>
        <w:t xml:space="preserve"> </w:t>
      </w:r>
      <w:r>
        <w:rPr>
          <w:i/>
          <w:iCs/>
          <w:u w:val="single"/>
          <w:lang w:val="fr-FR"/>
        </w:rPr>
        <w:t>si</w:t>
      </w:r>
      <w:r w:rsidRPr="00D875EF">
        <w:rPr>
          <w:i/>
          <w:iCs/>
          <w:u w:val="single"/>
          <w:lang w:val="fr-FR"/>
        </w:rPr>
        <w:t xml:space="preserve"> le compresseur est entraîné à </w:t>
      </w:r>
      <w:r>
        <w:rPr>
          <w:i/>
          <w:iCs/>
          <w:u w:val="single"/>
          <w:lang w:val="fr-FR"/>
        </w:rPr>
        <w:t>une</w:t>
      </w:r>
      <w:r w:rsidRPr="00D875EF">
        <w:rPr>
          <w:i/>
          <w:iCs/>
          <w:u w:val="single"/>
          <w:lang w:val="fr-FR"/>
        </w:rPr>
        <w:t xml:space="preserve"> vitesse de rotation </w:t>
      </w:r>
      <w:r>
        <w:rPr>
          <w:i/>
          <w:iCs/>
          <w:u w:val="single"/>
          <w:lang w:val="fr-FR"/>
        </w:rPr>
        <w:t>correspondant au</w:t>
      </w:r>
      <w:r>
        <w:rPr>
          <w:i/>
          <w:iCs/>
          <w:lang w:val="fr-FR"/>
        </w:rPr>
        <w:t xml:space="preserve"> </w:t>
      </w:r>
      <w:r w:rsidRPr="00A20428">
        <w:rPr>
          <w:i/>
          <w:iCs/>
          <w:strike/>
          <w:lang w:val="fr-FR"/>
        </w:rPr>
        <w:t>le</w:t>
      </w:r>
      <w:r w:rsidRPr="00D875EF">
        <w:rPr>
          <w:i/>
          <w:iCs/>
          <w:lang w:val="fr-FR"/>
        </w:rPr>
        <w:t xml:space="preserve"> régime moteur du véhicule </w:t>
      </w:r>
      <w:r w:rsidRPr="00A20428">
        <w:rPr>
          <w:i/>
          <w:iCs/>
          <w:strike/>
          <w:lang w:val="fr-FR"/>
        </w:rPr>
        <w:t>est</w:t>
      </w:r>
      <w:r w:rsidRPr="00D875EF">
        <w:rPr>
          <w:i/>
          <w:iCs/>
          <w:lang w:val="fr-FR"/>
        </w:rPr>
        <w:t xml:space="preserve"> maintenu à la valeur de ralenti définie par le constructeur </w:t>
      </w:r>
      <w:r w:rsidRPr="00D875EF">
        <w:rPr>
          <w:i/>
          <w:iCs/>
          <w:u w:val="single"/>
          <w:lang w:val="fr-FR"/>
        </w:rPr>
        <w:t>du véhicule</w:t>
      </w:r>
      <w:r w:rsidRPr="00D875EF">
        <w:rPr>
          <w:i/>
          <w:iCs/>
          <w:lang w:val="fr-FR"/>
        </w:rPr>
        <w:t xml:space="preserve"> (si applicable)</w:t>
      </w:r>
      <w:r w:rsidRPr="00A20428">
        <w:rPr>
          <w:i/>
          <w:iCs/>
          <w:u w:val="single"/>
          <w:lang w:val="fr-FR"/>
        </w:rPr>
        <w:t xml:space="preserve">, </w:t>
      </w:r>
      <w:r w:rsidRPr="0022638F">
        <w:rPr>
          <w:i/>
          <w:iCs/>
          <w:u w:val="single"/>
          <w:lang w:val="fr-FR"/>
        </w:rPr>
        <w:t xml:space="preserve">ou </w:t>
      </w:r>
      <w:r>
        <w:rPr>
          <w:i/>
          <w:iCs/>
          <w:u w:val="single"/>
          <w:lang w:val="fr-FR"/>
        </w:rPr>
        <w:t>si</w:t>
      </w:r>
      <w:r w:rsidRPr="0022638F">
        <w:rPr>
          <w:i/>
          <w:iCs/>
          <w:u w:val="single"/>
          <w:lang w:val="fr-FR"/>
        </w:rPr>
        <w:t xml:space="preserve"> le compresseur</w:t>
      </w:r>
      <w:r>
        <w:rPr>
          <w:i/>
          <w:iCs/>
          <w:u w:val="single"/>
          <w:lang w:val="fr-FR"/>
        </w:rPr>
        <w:t xml:space="preserve">, </w:t>
      </w:r>
      <w:r w:rsidRPr="00DC6DBC">
        <w:rPr>
          <w:i/>
          <w:iCs/>
          <w:u w:val="single"/>
          <w:lang w:val="fr-FR"/>
        </w:rPr>
        <w:t>quand il est entraîné par le déplacement du véhicule</w:t>
      </w:r>
      <w:r>
        <w:rPr>
          <w:i/>
          <w:iCs/>
          <w:u w:val="single"/>
          <w:lang w:val="fr-FR"/>
        </w:rPr>
        <w:t>,</w:t>
      </w:r>
      <w:r w:rsidRPr="0022638F">
        <w:rPr>
          <w:i/>
          <w:iCs/>
          <w:u w:val="single"/>
          <w:lang w:val="fr-FR"/>
        </w:rPr>
        <w:t xml:space="preserve"> </w:t>
      </w:r>
      <w:r>
        <w:rPr>
          <w:i/>
          <w:iCs/>
          <w:u w:val="single"/>
          <w:lang w:val="fr-FR"/>
        </w:rPr>
        <w:t>l’</w:t>
      </w:r>
      <w:r w:rsidRPr="0022638F">
        <w:rPr>
          <w:i/>
          <w:iCs/>
          <w:u w:val="single"/>
          <w:lang w:val="fr-FR"/>
        </w:rPr>
        <w:t xml:space="preserve">est à la vitesse nominale de rotation fixée par le </w:t>
      </w:r>
      <w:r>
        <w:rPr>
          <w:i/>
          <w:iCs/>
          <w:u w:val="single"/>
          <w:lang w:val="fr-FR"/>
        </w:rPr>
        <w:t>fabricant</w:t>
      </w:r>
      <w:r w:rsidRPr="0022638F">
        <w:rPr>
          <w:i/>
          <w:iCs/>
          <w:u w:val="single"/>
          <w:lang w:val="fr-FR"/>
        </w:rPr>
        <w:t xml:space="preserve"> de l</w:t>
      </w:r>
      <w:r>
        <w:rPr>
          <w:i/>
          <w:iCs/>
          <w:u w:val="single"/>
          <w:lang w:val="fr-FR"/>
        </w:rPr>
        <w:t>’</w:t>
      </w:r>
      <w:r w:rsidRPr="0022638F">
        <w:rPr>
          <w:i/>
          <w:iCs/>
          <w:u w:val="single"/>
          <w:lang w:val="fr-FR"/>
        </w:rPr>
        <w:t xml:space="preserve">appareil, </w:t>
      </w:r>
      <w:r w:rsidRPr="0022638F">
        <w:rPr>
          <w:i/>
          <w:iCs/>
          <w:lang w:val="fr-FR"/>
        </w:rPr>
        <w:t>pendant une durée minimum d</w:t>
      </w:r>
      <w:r>
        <w:rPr>
          <w:i/>
          <w:iCs/>
          <w:lang w:val="fr-FR"/>
        </w:rPr>
        <w:t>’</w:t>
      </w:r>
      <w:r w:rsidRPr="0022638F">
        <w:rPr>
          <w:i/>
          <w:iCs/>
          <w:lang w:val="fr-FR"/>
        </w:rPr>
        <w:t>une heure trente minutes. »</w:t>
      </w:r>
      <w:r>
        <w:rPr>
          <w:i/>
          <w:iCs/>
          <w:lang w:val="fr-FR"/>
        </w:rPr>
        <w:t xml:space="preserve"> </w:t>
      </w:r>
    </w:p>
    <w:p w14:paraId="2FAF50D2" w14:textId="76770AE0" w:rsidR="00CC6BF8" w:rsidRPr="0022638F" w:rsidRDefault="00CC6BF8" w:rsidP="00CC6BF8">
      <w:pPr>
        <w:pStyle w:val="SingleTxtG"/>
        <w:keepNext/>
        <w:rPr>
          <w:rFonts w:eastAsia="Calibri"/>
          <w:lang w:val="fr-FR"/>
        </w:rPr>
      </w:pPr>
      <w:r w:rsidRPr="0022638F">
        <w:rPr>
          <w:lang w:val="fr-FR"/>
        </w:rPr>
        <w:t>Deuxième partie</w:t>
      </w:r>
      <w:r>
        <w:rPr>
          <w:lang w:val="fr-FR"/>
        </w:rPr>
        <w:t> : Paragraphe</w:t>
      </w:r>
      <w:r w:rsidRPr="0022638F">
        <w:rPr>
          <w:lang w:val="fr-FR"/>
        </w:rPr>
        <w:t xml:space="preserve"> </w:t>
      </w:r>
      <w:r w:rsidRPr="009076CD">
        <w:rPr>
          <w:lang w:val="fr-FR"/>
        </w:rPr>
        <w:t>2.1 de l</w:t>
      </w:r>
      <w:r>
        <w:rPr>
          <w:lang w:val="fr-FR"/>
        </w:rPr>
        <w:t>’</w:t>
      </w:r>
      <w:r w:rsidRPr="009076CD">
        <w:rPr>
          <w:lang w:val="fr-FR"/>
        </w:rPr>
        <w:t>appendice 4 de l</w:t>
      </w:r>
      <w:r>
        <w:rPr>
          <w:lang w:val="fr-FR"/>
        </w:rPr>
        <w:t>’</w:t>
      </w:r>
      <w:r w:rsidRPr="009076CD">
        <w:rPr>
          <w:lang w:val="fr-FR"/>
        </w:rPr>
        <w:t>annexe 1,</w:t>
      </w:r>
      <w:r w:rsidRPr="0022638F">
        <w:rPr>
          <w:lang w:val="fr-FR"/>
        </w:rPr>
        <w:t xml:space="preserve"> lire</w:t>
      </w:r>
      <w:r>
        <w:rPr>
          <w:lang w:val="fr-FR"/>
        </w:rPr>
        <w:t> </w:t>
      </w:r>
      <w:r w:rsidRPr="0022638F">
        <w:rPr>
          <w:lang w:val="fr-FR"/>
        </w:rPr>
        <w:t>:</w:t>
      </w:r>
    </w:p>
    <w:p w14:paraId="73BC66B2" w14:textId="54792C14" w:rsidR="00CC6BF8" w:rsidRPr="0022638F" w:rsidRDefault="00CC6BF8" w:rsidP="00CC6BF8">
      <w:pPr>
        <w:tabs>
          <w:tab w:val="left" w:pos="1134"/>
        </w:tabs>
        <w:spacing w:after="120"/>
        <w:ind w:left="1134" w:right="1134"/>
        <w:jc w:val="both"/>
        <w:rPr>
          <w:rFonts w:eastAsia="Calibri"/>
          <w:lang w:val="fr-FR"/>
        </w:rPr>
      </w:pPr>
      <w:r>
        <w:rPr>
          <w:i/>
          <w:iCs/>
          <w:lang w:val="fr-FR"/>
        </w:rPr>
        <w:t>« </w:t>
      </w:r>
      <w:r w:rsidRPr="0022638F">
        <w:rPr>
          <w:i/>
          <w:iCs/>
          <w:lang w:val="fr-FR"/>
        </w:rPr>
        <w:t>2.1</w:t>
      </w:r>
      <w:r w:rsidRPr="0022638F">
        <w:rPr>
          <w:lang w:val="fr-FR"/>
        </w:rPr>
        <w:tab/>
      </w:r>
      <w:r w:rsidRPr="0022638F">
        <w:rPr>
          <w:i/>
          <w:iCs/>
          <w:strike/>
          <w:lang w:val="fr-FR"/>
        </w:rPr>
        <w:t>Lorsque le moteur d</w:t>
      </w:r>
      <w:r>
        <w:rPr>
          <w:i/>
          <w:iCs/>
          <w:strike/>
          <w:lang w:val="fr-FR"/>
        </w:rPr>
        <w:t>’</w:t>
      </w:r>
      <w:r w:rsidRPr="0022638F">
        <w:rPr>
          <w:i/>
          <w:iCs/>
          <w:strike/>
          <w:lang w:val="fr-FR"/>
        </w:rPr>
        <w:t xml:space="preserve">entraînement du compresseur est celui du véhicule </w:t>
      </w:r>
      <w:r w:rsidRPr="0022638F">
        <w:rPr>
          <w:i/>
          <w:iCs/>
          <w:u w:val="single"/>
          <w:lang w:val="fr-FR"/>
        </w:rPr>
        <w:t xml:space="preserve">Lorsque le compresseur est entraîné par le moteur du véhicule ou par le </w:t>
      </w:r>
      <w:r>
        <w:rPr>
          <w:i/>
          <w:iCs/>
          <w:u w:val="single"/>
          <w:lang w:val="fr-FR"/>
        </w:rPr>
        <w:t>déplacement</w:t>
      </w:r>
      <w:r w:rsidRPr="0022638F">
        <w:rPr>
          <w:i/>
          <w:iCs/>
          <w:u w:val="single"/>
          <w:lang w:val="fr-FR"/>
        </w:rPr>
        <w:t xml:space="preserve"> du véhicule</w:t>
      </w:r>
      <w:r>
        <w:rPr>
          <w:i/>
          <w:iCs/>
          <w:lang w:val="fr-FR"/>
        </w:rPr>
        <w:t> </w:t>
      </w:r>
      <w:r w:rsidRPr="0022638F">
        <w:rPr>
          <w:i/>
          <w:iCs/>
          <w:lang w:val="fr-FR"/>
        </w:rPr>
        <w:t>;</w:t>
      </w:r>
      <w:r>
        <w:rPr>
          <w:lang w:val="fr-FR"/>
        </w:rPr>
        <w:t> »</w:t>
      </w:r>
      <w:r>
        <w:rPr>
          <w:lang w:val="fr-FR"/>
        </w:rPr>
        <w:t>.</w:t>
      </w:r>
    </w:p>
    <w:p w14:paraId="1DBCB5C6" w14:textId="77777777" w:rsidR="00CC6BF8" w:rsidRPr="0022638F" w:rsidRDefault="00CC6BF8" w:rsidP="00CC6BF8">
      <w:pPr>
        <w:spacing w:after="120"/>
        <w:ind w:left="1134" w:right="1134"/>
        <w:rPr>
          <w:rFonts w:eastAsia="Calibri"/>
          <w:lang w:val="fr-FR"/>
        </w:rPr>
      </w:pPr>
      <w:r w:rsidRPr="0022638F">
        <w:rPr>
          <w:lang w:val="fr-FR"/>
        </w:rPr>
        <w:t>Troisième partie</w:t>
      </w:r>
      <w:r>
        <w:rPr>
          <w:lang w:val="fr-FR"/>
        </w:rPr>
        <w:t> :</w:t>
      </w:r>
      <w:r w:rsidRPr="0022638F">
        <w:rPr>
          <w:lang w:val="fr-FR"/>
        </w:rPr>
        <w:t xml:space="preserve"> </w:t>
      </w:r>
      <w:r>
        <w:rPr>
          <w:lang w:val="fr-FR"/>
        </w:rPr>
        <w:t>A</w:t>
      </w:r>
      <w:r w:rsidRPr="0022638F">
        <w:rPr>
          <w:lang w:val="fr-FR"/>
        </w:rPr>
        <w:t>jouter une nouvelle mesure transitoire au paragraphe 6 de l</w:t>
      </w:r>
      <w:r>
        <w:rPr>
          <w:lang w:val="fr-FR"/>
        </w:rPr>
        <w:t>’</w:t>
      </w:r>
      <w:r w:rsidRPr="0022638F">
        <w:rPr>
          <w:lang w:val="fr-FR"/>
        </w:rPr>
        <w:t>annexe 1, libellée comme suit :</w:t>
      </w:r>
    </w:p>
    <w:p w14:paraId="6B963130" w14:textId="31D85D1F" w:rsidR="00CC6BF8" w:rsidRPr="0022638F" w:rsidRDefault="00CC6BF8" w:rsidP="00CC6BF8">
      <w:pPr>
        <w:tabs>
          <w:tab w:val="left" w:pos="1134"/>
        </w:tabs>
        <w:spacing w:after="240" w:line="259" w:lineRule="auto"/>
        <w:ind w:left="1134" w:right="1134"/>
        <w:jc w:val="both"/>
        <w:rPr>
          <w:rFonts w:eastAsia="Calibri"/>
          <w:i/>
          <w:iCs/>
          <w:lang w:val="fr-FR"/>
        </w:rPr>
      </w:pPr>
      <w:r>
        <w:rPr>
          <w:i/>
          <w:iCs/>
          <w:lang w:val="fr-FR"/>
        </w:rPr>
        <w:t>« </w:t>
      </w:r>
      <w:r w:rsidRPr="0022638F">
        <w:rPr>
          <w:i/>
          <w:iCs/>
          <w:lang w:val="fr-FR"/>
        </w:rPr>
        <w:t xml:space="preserve">Pour les engins dont le compresseur est entraîné par le </w:t>
      </w:r>
      <w:r>
        <w:rPr>
          <w:i/>
          <w:iCs/>
          <w:lang w:val="fr-FR"/>
        </w:rPr>
        <w:t>déplacement</w:t>
      </w:r>
      <w:r w:rsidRPr="0022638F">
        <w:rPr>
          <w:i/>
          <w:iCs/>
          <w:lang w:val="fr-FR"/>
        </w:rPr>
        <w:t xml:space="preserve"> du véhicule construits avant le [date d</w:t>
      </w:r>
      <w:r>
        <w:rPr>
          <w:i/>
          <w:iCs/>
          <w:lang w:val="fr-FR"/>
        </w:rPr>
        <w:t>’</w:t>
      </w:r>
      <w:r w:rsidRPr="0022638F">
        <w:rPr>
          <w:i/>
          <w:iCs/>
          <w:lang w:val="fr-FR"/>
        </w:rPr>
        <w:t xml:space="preserve">homologation], les dispositions </w:t>
      </w:r>
      <w:r>
        <w:rPr>
          <w:i/>
          <w:iCs/>
          <w:lang w:val="fr-FR"/>
        </w:rPr>
        <w:t>du paragraphe</w:t>
      </w:r>
      <w:r w:rsidRPr="0022638F">
        <w:rPr>
          <w:i/>
          <w:iCs/>
          <w:lang w:val="fr-FR"/>
        </w:rPr>
        <w:t xml:space="preserve"> 6.2.2 de l</w:t>
      </w:r>
      <w:r>
        <w:rPr>
          <w:i/>
          <w:iCs/>
          <w:lang w:val="fr-FR"/>
        </w:rPr>
        <w:t>’</w:t>
      </w:r>
      <w:r w:rsidRPr="0022638F">
        <w:rPr>
          <w:i/>
          <w:iCs/>
          <w:lang w:val="fr-FR"/>
        </w:rPr>
        <w:t>appendice 2 de l</w:t>
      </w:r>
      <w:r>
        <w:rPr>
          <w:i/>
          <w:iCs/>
          <w:lang w:val="fr-FR"/>
        </w:rPr>
        <w:t>’</w:t>
      </w:r>
      <w:r w:rsidRPr="0022638F">
        <w:rPr>
          <w:i/>
          <w:iCs/>
          <w:lang w:val="fr-FR"/>
        </w:rPr>
        <w:t>annexe 1 et d</w:t>
      </w:r>
      <w:r>
        <w:rPr>
          <w:i/>
          <w:iCs/>
          <w:lang w:val="fr-FR"/>
        </w:rPr>
        <w:t>u paragraphe</w:t>
      </w:r>
      <w:r>
        <w:rPr>
          <w:i/>
          <w:iCs/>
          <w:lang w:val="fr-FR"/>
        </w:rPr>
        <w:t> </w:t>
      </w:r>
      <w:r w:rsidRPr="0022638F">
        <w:rPr>
          <w:i/>
          <w:iCs/>
          <w:lang w:val="fr-FR"/>
        </w:rPr>
        <w:t>2.1 de l</w:t>
      </w:r>
      <w:r>
        <w:rPr>
          <w:i/>
          <w:iCs/>
          <w:lang w:val="fr-FR"/>
        </w:rPr>
        <w:t>’</w:t>
      </w:r>
      <w:r w:rsidRPr="0022638F">
        <w:rPr>
          <w:i/>
          <w:iCs/>
          <w:lang w:val="fr-FR"/>
        </w:rPr>
        <w:t>appendice 4 de l</w:t>
      </w:r>
      <w:r>
        <w:rPr>
          <w:i/>
          <w:iCs/>
          <w:lang w:val="fr-FR"/>
        </w:rPr>
        <w:t>’</w:t>
      </w:r>
      <w:r w:rsidRPr="0022638F">
        <w:rPr>
          <w:i/>
          <w:iCs/>
          <w:lang w:val="fr-FR"/>
        </w:rPr>
        <w:t xml:space="preserve">annexe 1 </w:t>
      </w:r>
      <w:r>
        <w:rPr>
          <w:i/>
          <w:iCs/>
          <w:lang w:val="fr-FR"/>
        </w:rPr>
        <w:t>ne s’appliquent pas</w:t>
      </w:r>
      <w:r w:rsidRPr="0022638F">
        <w:rPr>
          <w:i/>
          <w:iCs/>
          <w:lang w:val="fr-FR"/>
        </w:rPr>
        <w:t>.</w:t>
      </w:r>
      <w:r w:rsidRPr="0022638F">
        <w:rPr>
          <w:lang w:val="fr-FR"/>
        </w:rPr>
        <w:t xml:space="preserve"> </w:t>
      </w:r>
      <w:r w:rsidRPr="0022638F">
        <w:rPr>
          <w:i/>
          <w:iCs/>
          <w:lang w:val="fr-FR"/>
        </w:rPr>
        <w:t xml:space="preserve">Au lieu des prescriptions </w:t>
      </w:r>
      <w:r>
        <w:rPr>
          <w:i/>
          <w:iCs/>
          <w:lang w:val="fr-FR"/>
        </w:rPr>
        <w:t>énoncées au paragraphe</w:t>
      </w:r>
      <w:r>
        <w:rPr>
          <w:i/>
          <w:iCs/>
          <w:lang w:val="fr-FR"/>
        </w:rPr>
        <w:t> </w:t>
      </w:r>
      <w:r w:rsidRPr="0022638F">
        <w:rPr>
          <w:i/>
          <w:iCs/>
          <w:lang w:val="fr-FR"/>
        </w:rPr>
        <w:t>6.2.2, l</w:t>
      </w:r>
      <w:r>
        <w:rPr>
          <w:i/>
          <w:iCs/>
          <w:lang w:val="fr-FR"/>
        </w:rPr>
        <w:t>’</w:t>
      </w:r>
      <w:r w:rsidRPr="0022638F">
        <w:rPr>
          <w:i/>
          <w:iCs/>
          <w:lang w:val="fr-FR"/>
        </w:rPr>
        <w:t xml:space="preserve">engin doit être conforme aux prescriptions </w:t>
      </w:r>
      <w:r>
        <w:rPr>
          <w:i/>
          <w:iCs/>
          <w:lang w:val="fr-FR"/>
        </w:rPr>
        <w:t>énoncées aux</w:t>
      </w:r>
      <w:r w:rsidRPr="0022638F">
        <w:rPr>
          <w:i/>
          <w:iCs/>
          <w:lang w:val="fr-FR"/>
        </w:rPr>
        <w:t xml:space="preserve"> alinéas i) ou ii) du </w:t>
      </w:r>
      <w:r>
        <w:rPr>
          <w:i/>
          <w:iCs/>
          <w:lang w:val="fr-FR"/>
        </w:rPr>
        <w:t>paragraphe</w:t>
      </w:r>
      <w:r>
        <w:rPr>
          <w:i/>
          <w:iCs/>
          <w:lang w:val="fr-FR"/>
        </w:rPr>
        <w:t> </w:t>
      </w:r>
      <w:r w:rsidRPr="0022638F">
        <w:rPr>
          <w:i/>
          <w:iCs/>
          <w:lang w:val="fr-FR"/>
        </w:rPr>
        <w:t>6.2.1 ci-après, applicables à la date de construction.</w:t>
      </w:r>
      <w:r>
        <w:rPr>
          <w:i/>
          <w:iCs/>
          <w:lang w:val="fr-FR"/>
        </w:rPr>
        <w:t> »</w:t>
      </w:r>
      <w:r>
        <w:rPr>
          <w:i/>
          <w:iCs/>
          <w:lang w:val="fr-FR"/>
        </w:rPr>
        <w:t>.</w:t>
      </w:r>
    </w:p>
    <w:p w14:paraId="7BE9EA7B" w14:textId="77777777" w:rsidR="00CC6BF8" w:rsidRPr="0022638F" w:rsidRDefault="00CC6BF8" w:rsidP="00CC6BF8">
      <w:pPr>
        <w:pStyle w:val="HChG"/>
        <w:rPr>
          <w:lang w:val="fr-FR"/>
        </w:rPr>
      </w:pPr>
      <w:r w:rsidRPr="0022638F">
        <w:rPr>
          <w:lang w:val="fr-FR"/>
        </w:rPr>
        <w:lastRenderedPageBreak/>
        <w:tab/>
      </w:r>
      <w:r w:rsidRPr="0022638F">
        <w:rPr>
          <w:lang w:val="fr-FR"/>
        </w:rPr>
        <w:tab/>
        <w:t>Justification</w:t>
      </w:r>
    </w:p>
    <w:p w14:paraId="57D56E30" w14:textId="77777777" w:rsidR="00CC6BF8" w:rsidRPr="0022638F" w:rsidRDefault="00CC6BF8" w:rsidP="00CC6BF8">
      <w:pPr>
        <w:pStyle w:val="SingleTxtG"/>
        <w:numPr>
          <w:ilvl w:val="0"/>
          <w:numId w:val="17"/>
        </w:numPr>
        <w:ind w:left="1134" w:firstLine="0"/>
        <w:rPr>
          <w:rFonts w:eastAsia="Calibri"/>
          <w:lang w:val="fr-FR"/>
        </w:rPr>
      </w:pPr>
      <w:r w:rsidRPr="0022638F">
        <w:rPr>
          <w:lang w:val="fr-FR"/>
        </w:rPr>
        <w:t xml:space="preserve">Les compresseurs entraînés par le </w:t>
      </w:r>
      <w:r>
        <w:rPr>
          <w:lang w:val="fr-FR"/>
        </w:rPr>
        <w:t>déplacement</w:t>
      </w:r>
      <w:r w:rsidRPr="0022638F">
        <w:rPr>
          <w:lang w:val="fr-FR"/>
        </w:rPr>
        <w:t xml:space="preserve"> du véhicule sont perçus comme obsolètes. Toutefois, il</w:t>
      </w:r>
      <w:r>
        <w:rPr>
          <w:lang w:val="fr-FR"/>
        </w:rPr>
        <w:t xml:space="preserve"> est probable qu’il</w:t>
      </w:r>
      <w:r w:rsidRPr="0022638F">
        <w:rPr>
          <w:lang w:val="fr-FR"/>
        </w:rPr>
        <w:t>s so</w:t>
      </w:r>
      <w:r>
        <w:rPr>
          <w:lang w:val="fr-FR"/>
        </w:rPr>
        <w:t>ie</w:t>
      </w:r>
      <w:r w:rsidRPr="0022638F">
        <w:rPr>
          <w:lang w:val="fr-FR"/>
        </w:rPr>
        <w:t xml:space="preserve">nt encore utilisés dans les wagons. </w:t>
      </w:r>
      <w:r>
        <w:rPr>
          <w:lang w:val="fr-FR"/>
        </w:rPr>
        <w:t>La</w:t>
      </w:r>
      <w:r w:rsidRPr="0022638F">
        <w:rPr>
          <w:lang w:val="fr-FR"/>
        </w:rPr>
        <w:t xml:space="preserve"> suppression de cette </w:t>
      </w:r>
      <w:r>
        <w:rPr>
          <w:lang w:val="fr-FR"/>
        </w:rPr>
        <w:t>possibilité</w:t>
      </w:r>
      <w:r w:rsidRPr="0022638F">
        <w:rPr>
          <w:lang w:val="fr-FR"/>
        </w:rPr>
        <w:t xml:space="preserve"> simplifierait l</w:t>
      </w:r>
      <w:r>
        <w:rPr>
          <w:lang w:val="fr-FR"/>
        </w:rPr>
        <w:t>’</w:t>
      </w:r>
      <w:r w:rsidRPr="0022638F">
        <w:rPr>
          <w:lang w:val="fr-FR"/>
        </w:rPr>
        <w:t xml:space="preserve">ATP, </w:t>
      </w:r>
      <w:r>
        <w:rPr>
          <w:lang w:val="fr-FR"/>
        </w:rPr>
        <w:t xml:space="preserve">mais </w:t>
      </w:r>
      <w:r w:rsidRPr="0022638F">
        <w:rPr>
          <w:lang w:val="fr-FR"/>
        </w:rPr>
        <w:t>l</w:t>
      </w:r>
      <w:r>
        <w:rPr>
          <w:lang w:val="fr-FR"/>
        </w:rPr>
        <w:t>’éventualité</w:t>
      </w:r>
      <w:r w:rsidRPr="0022638F">
        <w:rPr>
          <w:lang w:val="fr-FR"/>
        </w:rPr>
        <w:t xml:space="preserve"> que certains wagons de ce type soient encore utilisés peut justifier </w:t>
      </w:r>
      <w:r>
        <w:rPr>
          <w:lang w:val="fr-FR"/>
        </w:rPr>
        <w:t xml:space="preserve">le recours à </w:t>
      </w:r>
      <w:r w:rsidRPr="0022638F">
        <w:rPr>
          <w:lang w:val="fr-FR"/>
        </w:rPr>
        <w:t>l</w:t>
      </w:r>
      <w:r>
        <w:rPr>
          <w:lang w:val="fr-FR"/>
        </w:rPr>
        <w:t>’</w:t>
      </w:r>
      <w:r w:rsidRPr="0022638F">
        <w:rPr>
          <w:lang w:val="fr-FR"/>
        </w:rPr>
        <w:t>option 2.</w:t>
      </w:r>
    </w:p>
    <w:p w14:paraId="31F10ADE" w14:textId="77777777" w:rsidR="00CC6BF8" w:rsidRPr="0022638F" w:rsidRDefault="00CC6BF8" w:rsidP="00CC6BF8">
      <w:pPr>
        <w:pStyle w:val="SingleTxtG"/>
        <w:numPr>
          <w:ilvl w:val="0"/>
          <w:numId w:val="17"/>
        </w:numPr>
        <w:ind w:left="1134" w:firstLine="0"/>
        <w:rPr>
          <w:rFonts w:eastAsia="Calibri"/>
          <w:lang w:val="fr-FR"/>
        </w:rPr>
      </w:pPr>
      <w:r w:rsidRPr="0022638F">
        <w:rPr>
          <w:lang w:val="fr-FR"/>
        </w:rPr>
        <w:t xml:space="preserve">En outre, au </w:t>
      </w:r>
      <w:r>
        <w:rPr>
          <w:lang w:val="fr-FR"/>
        </w:rPr>
        <w:t xml:space="preserve">paragraphe </w:t>
      </w:r>
      <w:r w:rsidRPr="0022638F">
        <w:rPr>
          <w:lang w:val="fr-FR"/>
        </w:rPr>
        <w:t xml:space="preserve">6.2.2, des modifications supplémentaires sont </w:t>
      </w:r>
      <w:r>
        <w:rPr>
          <w:lang w:val="fr-FR"/>
        </w:rPr>
        <w:t>proposées</w:t>
      </w:r>
      <w:r w:rsidRPr="0022638F">
        <w:rPr>
          <w:lang w:val="fr-FR"/>
        </w:rPr>
        <w:t xml:space="preserve"> pour préciser que la vitesse de rotation du compresseur est censée être liée à la valeur de ralenti du régime moteur du véhicule.</w:t>
      </w:r>
    </w:p>
    <w:p w14:paraId="073AC1EA" w14:textId="4B779A26" w:rsidR="00CC6BF8" w:rsidRPr="0022638F" w:rsidRDefault="00CC6BF8" w:rsidP="00CC6BF8">
      <w:pPr>
        <w:pStyle w:val="SingleTxtG"/>
        <w:numPr>
          <w:ilvl w:val="0"/>
          <w:numId w:val="17"/>
        </w:numPr>
        <w:ind w:left="1134" w:firstLine="0"/>
        <w:rPr>
          <w:rFonts w:eastAsia="Calibri"/>
          <w:lang w:val="fr-FR"/>
        </w:rPr>
      </w:pPr>
      <w:r w:rsidRPr="0022638F">
        <w:rPr>
          <w:lang w:val="fr-FR"/>
        </w:rPr>
        <w:t>Au</w:t>
      </w:r>
      <w:r>
        <w:rPr>
          <w:lang w:val="fr-FR"/>
        </w:rPr>
        <w:t xml:space="preserve"> paragraphe</w:t>
      </w:r>
      <w:r>
        <w:rPr>
          <w:lang w:val="fr-FR"/>
        </w:rPr>
        <w:t> </w:t>
      </w:r>
      <w:r w:rsidRPr="0022638F">
        <w:rPr>
          <w:lang w:val="fr-FR"/>
        </w:rPr>
        <w:t>2.1 de l</w:t>
      </w:r>
      <w:r>
        <w:rPr>
          <w:lang w:val="fr-FR"/>
        </w:rPr>
        <w:t>’</w:t>
      </w:r>
      <w:r w:rsidRPr="0022638F">
        <w:rPr>
          <w:lang w:val="fr-FR"/>
        </w:rPr>
        <w:t>appendice</w:t>
      </w:r>
      <w:r>
        <w:rPr>
          <w:lang w:val="fr-FR"/>
        </w:rPr>
        <w:t> </w:t>
      </w:r>
      <w:r w:rsidRPr="0022638F">
        <w:rPr>
          <w:lang w:val="fr-FR"/>
        </w:rPr>
        <w:t>4 de l</w:t>
      </w:r>
      <w:r>
        <w:rPr>
          <w:lang w:val="fr-FR"/>
        </w:rPr>
        <w:t>’</w:t>
      </w:r>
      <w:r w:rsidRPr="0022638F">
        <w:rPr>
          <w:lang w:val="fr-FR"/>
        </w:rPr>
        <w:t>annexe</w:t>
      </w:r>
      <w:r>
        <w:rPr>
          <w:lang w:val="fr-FR"/>
        </w:rPr>
        <w:t> </w:t>
      </w:r>
      <w:r w:rsidRPr="0022638F">
        <w:rPr>
          <w:lang w:val="fr-FR"/>
        </w:rPr>
        <w:t xml:space="preserve">1, il est proposé de </w:t>
      </w:r>
      <w:r>
        <w:rPr>
          <w:lang w:val="fr-FR"/>
        </w:rPr>
        <w:t xml:space="preserve">remplacer « moteur (...) du compresseur » par </w:t>
      </w:r>
      <w:r w:rsidRPr="007A5C2E">
        <w:rPr>
          <w:lang w:val="fr-FR"/>
        </w:rPr>
        <w:t>«</w:t>
      </w:r>
      <w:r>
        <w:rPr>
          <w:lang w:val="fr-FR"/>
        </w:rPr>
        <w:t> </w:t>
      </w:r>
      <w:r>
        <w:rPr>
          <w:lang w:val="fr-FR"/>
        </w:rPr>
        <w:t xml:space="preserve">compresseur (...) </w:t>
      </w:r>
      <w:r w:rsidRPr="007A5C2E">
        <w:rPr>
          <w:lang w:val="fr-FR"/>
        </w:rPr>
        <w:t>entraîné par le moteur du véhicule</w:t>
      </w:r>
      <w:r>
        <w:rPr>
          <w:lang w:val="fr-FR"/>
        </w:rPr>
        <w:t> </w:t>
      </w:r>
      <w:r w:rsidRPr="007A5C2E">
        <w:rPr>
          <w:lang w:val="fr-FR"/>
        </w:rPr>
        <w:t xml:space="preserve">» </w:t>
      </w:r>
      <w:r w:rsidRPr="0022638F">
        <w:rPr>
          <w:lang w:val="fr-FR"/>
        </w:rPr>
        <w:t>afin d</w:t>
      </w:r>
      <w:r>
        <w:rPr>
          <w:lang w:val="fr-FR"/>
        </w:rPr>
        <w:t>’</w:t>
      </w:r>
      <w:r w:rsidRPr="0022638F">
        <w:rPr>
          <w:lang w:val="fr-FR"/>
        </w:rPr>
        <w:t>éviter toute erreur d</w:t>
      </w:r>
      <w:r>
        <w:rPr>
          <w:lang w:val="fr-FR"/>
        </w:rPr>
        <w:t>’</w:t>
      </w:r>
      <w:r w:rsidRPr="0022638F">
        <w:rPr>
          <w:lang w:val="fr-FR"/>
        </w:rPr>
        <w:t>interprétation con</w:t>
      </w:r>
      <w:r>
        <w:rPr>
          <w:lang w:val="fr-FR"/>
        </w:rPr>
        <w:t>sistant à penser qu’il est question d</w:t>
      </w:r>
      <w:r w:rsidRPr="0022638F">
        <w:rPr>
          <w:lang w:val="fr-FR"/>
        </w:rPr>
        <w:t xml:space="preserve">es </w:t>
      </w:r>
      <w:r>
        <w:rPr>
          <w:lang w:val="fr-FR"/>
        </w:rPr>
        <w:t>générateur</w:t>
      </w:r>
      <w:r w:rsidRPr="0022638F">
        <w:rPr>
          <w:lang w:val="fr-FR"/>
        </w:rPr>
        <w:t>s entraînés par le moteur du véhicule qui alimentent un dispositif thermique électrique, ou des essieux électriques sur les remorques.</w:t>
      </w:r>
    </w:p>
    <w:p w14:paraId="742DEA9F" w14:textId="1BD7CDF9" w:rsidR="00CC6BF8" w:rsidRPr="0022638F" w:rsidRDefault="00CC6BF8" w:rsidP="00CC6BF8">
      <w:pPr>
        <w:pStyle w:val="SingleTxtG"/>
        <w:numPr>
          <w:ilvl w:val="0"/>
          <w:numId w:val="17"/>
        </w:numPr>
        <w:ind w:left="1134" w:firstLine="0"/>
        <w:rPr>
          <w:lang w:val="fr-FR"/>
        </w:rPr>
      </w:pPr>
      <w:r w:rsidRPr="0022638F">
        <w:rPr>
          <w:lang w:val="fr-FR"/>
        </w:rPr>
        <w:t>Une mesure transitoire est prévue en ce qui concerne l</w:t>
      </w:r>
      <w:r>
        <w:rPr>
          <w:lang w:val="fr-FR"/>
        </w:rPr>
        <w:t>e paragraphe</w:t>
      </w:r>
      <w:r>
        <w:rPr>
          <w:lang w:val="fr-FR"/>
        </w:rPr>
        <w:t> </w:t>
      </w:r>
      <w:r w:rsidRPr="0022638F">
        <w:rPr>
          <w:lang w:val="fr-FR"/>
        </w:rPr>
        <w:t>6 de l</w:t>
      </w:r>
      <w:r>
        <w:rPr>
          <w:lang w:val="fr-FR"/>
        </w:rPr>
        <w:t>’</w:t>
      </w:r>
      <w:r w:rsidRPr="0022638F">
        <w:rPr>
          <w:lang w:val="fr-FR"/>
        </w:rPr>
        <w:t>annexe</w:t>
      </w:r>
      <w:r>
        <w:rPr>
          <w:lang w:val="fr-FR"/>
        </w:rPr>
        <w:t> </w:t>
      </w:r>
      <w:r w:rsidRPr="0022638F">
        <w:rPr>
          <w:lang w:val="fr-FR"/>
        </w:rPr>
        <w:t>1 afin de clarifier l</w:t>
      </w:r>
      <w:r>
        <w:rPr>
          <w:lang w:val="fr-FR"/>
        </w:rPr>
        <w:t>’</w:t>
      </w:r>
      <w:r w:rsidRPr="0022638F">
        <w:rPr>
          <w:lang w:val="fr-FR"/>
        </w:rPr>
        <w:t xml:space="preserve">application du </w:t>
      </w:r>
      <w:r>
        <w:rPr>
          <w:lang w:val="fr-FR"/>
        </w:rPr>
        <w:t>paragraphe</w:t>
      </w:r>
      <w:r>
        <w:rPr>
          <w:lang w:val="fr-FR"/>
        </w:rPr>
        <w:t> </w:t>
      </w:r>
      <w:r w:rsidRPr="0022638F">
        <w:rPr>
          <w:lang w:val="fr-FR"/>
        </w:rPr>
        <w:t>6.2.2 de l</w:t>
      </w:r>
      <w:r>
        <w:rPr>
          <w:lang w:val="fr-FR"/>
        </w:rPr>
        <w:t>’</w:t>
      </w:r>
      <w:r w:rsidRPr="0022638F">
        <w:rPr>
          <w:lang w:val="fr-FR"/>
        </w:rPr>
        <w:t>appendice</w:t>
      </w:r>
      <w:r>
        <w:rPr>
          <w:lang w:val="fr-FR"/>
        </w:rPr>
        <w:t> </w:t>
      </w:r>
      <w:r w:rsidRPr="0022638F">
        <w:rPr>
          <w:lang w:val="fr-FR"/>
        </w:rPr>
        <w:t>2 de l</w:t>
      </w:r>
      <w:r>
        <w:rPr>
          <w:lang w:val="fr-FR"/>
        </w:rPr>
        <w:t>’</w:t>
      </w:r>
      <w:r w:rsidRPr="0022638F">
        <w:rPr>
          <w:lang w:val="fr-FR"/>
        </w:rPr>
        <w:t>annexe</w:t>
      </w:r>
      <w:r>
        <w:rPr>
          <w:lang w:val="fr-FR"/>
        </w:rPr>
        <w:t> </w:t>
      </w:r>
      <w:r w:rsidRPr="0022638F">
        <w:rPr>
          <w:lang w:val="fr-FR"/>
        </w:rPr>
        <w:t xml:space="preserve">1 et du </w:t>
      </w:r>
      <w:r>
        <w:rPr>
          <w:lang w:val="fr-FR"/>
        </w:rPr>
        <w:t>paragraphe</w:t>
      </w:r>
      <w:r>
        <w:rPr>
          <w:lang w:val="fr-FR"/>
        </w:rPr>
        <w:t> </w:t>
      </w:r>
      <w:r w:rsidRPr="0022638F">
        <w:rPr>
          <w:lang w:val="fr-FR"/>
        </w:rPr>
        <w:t>2.1 de l</w:t>
      </w:r>
      <w:r>
        <w:rPr>
          <w:lang w:val="fr-FR"/>
        </w:rPr>
        <w:t>’</w:t>
      </w:r>
      <w:r w:rsidRPr="0022638F">
        <w:rPr>
          <w:lang w:val="fr-FR"/>
        </w:rPr>
        <w:t>appendice</w:t>
      </w:r>
      <w:r>
        <w:rPr>
          <w:lang w:val="fr-FR"/>
        </w:rPr>
        <w:t> </w:t>
      </w:r>
      <w:r w:rsidRPr="0022638F">
        <w:rPr>
          <w:lang w:val="fr-FR"/>
        </w:rPr>
        <w:t>4 de l</w:t>
      </w:r>
      <w:r>
        <w:rPr>
          <w:lang w:val="fr-FR"/>
        </w:rPr>
        <w:t>’</w:t>
      </w:r>
      <w:r w:rsidRPr="0022638F">
        <w:rPr>
          <w:lang w:val="fr-FR"/>
        </w:rPr>
        <w:t>annexe</w:t>
      </w:r>
      <w:r>
        <w:rPr>
          <w:lang w:val="fr-FR"/>
        </w:rPr>
        <w:t> </w:t>
      </w:r>
      <w:r w:rsidRPr="0022638F">
        <w:rPr>
          <w:lang w:val="fr-FR"/>
        </w:rPr>
        <w:t>1 tels que modifiés.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1"/>
        <w:gridCol w:w="5900"/>
      </w:tblGrid>
      <w:tr w:rsidR="00CC6BF8" w:rsidRPr="00A20428" w14:paraId="2ECDBBC3" w14:textId="77777777" w:rsidTr="00CC6BF8">
        <w:trPr>
          <w:trHeight w:val="1134"/>
        </w:trPr>
        <w:tc>
          <w:tcPr>
            <w:tcW w:w="1421" w:type="dxa"/>
            <w:shd w:val="clear" w:color="auto" w:fill="auto"/>
          </w:tcPr>
          <w:p w14:paraId="208ED3F1" w14:textId="77777777" w:rsidR="00CC6BF8" w:rsidRPr="0022638F" w:rsidRDefault="00CC6BF8" w:rsidP="00CC6BF8">
            <w:pPr>
              <w:pStyle w:val="SingleTxtG"/>
              <w:ind w:left="0" w:right="0"/>
              <w:rPr>
                <w:lang w:val="fr-FR"/>
              </w:rPr>
            </w:pPr>
            <w:r>
              <w:rPr>
                <w:lang w:val="fr-FR"/>
              </w:rPr>
              <w:t>Coût :</w:t>
            </w:r>
          </w:p>
        </w:tc>
        <w:tc>
          <w:tcPr>
            <w:tcW w:w="5700" w:type="dxa"/>
            <w:shd w:val="clear" w:color="auto" w:fill="auto"/>
          </w:tcPr>
          <w:p w14:paraId="226599E5" w14:textId="77777777" w:rsidR="00CC6BF8" w:rsidRPr="0022638F" w:rsidRDefault="00CC6BF8" w:rsidP="00CC6BF8">
            <w:pPr>
              <w:pStyle w:val="SingleTxtG"/>
              <w:ind w:left="0" w:right="0"/>
              <w:rPr>
                <w:lang w:val="fr-FR"/>
              </w:rPr>
            </w:pPr>
            <w:r w:rsidRPr="004A1E62">
              <w:rPr>
                <w:lang w:val="fr-FR"/>
              </w:rPr>
              <w:t>Aucun coût supplémentaire n</w:t>
            </w:r>
            <w:r>
              <w:rPr>
                <w:lang w:val="fr-FR"/>
              </w:rPr>
              <w:t>’</w:t>
            </w:r>
            <w:r w:rsidRPr="004A1E62">
              <w:rPr>
                <w:lang w:val="fr-FR"/>
              </w:rPr>
              <w:t>est prévu</w:t>
            </w:r>
            <w:r>
              <w:rPr>
                <w:lang w:val="fr-FR"/>
              </w:rPr>
              <w:t>.</w:t>
            </w:r>
            <w:r w:rsidRPr="004A1E62" w:rsidDel="004A1E62">
              <w:rPr>
                <w:lang w:val="fr-FR"/>
              </w:rPr>
              <w:t xml:space="preserve"> </w:t>
            </w:r>
          </w:p>
        </w:tc>
      </w:tr>
      <w:tr w:rsidR="00CC6BF8" w:rsidRPr="00A20428" w14:paraId="68D26032" w14:textId="77777777" w:rsidTr="00CC6BF8">
        <w:tc>
          <w:tcPr>
            <w:tcW w:w="1421" w:type="dxa"/>
            <w:shd w:val="clear" w:color="auto" w:fill="auto"/>
          </w:tcPr>
          <w:p w14:paraId="25A8EBF4" w14:textId="77777777" w:rsidR="00CC6BF8" w:rsidRPr="0022638F" w:rsidRDefault="00CC6BF8" w:rsidP="00CC6BF8">
            <w:pPr>
              <w:pStyle w:val="SingleTxtG"/>
              <w:ind w:left="0" w:right="0"/>
              <w:rPr>
                <w:lang w:val="fr-FR"/>
              </w:rPr>
            </w:pPr>
            <w:r w:rsidRPr="0022638F">
              <w:rPr>
                <w:lang w:val="fr-FR"/>
              </w:rPr>
              <w:t>Faisabilité :</w:t>
            </w:r>
          </w:p>
        </w:tc>
        <w:tc>
          <w:tcPr>
            <w:tcW w:w="5700" w:type="dxa"/>
            <w:shd w:val="clear" w:color="auto" w:fill="auto"/>
          </w:tcPr>
          <w:p w14:paraId="5C70A763" w14:textId="77777777" w:rsidR="00CC6BF8" w:rsidRPr="0022638F" w:rsidRDefault="00CC6BF8" w:rsidP="00CC6BF8">
            <w:pPr>
              <w:pStyle w:val="SingleTxtG"/>
              <w:ind w:left="0" w:right="0"/>
              <w:rPr>
                <w:lang w:val="fr-FR"/>
              </w:rPr>
            </w:pPr>
            <w:r w:rsidRPr="0022638F">
              <w:rPr>
                <w:lang w:val="fr-FR"/>
              </w:rPr>
              <w:t>La suppression de prescriptions obsolètes simplifiera l</w:t>
            </w:r>
            <w:r>
              <w:rPr>
                <w:lang w:val="fr-FR"/>
              </w:rPr>
              <w:t>’</w:t>
            </w:r>
            <w:r w:rsidRPr="0022638F">
              <w:rPr>
                <w:lang w:val="fr-FR"/>
              </w:rPr>
              <w:t xml:space="preserve">ATP, mais certains </w:t>
            </w:r>
            <w:r>
              <w:rPr>
                <w:lang w:val="fr-FR"/>
              </w:rPr>
              <w:t>engins</w:t>
            </w:r>
            <w:r w:rsidRPr="0022638F">
              <w:rPr>
                <w:lang w:val="fr-FR"/>
              </w:rPr>
              <w:t xml:space="preserve"> </w:t>
            </w:r>
            <w:r>
              <w:rPr>
                <w:lang w:val="fr-FR"/>
              </w:rPr>
              <w:t>isolés</w:t>
            </w:r>
            <w:r w:rsidRPr="0022638F">
              <w:rPr>
                <w:lang w:val="fr-FR"/>
              </w:rPr>
              <w:t xml:space="preserve"> peuvent encore exister. Une mesure transitoire est prévue au cas où l</w:t>
            </w:r>
            <w:r>
              <w:rPr>
                <w:lang w:val="fr-FR"/>
              </w:rPr>
              <w:t>’</w:t>
            </w:r>
            <w:r w:rsidRPr="0022638F">
              <w:rPr>
                <w:lang w:val="fr-FR"/>
              </w:rPr>
              <w:t xml:space="preserve">option 2 serait choisie. </w:t>
            </w:r>
          </w:p>
        </w:tc>
      </w:tr>
      <w:tr w:rsidR="00CC6BF8" w:rsidRPr="00A20428" w14:paraId="267A803A" w14:textId="77777777" w:rsidTr="00CC6BF8">
        <w:tc>
          <w:tcPr>
            <w:tcW w:w="1421" w:type="dxa"/>
            <w:shd w:val="clear" w:color="auto" w:fill="auto"/>
          </w:tcPr>
          <w:p w14:paraId="69C15932" w14:textId="77777777" w:rsidR="00CC6BF8" w:rsidRPr="0022638F" w:rsidRDefault="00CC6BF8" w:rsidP="00CC6BF8">
            <w:pPr>
              <w:pStyle w:val="SingleTxtG"/>
              <w:ind w:left="0" w:right="3"/>
              <w:rPr>
                <w:lang w:val="fr-FR"/>
              </w:rPr>
            </w:pPr>
            <w:r w:rsidRPr="0022638F">
              <w:rPr>
                <w:lang w:val="fr-FR"/>
              </w:rPr>
              <w:t>Incidences :</w:t>
            </w:r>
          </w:p>
        </w:tc>
        <w:tc>
          <w:tcPr>
            <w:tcW w:w="5700" w:type="dxa"/>
            <w:shd w:val="clear" w:color="auto" w:fill="auto"/>
          </w:tcPr>
          <w:p w14:paraId="3987B6BF" w14:textId="77777777" w:rsidR="00CC6BF8" w:rsidRPr="0022638F" w:rsidRDefault="00CC6BF8" w:rsidP="00CC6BF8">
            <w:pPr>
              <w:pStyle w:val="SingleTxtG"/>
              <w:ind w:left="0" w:right="0"/>
              <w:rPr>
                <w:lang w:val="fr-FR"/>
              </w:rPr>
            </w:pPr>
            <w:r w:rsidRPr="0022638F">
              <w:rPr>
                <w:lang w:val="fr-FR"/>
              </w:rPr>
              <w:t>Si le système visé est obsolète, la modification n</w:t>
            </w:r>
            <w:r>
              <w:rPr>
                <w:lang w:val="fr-FR"/>
              </w:rPr>
              <w:t>’</w:t>
            </w:r>
            <w:r w:rsidRPr="0022638F">
              <w:rPr>
                <w:lang w:val="fr-FR"/>
              </w:rPr>
              <w:t>a</w:t>
            </w:r>
            <w:r>
              <w:rPr>
                <w:lang w:val="fr-FR"/>
              </w:rPr>
              <w:t>ura</w:t>
            </w:r>
            <w:r w:rsidRPr="0022638F">
              <w:rPr>
                <w:lang w:val="fr-FR"/>
              </w:rPr>
              <w:t xml:space="preserve"> pas d</w:t>
            </w:r>
            <w:r>
              <w:rPr>
                <w:lang w:val="fr-FR"/>
              </w:rPr>
              <w:t>’</w:t>
            </w:r>
            <w:r w:rsidRPr="0022638F">
              <w:rPr>
                <w:lang w:val="fr-FR"/>
              </w:rPr>
              <w:t>incidence</w:t>
            </w:r>
            <w:r>
              <w:rPr>
                <w:lang w:val="fr-FR"/>
              </w:rPr>
              <w:t> ;</w:t>
            </w:r>
            <w:r w:rsidRPr="0022638F">
              <w:rPr>
                <w:lang w:val="fr-FR"/>
              </w:rPr>
              <w:t xml:space="preserve"> s</w:t>
            </w:r>
            <w:r>
              <w:rPr>
                <w:lang w:val="fr-FR"/>
              </w:rPr>
              <w:t>’</w:t>
            </w:r>
            <w:r w:rsidRPr="0022638F">
              <w:rPr>
                <w:lang w:val="fr-FR"/>
              </w:rPr>
              <w:t>il n</w:t>
            </w:r>
            <w:r>
              <w:rPr>
                <w:lang w:val="fr-FR"/>
              </w:rPr>
              <w:t>’</w:t>
            </w:r>
            <w:r w:rsidRPr="0022638F">
              <w:rPr>
                <w:lang w:val="fr-FR"/>
              </w:rPr>
              <w:t xml:space="preserve">est pas obsolète, les prescriptions seront établies de manière correcte. </w:t>
            </w:r>
          </w:p>
        </w:tc>
      </w:tr>
      <w:tr w:rsidR="00CC6BF8" w:rsidRPr="00A20428" w14:paraId="4501517C" w14:textId="77777777" w:rsidTr="00CC6BF8">
        <w:tc>
          <w:tcPr>
            <w:tcW w:w="1421" w:type="dxa"/>
            <w:shd w:val="clear" w:color="auto" w:fill="auto"/>
          </w:tcPr>
          <w:p w14:paraId="4495E572" w14:textId="77777777" w:rsidR="00CC6BF8" w:rsidRPr="0022638F" w:rsidRDefault="00CC6BF8" w:rsidP="00CC6BF8">
            <w:pPr>
              <w:pStyle w:val="SingleTxtG"/>
              <w:ind w:left="0" w:right="0"/>
              <w:rPr>
                <w:lang w:val="fr-FR"/>
              </w:rPr>
            </w:pPr>
            <w:r w:rsidRPr="0022638F">
              <w:rPr>
                <w:lang w:val="fr-FR"/>
              </w:rPr>
              <w:t>Applicabilité :</w:t>
            </w:r>
          </w:p>
        </w:tc>
        <w:tc>
          <w:tcPr>
            <w:tcW w:w="5700" w:type="dxa"/>
            <w:shd w:val="clear" w:color="auto" w:fill="auto"/>
          </w:tcPr>
          <w:p w14:paraId="45901EFB" w14:textId="77777777" w:rsidR="00CC6BF8" w:rsidRPr="0022638F" w:rsidRDefault="00CC6BF8" w:rsidP="00CC6BF8">
            <w:pPr>
              <w:pStyle w:val="SingleTxtG"/>
              <w:ind w:left="0" w:right="0"/>
              <w:rPr>
                <w:lang w:val="fr-FR"/>
              </w:rPr>
            </w:pPr>
            <w:r w:rsidRPr="0022638F">
              <w:rPr>
                <w:lang w:val="fr-FR"/>
              </w:rPr>
              <w:t>Aucun problème n</w:t>
            </w:r>
            <w:r>
              <w:rPr>
                <w:lang w:val="fr-FR"/>
              </w:rPr>
              <w:t>’</w:t>
            </w:r>
            <w:r w:rsidRPr="0022638F">
              <w:rPr>
                <w:lang w:val="fr-FR"/>
              </w:rPr>
              <w:t>est à prévoir en ce qui concerne l</w:t>
            </w:r>
            <w:r>
              <w:rPr>
                <w:lang w:val="fr-FR"/>
              </w:rPr>
              <w:t>’</w:t>
            </w:r>
            <w:r w:rsidRPr="0022638F">
              <w:rPr>
                <w:lang w:val="fr-FR"/>
              </w:rPr>
              <w:t>application de la présente proposition.</w:t>
            </w:r>
          </w:p>
        </w:tc>
      </w:tr>
    </w:tbl>
    <w:bookmarkEnd w:id="0"/>
    <w:p w14:paraId="35749947" w14:textId="00C576E1" w:rsidR="00F9573C" w:rsidRPr="00CC6BF8" w:rsidRDefault="00CC6BF8" w:rsidP="00CC6BF8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F9573C" w:rsidRPr="00CC6BF8" w:rsidSect="00CC6BF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742D7" w14:textId="77777777" w:rsidR="00EF0455" w:rsidRDefault="00EF0455" w:rsidP="00F95C08">
      <w:pPr>
        <w:spacing w:line="240" w:lineRule="auto"/>
      </w:pPr>
    </w:p>
  </w:endnote>
  <w:endnote w:type="continuationSeparator" w:id="0">
    <w:p w14:paraId="25D44DA9" w14:textId="77777777" w:rsidR="00EF0455" w:rsidRPr="00AC3823" w:rsidRDefault="00EF0455" w:rsidP="00AC3823">
      <w:pPr>
        <w:pStyle w:val="Pieddepage"/>
      </w:pPr>
    </w:p>
  </w:endnote>
  <w:endnote w:type="continuationNotice" w:id="1">
    <w:p w14:paraId="042ED45D" w14:textId="77777777" w:rsidR="00EF0455" w:rsidRDefault="00EF045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D0CE8" w14:textId="42A72101" w:rsidR="00CC6BF8" w:rsidRPr="00CC6BF8" w:rsidRDefault="00CC6BF8" w:rsidP="00CC6BF8">
    <w:pPr>
      <w:pStyle w:val="Pieddepage"/>
      <w:tabs>
        <w:tab w:val="right" w:pos="9638"/>
      </w:tabs>
    </w:pPr>
    <w:r w:rsidRPr="00CC6BF8">
      <w:rPr>
        <w:b/>
        <w:sz w:val="18"/>
      </w:rPr>
      <w:fldChar w:fldCharType="begin"/>
    </w:r>
    <w:r w:rsidRPr="00CC6BF8">
      <w:rPr>
        <w:b/>
        <w:sz w:val="18"/>
      </w:rPr>
      <w:instrText xml:space="preserve"> PAGE  \* MERGEFORMAT </w:instrText>
    </w:r>
    <w:r w:rsidRPr="00CC6BF8">
      <w:rPr>
        <w:b/>
        <w:sz w:val="18"/>
      </w:rPr>
      <w:fldChar w:fldCharType="separate"/>
    </w:r>
    <w:r w:rsidRPr="00CC6BF8">
      <w:rPr>
        <w:b/>
        <w:noProof/>
        <w:sz w:val="18"/>
      </w:rPr>
      <w:t>2</w:t>
    </w:r>
    <w:r w:rsidRPr="00CC6BF8">
      <w:rPr>
        <w:b/>
        <w:sz w:val="18"/>
      </w:rPr>
      <w:fldChar w:fldCharType="end"/>
    </w:r>
    <w:r>
      <w:rPr>
        <w:b/>
        <w:sz w:val="18"/>
      </w:rPr>
      <w:tab/>
    </w:r>
    <w:r>
      <w:t>GE.23-15403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0AF68" w14:textId="2AC764CF" w:rsidR="00CC6BF8" w:rsidRPr="00CC6BF8" w:rsidRDefault="00CC6BF8" w:rsidP="00CC6BF8">
    <w:pPr>
      <w:pStyle w:val="Pieddepage"/>
      <w:tabs>
        <w:tab w:val="right" w:pos="9638"/>
      </w:tabs>
      <w:rPr>
        <w:b/>
        <w:sz w:val="18"/>
      </w:rPr>
    </w:pPr>
    <w:r>
      <w:t>GE.23-15403</w:t>
    </w:r>
    <w:r>
      <w:tab/>
    </w:r>
    <w:r w:rsidRPr="00CC6BF8">
      <w:rPr>
        <w:b/>
        <w:sz w:val="18"/>
      </w:rPr>
      <w:fldChar w:fldCharType="begin"/>
    </w:r>
    <w:r w:rsidRPr="00CC6BF8">
      <w:rPr>
        <w:b/>
        <w:sz w:val="18"/>
      </w:rPr>
      <w:instrText xml:space="preserve"> PAGE  \* MERGEFORMAT </w:instrText>
    </w:r>
    <w:r w:rsidRPr="00CC6BF8">
      <w:rPr>
        <w:b/>
        <w:sz w:val="18"/>
      </w:rPr>
      <w:fldChar w:fldCharType="separate"/>
    </w:r>
    <w:r w:rsidRPr="00CC6BF8">
      <w:rPr>
        <w:b/>
        <w:noProof/>
        <w:sz w:val="18"/>
      </w:rPr>
      <w:t>3</w:t>
    </w:r>
    <w:r w:rsidRPr="00CC6B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166E1" w14:textId="718120BD" w:rsidR="007F20FA" w:rsidRPr="00CC6BF8" w:rsidRDefault="00CC6BF8" w:rsidP="00CC6BF8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2C546882" wp14:editId="0C5906BD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23-15403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DEDCF41" wp14:editId="21E972E5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92652499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010923    040923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7902F" w14:textId="77777777" w:rsidR="00EF0455" w:rsidRPr="00AC3823" w:rsidRDefault="00EF0455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25244F5" w14:textId="77777777" w:rsidR="00EF0455" w:rsidRPr="00AC3823" w:rsidRDefault="00EF0455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411B05A" w14:textId="77777777" w:rsidR="00EF0455" w:rsidRPr="00AC3823" w:rsidRDefault="00EF0455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1FEAE" w14:textId="17B53317" w:rsidR="00CC6BF8" w:rsidRPr="00CC6BF8" w:rsidRDefault="00CC6BF8">
    <w:pPr>
      <w:pStyle w:val="En-tte"/>
    </w:pPr>
    <w:fldSimple w:instr=" TITLE  \* MERGEFORMAT ">
      <w:r w:rsidR="007D1E72">
        <w:t>ECE/TRANS/WP.11/2023/19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D90E1" w14:textId="455D6598" w:rsidR="00CC6BF8" w:rsidRPr="00CC6BF8" w:rsidRDefault="00CC6BF8" w:rsidP="00CC6BF8">
    <w:pPr>
      <w:pStyle w:val="En-tte"/>
      <w:jc w:val="right"/>
    </w:pPr>
    <w:fldSimple w:instr=" TITLE  \* MERGEFORMAT ">
      <w:r w:rsidR="007D1E72">
        <w:t>ECE/TRANS/WP.11/2023/19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4EB42374"/>
    <w:multiLevelType w:val="hybridMultilevel"/>
    <w:tmpl w:val="E1949052"/>
    <w:lvl w:ilvl="0" w:tplc="80B4066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845241687">
    <w:abstractNumId w:val="13"/>
  </w:num>
  <w:num w:numId="2" w16cid:durableId="254748769">
    <w:abstractNumId w:val="11"/>
  </w:num>
  <w:num w:numId="3" w16cid:durableId="22556964">
    <w:abstractNumId w:val="10"/>
  </w:num>
  <w:num w:numId="4" w16cid:durableId="762577873">
    <w:abstractNumId w:val="8"/>
  </w:num>
  <w:num w:numId="5" w16cid:durableId="1265386023">
    <w:abstractNumId w:val="3"/>
  </w:num>
  <w:num w:numId="6" w16cid:durableId="1666976853">
    <w:abstractNumId w:val="2"/>
  </w:num>
  <w:num w:numId="7" w16cid:durableId="1790927090">
    <w:abstractNumId w:val="1"/>
  </w:num>
  <w:num w:numId="8" w16cid:durableId="1258826678">
    <w:abstractNumId w:val="0"/>
  </w:num>
  <w:num w:numId="9" w16cid:durableId="1018773232">
    <w:abstractNumId w:val="9"/>
  </w:num>
  <w:num w:numId="10" w16cid:durableId="1957638197">
    <w:abstractNumId w:val="7"/>
  </w:num>
  <w:num w:numId="11" w16cid:durableId="1377588718">
    <w:abstractNumId w:val="6"/>
  </w:num>
  <w:num w:numId="12" w16cid:durableId="1049304015">
    <w:abstractNumId w:val="5"/>
  </w:num>
  <w:num w:numId="13" w16cid:durableId="53309994">
    <w:abstractNumId w:val="4"/>
  </w:num>
  <w:num w:numId="14" w16cid:durableId="56361055">
    <w:abstractNumId w:val="13"/>
  </w:num>
  <w:num w:numId="15" w16cid:durableId="1236552672">
    <w:abstractNumId w:val="11"/>
  </w:num>
  <w:num w:numId="16" w16cid:durableId="94444181">
    <w:abstractNumId w:val="10"/>
  </w:num>
  <w:num w:numId="17" w16cid:durableId="7802269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455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4E7F0A"/>
    <w:rsid w:val="005505B7"/>
    <w:rsid w:val="00573BE5"/>
    <w:rsid w:val="00586ED3"/>
    <w:rsid w:val="00596AA9"/>
    <w:rsid w:val="0071601D"/>
    <w:rsid w:val="007A62E6"/>
    <w:rsid w:val="007D1E72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BC2C2C"/>
    <w:rsid w:val="00C02897"/>
    <w:rsid w:val="00C7294A"/>
    <w:rsid w:val="00C97039"/>
    <w:rsid w:val="00CC6BF8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0455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A5EE90"/>
  <w15:docId w15:val="{497E72DD-9DEB-47E3-B53E-5474AE90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locked/>
    <w:rsid w:val="00CC6BF8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CC6BF8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572689-B10D-4E00-ADC5-472A2886EFF7}"/>
</file>

<file path=customXml/itemProps2.xml><?xml version="1.0" encoding="utf-8"?>
<ds:datastoreItem xmlns:ds="http://schemas.openxmlformats.org/officeDocument/2006/customXml" ds:itemID="{27346E23-CDF8-42E4-970E-63361147FABC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3</Pages>
  <Words>1051</Words>
  <Characters>5739</Characters>
  <Application>Microsoft Office Word</Application>
  <DocSecurity>0</DocSecurity>
  <Lines>115</Lines>
  <Paragraphs>53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ECE/TRANS/WP.11/2023/19</vt:lpstr>
    </vt:vector>
  </TitlesOfParts>
  <Company>DCM</Company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ECE/TRANS/WP.11/2023/19</dc:title>
  <dc:subject/>
  <dc:creator>Christine CHAUTAGNAT</dc:creator>
  <cp:keywords/>
  <cp:lastModifiedBy>Christine Chautagnat</cp:lastModifiedBy>
  <cp:revision>3</cp:revision>
  <cp:lastPrinted>2023-09-04T13:48:00Z</cp:lastPrinted>
  <dcterms:created xsi:type="dcterms:W3CDTF">2023-09-04T13:48:00Z</dcterms:created>
  <dcterms:modified xsi:type="dcterms:W3CDTF">2023-09-04T13:49:00Z</dcterms:modified>
</cp:coreProperties>
</file>