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F330087" w14:textId="77777777" w:rsidTr="00387CD4">
        <w:trPr>
          <w:trHeight w:hRule="exact" w:val="851"/>
        </w:trPr>
        <w:tc>
          <w:tcPr>
            <w:tcW w:w="142" w:type="dxa"/>
            <w:tcBorders>
              <w:bottom w:val="single" w:sz="4" w:space="0" w:color="auto"/>
            </w:tcBorders>
          </w:tcPr>
          <w:p w14:paraId="0DA7CF45" w14:textId="77777777" w:rsidR="002D5AAC" w:rsidRDefault="002D5AAC" w:rsidP="00541B6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9C730F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9ADE4E4" w14:textId="3ED8026B" w:rsidR="002D5AAC" w:rsidRDefault="00541B68" w:rsidP="00541B68">
            <w:pPr>
              <w:jc w:val="right"/>
            </w:pPr>
            <w:r w:rsidRPr="00541B68">
              <w:rPr>
                <w:sz w:val="40"/>
              </w:rPr>
              <w:t>ECE</w:t>
            </w:r>
            <w:r>
              <w:t>/TRANS/WP.11/2023/16</w:t>
            </w:r>
          </w:p>
        </w:tc>
      </w:tr>
      <w:tr w:rsidR="002D5AAC" w14:paraId="77266F7A" w14:textId="77777777" w:rsidTr="00387CD4">
        <w:trPr>
          <w:trHeight w:hRule="exact" w:val="2835"/>
        </w:trPr>
        <w:tc>
          <w:tcPr>
            <w:tcW w:w="1280" w:type="dxa"/>
            <w:gridSpan w:val="2"/>
            <w:tcBorders>
              <w:top w:val="single" w:sz="4" w:space="0" w:color="auto"/>
              <w:bottom w:val="single" w:sz="12" w:space="0" w:color="auto"/>
            </w:tcBorders>
          </w:tcPr>
          <w:p w14:paraId="72A824FD" w14:textId="77777777" w:rsidR="002D5AAC" w:rsidRDefault="002E5067" w:rsidP="00387CD4">
            <w:pPr>
              <w:spacing w:before="120"/>
              <w:jc w:val="center"/>
            </w:pPr>
            <w:r>
              <w:rPr>
                <w:noProof/>
                <w:lang w:val="fr-CH" w:eastAsia="fr-CH"/>
              </w:rPr>
              <w:drawing>
                <wp:inline distT="0" distB="0" distL="0" distR="0" wp14:anchorId="45AFCAC4" wp14:editId="0402893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79FF7F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F77C0DF" w14:textId="77777777" w:rsidR="002D5AAC" w:rsidRDefault="00541B68" w:rsidP="00387CD4">
            <w:pPr>
              <w:spacing w:before="240"/>
              <w:rPr>
                <w:lang w:val="en-US"/>
              </w:rPr>
            </w:pPr>
            <w:r>
              <w:rPr>
                <w:lang w:val="en-US"/>
              </w:rPr>
              <w:t>Distr.: General</w:t>
            </w:r>
          </w:p>
          <w:p w14:paraId="57D0D2BF" w14:textId="77777777" w:rsidR="00541B68" w:rsidRDefault="00541B68" w:rsidP="00541B68">
            <w:pPr>
              <w:spacing w:line="240" w:lineRule="exact"/>
              <w:rPr>
                <w:lang w:val="en-US"/>
              </w:rPr>
            </w:pPr>
            <w:r>
              <w:rPr>
                <w:lang w:val="en-US"/>
              </w:rPr>
              <w:t>7 August 2023</w:t>
            </w:r>
          </w:p>
          <w:p w14:paraId="6C5879F8" w14:textId="77777777" w:rsidR="00541B68" w:rsidRDefault="00541B68" w:rsidP="00541B68">
            <w:pPr>
              <w:spacing w:line="240" w:lineRule="exact"/>
              <w:rPr>
                <w:lang w:val="en-US"/>
              </w:rPr>
            </w:pPr>
            <w:r>
              <w:rPr>
                <w:lang w:val="en-US"/>
              </w:rPr>
              <w:t>Russian</w:t>
            </w:r>
          </w:p>
          <w:p w14:paraId="0EF8BAE4" w14:textId="152EDCD4" w:rsidR="00541B68" w:rsidRPr="008D53B6" w:rsidRDefault="00541B68" w:rsidP="00541B68">
            <w:pPr>
              <w:spacing w:line="240" w:lineRule="exact"/>
              <w:rPr>
                <w:lang w:val="en-US"/>
              </w:rPr>
            </w:pPr>
            <w:r>
              <w:rPr>
                <w:lang w:val="en-US"/>
              </w:rPr>
              <w:t>Original: English</w:t>
            </w:r>
          </w:p>
        </w:tc>
      </w:tr>
    </w:tbl>
    <w:p w14:paraId="188F936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C7C3AD3" w14:textId="77777777" w:rsidR="00541B68" w:rsidRPr="006D0AF6" w:rsidRDefault="00541B68" w:rsidP="00541B68">
      <w:pPr>
        <w:spacing w:before="120"/>
        <w:rPr>
          <w:rFonts w:asciiTheme="majorBidi" w:hAnsiTheme="majorBidi" w:cstheme="majorBidi"/>
          <w:sz w:val="28"/>
          <w:szCs w:val="28"/>
        </w:rPr>
      </w:pPr>
      <w:r w:rsidRPr="006D0AF6">
        <w:rPr>
          <w:rFonts w:asciiTheme="majorBidi" w:hAnsiTheme="majorBidi" w:cstheme="majorBidi"/>
          <w:sz w:val="28"/>
          <w:szCs w:val="28"/>
        </w:rPr>
        <w:t>Комитет по внутреннему транспорту</w:t>
      </w:r>
    </w:p>
    <w:p w14:paraId="44E9B640" w14:textId="77777777" w:rsidR="00541B68" w:rsidRPr="006D0AF6" w:rsidRDefault="00541B68" w:rsidP="00541B68">
      <w:pPr>
        <w:spacing w:before="120"/>
        <w:rPr>
          <w:rFonts w:asciiTheme="majorBidi" w:hAnsiTheme="majorBidi" w:cstheme="majorBidi"/>
          <w:b/>
          <w:sz w:val="24"/>
          <w:szCs w:val="24"/>
        </w:rPr>
      </w:pPr>
      <w:r w:rsidRPr="006D0AF6">
        <w:rPr>
          <w:rFonts w:asciiTheme="majorBidi" w:hAnsiTheme="majorBidi" w:cstheme="majorBidi"/>
          <w:b/>
          <w:bCs/>
          <w:sz w:val="24"/>
          <w:szCs w:val="24"/>
        </w:rPr>
        <w:t xml:space="preserve">Рабочая группа по перевозкам скоропортящихся </w:t>
      </w:r>
      <w:r w:rsidRPr="006D0AF6">
        <w:rPr>
          <w:rFonts w:asciiTheme="majorBidi" w:hAnsiTheme="majorBidi" w:cstheme="majorBidi"/>
          <w:b/>
          <w:bCs/>
          <w:sz w:val="24"/>
          <w:szCs w:val="24"/>
        </w:rPr>
        <w:br/>
        <w:t>пищевых продуктов</w:t>
      </w:r>
    </w:p>
    <w:p w14:paraId="550189FE" w14:textId="77777777" w:rsidR="00541B68" w:rsidRPr="006D0AF6" w:rsidRDefault="00541B68" w:rsidP="00541B68">
      <w:pPr>
        <w:spacing w:before="120"/>
        <w:rPr>
          <w:rFonts w:asciiTheme="majorBidi" w:hAnsiTheme="majorBidi" w:cstheme="majorBidi"/>
          <w:b/>
        </w:rPr>
      </w:pPr>
      <w:r>
        <w:rPr>
          <w:rFonts w:asciiTheme="majorBidi" w:hAnsiTheme="majorBidi" w:cstheme="majorBidi"/>
          <w:b/>
          <w:bCs/>
        </w:rPr>
        <w:t>Восьмидесятая</w:t>
      </w:r>
      <w:r w:rsidRPr="006D0AF6">
        <w:rPr>
          <w:rFonts w:asciiTheme="majorBidi" w:hAnsiTheme="majorBidi" w:cstheme="majorBidi"/>
          <w:b/>
          <w:bCs/>
        </w:rPr>
        <w:t xml:space="preserve"> сессия</w:t>
      </w:r>
    </w:p>
    <w:p w14:paraId="3717BFD3" w14:textId="77777777" w:rsidR="00541B68" w:rsidRPr="006D0AF6" w:rsidRDefault="00541B68" w:rsidP="00541B68">
      <w:pPr>
        <w:rPr>
          <w:rFonts w:asciiTheme="majorBidi" w:hAnsiTheme="majorBidi" w:cstheme="majorBidi"/>
        </w:rPr>
      </w:pPr>
      <w:r w:rsidRPr="006D0AF6">
        <w:rPr>
          <w:rFonts w:asciiTheme="majorBidi" w:hAnsiTheme="majorBidi" w:cstheme="majorBidi"/>
        </w:rPr>
        <w:t>Женева, 2</w:t>
      </w:r>
      <w:r>
        <w:rPr>
          <w:rFonts w:asciiTheme="majorBidi" w:hAnsiTheme="majorBidi" w:cstheme="majorBidi"/>
        </w:rPr>
        <w:t>4</w:t>
      </w:r>
      <w:r w:rsidRPr="006D0AF6">
        <w:rPr>
          <w:rFonts w:asciiTheme="majorBidi" w:hAnsiTheme="majorBidi" w:cstheme="majorBidi"/>
        </w:rPr>
        <w:t>−2</w:t>
      </w:r>
      <w:r>
        <w:rPr>
          <w:rFonts w:asciiTheme="majorBidi" w:hAnsiTheme="majorBidi" w:cstheme="majorBidi"/>
        </w:rPr>
        <w:t>7</w:t>
      </w:r>
      <w:r w:rsidRPr="006D0AF6">
        <w:rPr>
          <w:rFonts w:asciiTheme="majorBidi" w:hAnsiTheme="majorBidi" w:cstheme="majorBidi"/>
        </w:rPr>
        <w:t xml:space="preserve"> октября 202</w:t>
      </w:r>
      <w:r>
        <w:rPr>
          <w:rFonts w:asciiTheme="majorBidi" w:hAnsiTheme="majorBidi" w:cstheme="majorBidi"/>
        </w:rPr>
        <w:t>3</w:t>
      </w:r>
      <w:r w:rsidRPr="006D0AF6">
        <w:rPr>
          <w:rFonts w:asciiTheme="majorBidi" w:hAnsiTheme="majorBidi" w:cstheme="majorBidi"/>
        </w:rPr>
        <w:t xml:space="preserve"> года</w:t>
      </w:r>
    </w:p>
    <w:p w14:paraId="2526C05F" w14:textId="77777777" w:rsidR="00541B68" w:rsidRPr="00425F1F" w:rsidRDefault="00541B68" w:rsidP="00541B68">
      <w:r>
        <w:t>Пункт 5 b) предварительной повестки дня</w:t>
      </w:r>
    </w:p>
    <w:p w14:paraId="7AD32C61" w14:textId="42EF87AC" w:rsidR="00541B68" w:rsidRPr="00425F1F" w:rsidRDefault="00541B68" w:rsidP="00541B68">
      <w:pPr>
        <w:rPr>
          <w:b/>
          <w:bCs/>
        </w:rPr>
      </w:pPr>
      <w:r>
        <w:rPr>
          <w:b/>
          <w:bCs/>
        </w:rPr>
        <w:t>Предложения по поправкам к СПС:</w:t>
      </w:r>
      <w:r>
        <w:rPr>
          <w:b/>
          <w:bCs/>
        </w:rPr>
        <w:br/>
      </w:r>
      <w:r>
        <w:rPr>
          <w:b/>
          <w:bCs/>
        </w:rPr>
        <w:t>новые предложения</w:t>
      </w:r>
    </w:p>
    <w:p w14:paraId="125A8BAA" w14:textId="77777777" w:rsidR="00541B68" w:rsidRDefault="00541B68" w:rsidP="00541B68">
      <w:pPr>
        <w:pStyle w:val="HChG"/>
      </w:pPr>
      <w:r>
        <w:tab/>
      </w:r>
      <w:r>
        <w:tab/>
      </w:r>
      <w:r>
        <w:rPr>
          <w:bCs/>
        </w:rPr>
        <w:t>Исправление к статье 3 добавления 1 к приложению 1, касающееся текста СПС на английском и русском языках</w:t>
      </w:r>
    </w:p>
    <w:p w14:paraId="36ACA724" w14:textId="77777777" w:rsidR="00541B68" w:rsidRDefault="00541B68" w:rsidP="00541B68">
      <w:pPr>
        <w:pStyle w:val="H1G"/>
      </w:pPr>
      <w:r>
        <w:tab/>
      </w:r>
      <w:r>
        <w:tab/>
      </w:r>
      <w:r>
        <w:rPr>
          <w:bCs/>
        </w:rPr>
        <w:t>Передано правительством Нидерландов</w:t>
      </w:r>
    </w:p>
    <w:tbl>
      <w:tblPr>
        <w:tblStyle w:val="ac"/>
        <w:tblW w:w="0" w:type="auto"/>
        <w:jc w:val="center"/>
        <w:tblBorders>
          <w:insideH w:val="none" w:sz="0" w:space="0" w:color="auto"/>
        </w:tblBorders>
        <w:tblLayout w:type="fixed"/>
        <w:tblLook w:val="05E0" w:firstRow="1" w:lastRow="1" w:firstColumn="1" w:lastColumn="1" w:noHBand="0" w:noVBand="1"/>
      </w:tblPr>
      <w:tblGrid>
        <w:gridCol w:w="9629"/>
      </w:tblGrid>
      <w:tr w:rsidR="00541B68" w14:paraId="209FF36C" w14:textId="77777777" w:rsidTr="00A644EA">
        <w:trPr>
          <w:jc w:val="center"/>
        </w:trPr>
        <w:tc>
          <w:tcPr>
            <w:tcW w:w="9629" w:type="dxa"/>
            <w:shd w:val="clear" w:color="auto" w:fill="auto"/>
          </w:tcPr>
          <w:p w14:paraId="1894D444" w14:textId="77777777" w:rsidR="00541B68" w:rsidRPr="00541B68" w:rsidRDefault="00541B68" w:rsidP="00A644EA">
            <w:pPr>
              <w:spacing w:before="240" w:after="120"/>
              <w:ind w:left="255"/>
              <w:rPr>
                <w:i/>
                <w:sz w:val="24"/>
                <w:szCs w:val="24"/>
              </w:rPr>
            </w:pPr>
            <w:r w:rsidRPr="00541B68">
              <w:rPr>
                <w:i/>
                <w:iCs/>
                <w:sz w:val="24"/>
                <w:szCs w:val="24"/>
              </w:rPr>
              <w:t>Резюме</w:t>
            </w:r>
          </w:p>
        </w:tc>
      </w:tr>
      <w:tr w:rsidR="00541B68" w14:paraId="68498F9A" w14:textId="77777777" w:rsidTr="00A644EA">
        <w:trPr>
          <w:jc w:val="center"/>
        </w:trPr>
        <w:tc>
          <w:tcPr>
            <w:tcW w:w="9629" w:type="dxa"/>
            <w:shd w:val="clear" w:color="auto" w:fill="auto"/>
          </w:tcPr>
          <w:p w14:paraId="334A2AFC" w14:textId="77777777" w:rsidR="00541B68" w:rsidRDefault="00541B68" w:rsidP="00541B68">
            <w:pPr>
              <w:pStyle w:val="SingleTxtG"/>
              <w:ind w:left="3969" w:hanging="2835"/>
              <w:rPr>
                <w:bCs/>
              </w:rPr>
            </w:pPr>
            <w:r w:rsidRPr="00FE666C">
              <w:rPr>
                <w:b/>
                <w:bCs/>
              </w:rPr>
              <w:t>Существо предложения:</w:t>
            </w:r>
            <w:r>
              <w:tab/>
              <w:t>При передаче транспортного средства от одной договаривающейся стороны к другой принимающая договаривающаяся сторона может его проинспектировать. Однако если в тексте на французском языке предусматривается возможность проверки соответствия транспортного средства (предписаниям), то в тексте на английском и русском языках предусматривается только возможность его идентификации.</w:t>
            </w:r>
          </w:p>
          <w:p w14:paraId="3F5FDA97" w14:textId="77777777" w:rsidR="00541B68" w:rsidRPr="00DD337F" w:rsidRDefault="00541B68" w:rsidP="00541B68">
            <w:pPr>
              <w:pStyle w:val="SingleTxtG"/>
              <w:ind w:left="3969" w:hanging="2835"/>
              <w:rPr>
                <w:bCs/>
              </w:rPr>
            </w:pPr>
            <w:r>
              <w:rPr>
                <w:b/>
                <w:bCs/>
              </w:rPr>
              <w:t>Предлагаемое решение:</w:t>
            </w:r>
            <w:r>
              <w:tab/>
            </w:r>
            <w:r>
              <w:tab/>
              <w:t>Внести изменения в текст СПС на английском и русском языках.</w:t>
            </w:r>
          </w:p>
          <w:p w14:paraId="5B51B2EA" w14:textId="7A34A69A" w:rsidR="00541B68" w:rsidRDefault="00541B68" w:rsidP="00541B68">
            <w:pPr>
              <w:pStyle w:val="SingleTxtG"/>
              <w:ind w:left="3969" w:hanging="2835"/>
            </w:pPr>
            <w:r w:rsidRPr="00FE666C">
              <w:rPr>
                <w:b/>
                <w:bCs/>
              </w:rPr>
              <w:t>Справочные документы:</w:t>
            </w:r>
            <w:r>
              <w:t xml:space="preserve"> </w:t>
            </w:r>
            <w:r>
              <w:tab/>
            </w:r>
            <w:r>
              <w:t>Не применимо</w:t>
            </w:r>
          </w:p>
        </w:tc>
      </w:tr>
      <w:tr w:rsidR="00541B68" w14:paraId="2E24ABE8" w14:textId="77777777" w:rsidTr="00A644EA">
        <w:trPr>
          <w:jc w:val="center"/>
        </w:trPr>
        <w:tc>
          <w:tcPr>
            <w:tcW w:w="9629" w:type="dxa"/>
            <w:shd w:val="clear" w:color="auto" w:fill="auto"/>
          </w:tcPr>
          <w:p w14:paraId="6916E38E" w14:textId="77777777" w:rsidR="00541B68" w:rsidRDefault="00541B68" w:rsidP="00A644EA"/>
        </w:tc>
      </w:tr>
    </w:tbl>
    <w:p w14:paraId="018A928B" w14:textId="77777777" w:rsidR="00541B68" w:rsidRDefault="00541B68">
      <w:pPr>
        <w:suppressAutoHyphens w:val="0"/>
        <w:spacing w:line="240" w:lineRule="auto"/>
        <w:rPr>
          <w:rFonts w:eastAsia="Times New Roman" w:cs="Times New Roman"/>
          <w:b/>
          <w:sz w:val="28"/>
          <w:szCs w:val="20"/>
          <w:lang w:eastAsia="ru-RU"/>
        </w:rPr>
      </w:pPr>
      <w:r>
        <w:br w:type="page"/>
      </w:r>
    </w:p>
    <w:p w14:paraId="4FE3BDA5" w14:textId="397967A9" w:rsidR="00541B68" w:rsidRDefault="00541B68" w:rsidP="00541B68">
      <w:pPr>
        <w:pStyle w:val="HChG"/>
      </w:pPr>
      <w:r>
        <w:lastRenderedPageBreak/>
        <w:tab/>
      </w:r>
      <w:r>
        <w:tab/>
      </w:r>
      <w:r>
        <w:rPr>
          <w:bCs/>
        </w:rPr>
        <w:t>Введение</w:t>
      </w:r>
    </w:p>
    <w:p w14:paraId="6EEF3F07" w14:textId="77777777" w:rsidR="00541B68" w:rsidRDefault="00541B68" w:rsidP="00541B68">
      <w:pPr>
        <w:pStyle w:val="SingleTxtG"/>
      </w:pPr>
      <w:r>
        <w:t>1.</w:t>
      </w:r>
      <w:r>
        <w:tab/>
        <w:t>Было отмечено, что содержание пункта 3 добавления 1 к приложению 1 во французском тексте СПС отличается от его содержания на английском языке, а также, возможно, и на русском языке.</w:t>
      </w:r>
    </w:p>
    <w:p w14:paraId="6B51D272" w14:textId="77777777" w:rsidR="00541B68" w:rsidRPr="00541B68" w:rsidRDefault="00541B68" w:rsidP="00541B68">
      <w:pPr>
        <w:pStyle w:val="H4G"/>
        <w:rPr>
          <w:lang w:val="fr-FR"/>
        </w:rPr>
      </w:pPr>
      <w:r>
        <w:tab/>
      </w:r>
      <w:r>
        <w:tab/>
      </w:r>
      <w:r>
        <w:rPr>
          <w:iCs/>
        </w:rPr>
        <w:t>Текст</w:t>
      </w:r>
      <w:r w:rsidRPr="00541B68">
        <w:rPr>
          <w:iCs/>
          <w:lang w:val="fr-FR"/>
        </w:rPr>
        <w:t xml:space="preserve"> </w:t>
      </w:r>
      <w:r>
        <w:rPr>
          <w:iCs/>
        </w:rPr>
        <w:t>на</w:t>
      </w:r>
      <w:r w:rsidRPr="00541B68">
        <w:rPr>
          <w:iCs/>
          <w:lang w:val="fr-FR"/>
        </w:rPr>
        <w:t xml:space="preserve"> </w:t>
      </w:r>
      <w:r>
        <w:rPr>
          <w:iCs/>
        </w:rPr>
        <w:t>французском</w:t>
      </w:r>
      <w:r w:rsidRPr="00541B68">
        <w:rPr>
          <w:iCs/>
          <w:lang w:val="fr-FR"/>
        </w:rPr>
        <w:t xml:space="preserve"> </w:t>
      </w:r>
      <w:r>
        <w:rPr>
          <w:iCs/>
        </w:rPr>
        <w:t>языке</w:t>
      </w:r>
    </w:p>
    <w:p w14:paraId="3D0356A0" w14:textId="77777777" w:rsidR="00541B68" w:rsidRPr="00541B68" w:rsidRDefault="00541B68" w:rsidP="00541B68">
      <w:pPr>
        <w:pStyle w:val="SingleTxtG"/>
        <w:rPr>
          <w:lang w:val="fr-FR"/>
        </w:rPr>
      </w:pPr>
      <w:proofErr w:type="gramStart"/>
      <w:r w:rsidRPr="00541B68">
        <w:rPr>
          <w:lang w:val="fr-FR"/>
        </w:rPr>
        <w:t>«Si</w:t>
      </w:r>
      <w:proofErr w:type="gramEnd"/>
      <w:r w:rsidRPr="00541B68">
        <w:rPr>
          <w:lang w:val="fr-FR"/>
        </w:rPr>
        <w:t xml:space="preserve"> l’engin transféré avait déjà été mis en service, il peut faire l’objet d’un examen visuel pour vérifier sa conformité avant que l’autorité compétente du pays dans lequel il doit être immatriculé ou enregistré délivre une attestation de conformité».</w:t>
      </w:r>
    </w:p>
    <w:p w14:paraId="441F11AA" w14:textId="77777777" w:rsidR="00541B68" w:rsidRPr="00244CA9" w:rsidRDefault="00541B68" w:rsidP="00541B68">
      <w:pPr>
        <w:pStyle w:val="H4G"/>
      </w:pPr>
      <w:r w:rsidRPr="00541B68">
        <w:rPr>
          <w:lang w:val="fr-FR"/>
        </w:rPr>
        <w:tab/>
      </w:r>
      <w:r w:rsidRPr="00541B68">
        <w:rPr>
          <w:lang w:val="fr-FR"/>
        </w:rPr>
        <w:tab/>
      </w:r>
      <w:r>
        <w:rPr>
          <w:iCs/>
        </w:rPr>
        <w:t>Текст на английском языке</w:t>
      </w:r>
    </w:p>
    <w:p w14:paraId="76F582EB" w14:textId="77777777" w:rsidR="00541B68" w:rsidRPr="00541B68" w:rsidRDefault="00541B68" w:rsidP="00541B68">
      <w:pPr>
        <w:pStyle w:val="SingleTxtG"/>
        <w:rPr>
          <w:lang w:val="en-US"/>
        </w:rPr>
      </w:pPr>
      <w:r w:rsidRPr="00541B68">
        <w:rPr>
          <w:lang w:val="en-US"/>
        </w:rPr>
        <w:t>«In the case of equipment transferred after it has been in use, the equipment may be subject to a visual inspection to confirm its identity before the competent authority of the country, in which it is to be registered or recorded, issues a certificate of compliance».</w:t>
      </w:r>
    </w:p>
    <w:p w14:paraId="43AC5B3F" w14:textId="77777777" w:rsidR="00541B68" w:rsidRPr="00244CA9" w:rsidRDefault="00541B68" w:rsidP="00541B68">
      <w:pPr>
        <w:pStyle w:val="H4G"/>
      </w:pPr>
      <w:r w:rsidRPr="00541B68">
        <w:rPr>
          <w:lang w:val="en-US"/>
        </w:rPr>
        <w:tab/>
      </w:r>
      <w:r w:rsidRPr="00541B68">
        <w:rPr>
          <w:lang w:val="en-US"/>
        </w:rPr>
        <w:tab/>
      </w:r>
      <w:r>
        <w:rPr>
          <w:iCs/>
        </w:rPr>
        <w:t>Текст на русском языке</w:t>
      </w:r>
    </w:p>
    <w:p w14:paraId="46354CB0" w14:textId="77777777" w:rsidR="00541B68" w:rsidRPr="00244CA9" w:rsidRDefault="00541B68" w:rsidP="00541B68">
      <w:pPr>
        <w:pStyle w:val="SingleTxtG"/>
      </w:pPr>
      <w:r>
        <w:t>«В случае передачи транспортного средства, которое уже находилось в эксплуатации, может проводиться визуальный осмотр с целью его идентификации до выдачи свидетельства о соответствии компетентным органом страны, в которой это транспортное средство должно быть зарегистрировано или поставлено на учет».</w:t>
      </w:r>
    </w:p>
    <w:p w14:paraId="05CBDCC0" w14:textId="77777777" w:rsidR="00541B68" w:rsidRPr="00AB46CB" w:rsidRDefault="00541B68" w:rsidP="00541B68">
      <w:pPr>
        <w:pStyle w:val="SingleTxtG"/>
      </w:pPr>
      <w:r>
        <w:t>2.</w:t>
      </w:r>
      <w:r>
        <w:tab/>
        <w:t xml:space="preserve">В тексте на французском языке говорится о возможности проверки </w:t>
      </w:r>
      <w:r w:rsidRPr="00FE666C">
        <w:rPr>
          <w:i/>
          <w:iCs/>
        </w:rPr>
        <w:t>соответствия</w:t>
      </w:r>
      <w:r>
        <w:t xml:space="preserve"> (</w:t>
      </w:r>
      <w:proofErr w:type="spellStart"/>
      <w:r>
        <w:t>conformité</w:t>
      </w:r>
      <w:proofErr w:type="spellEnd"/>
      <w:r>
        <w:t xml:space="preserve">), в то время как в тексте на английском языке и (возможно) в тексте на русском языке говорится о возможности </w:t>
      </w:r>
      <w:r w:rsidRPr="00FE666C">
        <w:rPr>
          <w:i/>
          <w:iCs/>
        </w:rPr>
        <w:t>идентификации</w:t>
      </w:r>
      <w:r>
        <w:t xml:space="preserve"> (</w:t>
      </w:r>
      <w:proofErr w:type="spellStart"/>
      <w:r>
        <w:t>identity</w:t>
      </w:r>
      <w:proofErr w:type="spellEnd"/>
      <w:r>
        <w:t xml:space="preserve">). </w:t>
      </w:r>
      <w:r w:rsidRPr="00D243B2">
        <w:t>Соответствие</w:t>
      </w:r>
      <w:r>
        <w:t xml:space="preserve"> транспортного средства означает, что оно соответствует предписаниям, в то время как в тексте на английском языке речь идет о том, что транспортное средство представляет собой конкретное транспортное средство. </w:t>
      </w:r>
    </w:p>
    <w:p w14:paraId="78E058EF" w14:textId="77777777" w:rsidR="00541B68" w:rsidRDefault="00541B68" w:rsidP="00541B68">
      <w:pPr>
        <w:pStyle w:val="HChG"/>
      </w:pPr>
      <w:r>
        <w:tab/>
      </w:r>
      <w:r>
        <w:tab/>
      </w:r>
      <w:r>
        <w:rPr>
          <w:bCs/>
        </w:rPr>
        <w:t>Предложение</w:t>
      </w:r>
    </w:p>
    <w:p w14:paraId="51C0C8F3" w14:textId="77777777" w:rsidR="00541B68" w:rsidRPr="00244CA9" w:rsidRDefault="00541B68" w:rsidP="00541B68">
      <w:pPr>
        <w:pStyle w:val="SingleTxtG"/>
      </w:pPr>
      <w:r>
        <w:t>3.</w:t>
      </w:r>
      <w:r>
        <w:tab/>
        <w:t>Текст на английском языке изменить следующим образом:</w:t>
      </w:r>
    </w:p>
    <w:p w14:paraId="6BEA037E" w14:textId="62CA2407" w:rsidR="00541B68" w:rsidRPr="00541B68" w:rsidRDefault="00541B68" w:rsidP="00541B68">
      <w:pPr>
        <w:pStyle w:val="SingleTxtG"/>
        <w:rPr>
          <w:lang w:val="en-US"/>
        </w:rPr>
      </w:pPr>
      <w:bookmarkStart w:id="0" w:name="_Hlk141367065"/>
      <w:r w:rsidRPr="00DD337F">
        <w:rPr>
          <w:lang w:val="en-US"/>
        </w:rPr>
        <w:t xml:space="preserve">«…subject to a visual inspection to </w:t>
      </w:r>
      <w:r w:rsidRPr="00DD337F">
        <w:rPr>
          <w:u w:val="single"/>
          <w:lang w:val="en-US"/>
        </w:rPr>
        <w:t>verify its conformity</w:t>
      </w:r>
      <w:r w:rsidRPr="00DD337F">
        <w:rPr>
          <w:lang w:val="en-US"/>
        </w:rPr>
        <w:t xml:space="preserve"> </w:t>
      </w:r>
      <w:r w:rsidRPr="00DD337F">
        <w:rPr>
          <w:strike/>
          <w:lang w:val="en-US"/>
        </w:rPr>
        <w:t>confirm its identity</w:t>
      </w:r>
      <w:r w:rsidRPr="00DD337F">
        <w:rPr>
          <w:lang w:val="en-US"/>
        </w:rPr>
        <w:t xml:space="preserve"> before the…»</w:t>
      </w:r>
      <w:r>
        <w:rPr>
          <w:lang w:val="en-US"/>
        </w:rPr>
        <w:t>.</w:t>
      </w:r>
      <w:r w:rsidRPr="00DD337F">
        <w:rPr>
          <w:lang w:val="en-US"/>
        </w:rPr>
        <w:t xml:space="preserve"> </w:t>
      </w:r>
      <w:bookmarkEnd w:id="0"/>
    </w:p>
    <w:p w14:paraId="0B94E439" w14:textId="77777777" w:rsidR="00541B68" w:rsidRDefault="00541B68" w:rsidP="00541B68">
      <w:pPr>
        <w:pStyle w:val="SingleTxtG"/>
      </w:pPr>
      <w:r>
        <w:t>4.</w:t>
      </w:r>
      <w:r>
        <w:tab/>
        <w:t>Текст на русском языке изменить так, чтобы он отражал такое же содержание:</w:t>
      </w:r>
    </w:p>
    <w:p w14:paraId="6A042477" w14:textId="7FD5125B" w:rsidR="00541B68" w:rsidRPr="00541B68" w:rsidRDefault="00541B68" w:rsidP="00541B68">
      <w:pPr>
        <w:pStyle w:val="SingleTxtG"/>
      </w:pPr>
      <w:r>
        <w:t xml:space="preserve">«...проводиться визуальный осмотр с целью </w:t>
      </w:r>
      <w:r>
        <w:rPr>
          <w:u w:val="single"/>
        </w:rPr>
        <w:t>проверки его соответствия</w:t>
      </w:r>
      <w:r>
        <w:t xml:space="preserve"> </w:t>
      </w:r>
      <w:r>
        <w:rPr>
          <w:strike/>
        </w:rPr>
        <w:t>его идентификации</w:t>
      </w:r>
      <w:r>
        <w:t xml:space="preserve"> до…»</w:t>
      </w:r>
      <w:r w:rsidRPr="00541B68">
        <w:t>.</w:t>
      </w:r>
    </w:p>
    <w:p w14:paraId="3BF7C731" w14:textId="77777777" w:rsidR="00541B68" w:rsidRDefault="00541B68" w:rsidP="00541B68">
      <w:pPr>
        <w:pStyle w:val="HChG"/>
      </w:pPr>
      <w:r>
        <w:tab/>
      </w:r>
      <w:r>
        <w:tab/>
      </w:r>
      <w:r>
        <w:rPr>
          <w:bCs/>
        </w:rPr>
        <w:t>Обоснование</w:t>
      </w:r>
    </w:p>
    <w:p w14:paraId="2BA17419" w14:textId="77777777" w:rsidR="00541B68" w:rsidRPr="00873727" w:rsidRDefault="00541B68" w:rsidP="00541B68">
      <w:pPr>
        <w:pStyle w:val="SingleTxtG"/>
      </w:pPr>
      <w:r>
        <w:t>5.</w:t>
      </w:r>
      <w:r>
        <w:tab/>
        <w:t>Различные языковые варианты должны иметь одинаковое содержание.</w:t>
      </w:r>
    </w:p>
    <w:tbl>
      <w:tblPr>
        <w:tblW w:w="0" w:type="auto"/>
        <w:tblInd w:w="1134" w:type="dxa"/>
        <w:tblBorders>
          <w:top w:val="single" w:sz="12" w:space="0" w:color="auto"/>
          <w:bottom w:val="single" w:sz="12" w:space="0" w:color="auto"/>
        </w:tblBorders>
        <w:tblLayout w:type="fixed"/>
        <w:tblCellMar>
          <w:left w:w="0" w:type="dxa"/>
          <w:right w:w="0" w:type="dxa"/>
        </w:tblCellMar>
        <w:tblLook w:val="01E0" w:firstRow="1" w:lastRow="1" w:firstColumn="1" w:lastColumn="1" w:noHBand="0" w:noVBand="0"/>
      </w:tblPr>
      <w:tblGrid>
        <w:gridCol w:w="2835"/>
        <w:gridCol w:w="4286"/>
      </w:tblGrid>
      <w:tr w:rsidR="00541B68" w14:paraId="0B340466" w14:textId="77777777" w:rsidTr="00541B68">
        <w:tc>
          <w:tcPr>
            <w:tcW w:w="2835" w:type="dxa"/>
            <w:shd w:val="clear" w:color="auto" w:fill="auto"/>
            <w:tcMar>
              <w:left w:w="57" w:type="dxa"/>
              <w:right w:w="57" w:type="dxa"/>
            </w:tcMar>
          </w:tcPr>
          <w:p w14:paraId="67A5561A" w14:textId="77777777" w:rsidR="00541B68" w:rsidRDefault="00541B68" w:rsidP="00541B68">
            <w:pPr>
              <w:pStyle w:val="SingleTxtG"/>
              <w:spacing w:before="60" w:after="60"/>
              <w:ind w:left="0" w:right="0"/>
            </w:pPr>
            <w:r>
              <w:t>Затраты:</w:t>
            </w:r>
          </w:p>
        </w:tc>
        <w:tc>
          <w:tcPr>
            <w:tcW w:w="4286" w:type="dxa"/>
            <w:shd w:val="clear" w:color="auto" w:fill="auto"/>
            <w:tcMar>
              <w:left w:w="57" w:type="dxa"/>
              <w:right w:w="57" w:type="dxa"/>
            </w:tcMar>
          </w:tcPr>
          <w:p w14:paraId="4CE513C3" w14:textId="03CA062E" w:rsidR="00541B68" w:rsidRDefault="00541B68" w:rsidP="00541B68">
            <w:pPr>
              <w:pStyle w:val="SingleTxtG"/>
              <w:spacing w:before="60" w:after="60"/>
              <w:ind w:left="0"/>
              <w:jc w:val="left"/>
            </w:pPr>
            <w:r>
              <w:t>О</w:t>
            </w:r>
            <w:r>
              <w:t>тсутствуют</w:t>
            </w:r>
          </w:p>
        </w:tc>
      </w:tr>
      <w:tr w:rsidR="00541B68" w14:paraId="734BD8FE" w14:textId="77777777" w:rsidTr="00541B68">
        <w:tc>
          <w:tcPr>
            <w:tcW w:w="2835" w:type="dxa"/>
            <w:shd w:val="clear" w:color="auto" w:fill="auto"/>
            <w:tcMar>
              <w:left w:w="57" w:type="dxa"/>
              <w:right w:w="57" w:type="dxa"/>
            </w:tcMar>
          </w:tcPr>
          <w:p w14:paraId="65996763" w14:textId="77777777" w:rsidR="00541B68" w:rsidRDefault="00541B68" w:rsidP="00541B68">
            <w:pPr>
              <w:pStyle w:val="SingleTxtG"/>
              <w:spacing w:before="60" w:after="60"/>
              <w:ind w:left="0" w:right="0"/>
            </w:pPr>
            <w:r>
              <w:t>Осуществимость:</w:t>
            </w:r>
          </w:p>
        </w:tc>
        <w:tc>
          <w:tcPr>
            <w:tcW w:w="4286" w:type="dxa"/>
            <w:shd w:val="clear" w:color="auto" w:fill="auto"/>
            <w:tcMar>
              <w:left w:w="57" w:type="dxa"/>
              <w:right w:w="57" w:type="dxa"/>
            </w:tcMar>
          </w:tcPr>
          <w:p w14:paraId="492032DB" w14:textId="77777777" w:rsidR="00541B68" w:rsidRDefault="00541B68" w:rsidP="00541B68">
            <w:pPr>
              <w:pStyle w:val="SingleTxtG"/>
              <w:spacing w:before="60" w:after="60"/>
              <w:ind w:left="0" w:right="0"/>
              <w:jc w:val="left"/>
            </w:pPr>
            <w:r>
              <w:t>Никаких проблем не предвидится: процедура будет унифицирована</w:t>
            </w:r>
          </w:p>
        </w:tc>
      </w:tr>
      <w:tr w:rsidR="00541B68" w14:paraId="1EC6E012" w14:textId="77777777" w:rsidTr="00541B68">
        <w:tc>
          <w:tcPr>
            <w:tcW w:w="2835" w:type="dxa"/>
            <w:shd w:val="clear" w:color="auto" w:fill="auto"/>
            <w:tcMar>
              <w:left w:w="57" w:type="dxa"/>
              <w:right w:w="57" w:type="dxa"/>
            </w:tcMar>
          </w:tcPr>
          <w:p w14:paraId="3FD07585" w14:textId="77777777" w:rsidR="00541B68" w:rsidRDefault="00541B68" w:rsidP="00541B68">
            <w:pPr>
              <w:pStyle w:val="SingleTxtG"/>
              <w:spacing w:before="60" w:after="60"/>
              <w:ind w:left="0" w:right="3"/>
            </w:pPr>
            <w:r>
              <w:t>Последствия:</w:t>
            </w:r>
          </w:p>
        </w:tc>
        <w:tc>
          <w:tcPr>
            <w:tcW w:w="4286" w:type="dxa"/>
            <w:shd w:val="clear" w:color="auto" w:fill="auto"/>
            <w:tcMar>
              <w:left w:w="57" w:type="dxa"/>
              <w:right w:w="57" w:type="dxa"/>
            </w:tcMar>
          </w:tcPr>
          <w:p w14:paraId="3B3942DD" w14:textId="77777777" w:rsidR="00541B68" w:rsidRDefault="00541B68" w:rsidP="00541B68">
            <w:pPr>
              <w:pStyle w:val="SingleTxtG"/>
              <w:spacing w:before="60" w:after="60"/>
              <w:ind w:left="0"/>
              <w:jc w:val="left"/>
            </w:pPr>
            <w:r>
              <w:t>Процедура будет унифицирована</w:t>
            </w:r>
          </w:p>
        </w:tc>
      </w:tr>
      <w:tr w:rsidR="00541B68" w14:paraId="52C1755C" w14:textId="77777777" w:rsidTr="00541B68">
        <w:tc>
          <w:tcPr>
            <w:tcW w:w="2835" w:type="dxa"/>
            <w:shd w:val="clear" w:color="auto" w:fill="auto"/>
            <w:tcMar>
              <w:left w:w="57" w:type="dxa"/>
              <w:right w:w="57" w:type="dxa"/>
            </w:tcMar>
          </w:tcPr>
          <w:p w14:paraId="4E8EC677" w14:textId="77777777" w:rsidR="00541B68" w:rsidRDefault="00541B68" w:rsidP="00541B68">
            <w:pPr>
              <w:pStyle w:val="SingleTxtG"/>
              <w:spacing w:before="60" w:after="60"/>
              <w:ind w:left="0" w:right="0"/>
            </w:pPr>
            <w:r>
              <w:t>Обеспечение применения:</w:t>
            </w:r>
          </w:p>
        </w:tc>
        <w:tc>
          <w:tcPr>
            <w:tcW w:w="4286" w:type="dxa"/>
            <w:shd w:val="clear" w:color="auto" w:fill="auto"/>
            <w:tcMar>
              <w:left w:w="57" w:type="dxa"/>
              <w:right w:w="57" w:type="dxa"/>
            </w:tcMar>
          </w:tcPr>
          <w:p w14:paraId="56609859" w14:textId="77777777" w:rsidR="00541B68" w:rsidRDefault="00541B68" w:rsidP="00541B68">
            <w:pPr>
              <w:pStyle w:val="SingleTxtG"/>
              <w:spacing w:before="60" w:after="60"/>
              <w:ind w:left="0" w:right="0"/>
              <w:jc w:val="left"/>
            </w:pPr>
            <w:r>
              <w:t>Никаких проблем не предвидится.</w:t>
            </w:r>
          </w:p>
        </w:tc>
      </w:tr>
    </w:tbl>
    <w:p w14:paraId="514EB3FE" w14:textId="417370EA" w:rsidR="00E12C5F" w:rsidRPr="00541B68" w:rsidRDefault="00541B68" w:rsidP="00541B68">
      <w:pPr>
        <w:spacing w:before="240"/>
        <w:jc w:val="center"/>
        <w:rPr>
          <w:u w:val="single"/>
        </w:rPr>
      </w:pPr>
      <w:r>
        <w:rPr>
          <w:u w:val="single"/>
        </w:rPr>
        <w:tab/>
      </w:r>
      <w:r>
        <w:rPr>
          <w:u w:val="single"/>
        </w:rPr>
        <w:tab/>
      </w:r>
      <w:r>
        <w:rPr>
          <w:u w:val="single"/>
        </w:rPr>
        <w:tab/>
      </w:r>
    </w:p>
    <w:sectPr w:rsidR="00E12C5F" w:rsidRPr="00541B68" w:rsidSect="00541B6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C859" w14:textId="77777777" w:rsidR="0027654D" w:rsidRPr="00A312BC" w:rsidRDefault="0027654D" w:rsidP="00A312BC"/>
  </w:endnote>
  <w:endnote w:type="continuationSeparator" w:id="0">
    <w:p w14:paraId="028D5DFC" w14:textId="77777777" w:rsidR="0027654D" w:rsidRPr="00A312BC" w:rsidRDefault="0027654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AF24" w14:textId="6C57ED1D" w:rsidR="00541B68" w:rsidRPr="00541B68" w:rsidRDefault="00541B68">
    <w:pPr>
      <w:pStyle w:val="a8"/>
    </w:pPr>
    <w:r w:rsidRPr="00541B68">
      <w:rPr>
        <w:b/>
        <w:sz w:val="18"/>
      </w:rPr>
      <w:fldChar w:fldCharType="begin"/>
    </w:r>
    <w:r w:rsidRPr="00541B68">
      <w:rPr>
        <w:b/>
        <w:sz w:val="18"/>
      </w:rPr>
      <w:instrText xml:space="preserve"> PAGE  \* MERGEFORMAT </w:instrText>
    </w:r>
    <w:r w:rsidRPr="00541B68">
      <w:rPr>
        <w:b/>
        <w:sz w:val="18"/>
      </w:rPr>
      <w:fldChar w:fldCharType="separate"/>
    </w:r>
    <w:r w:rsidRPr="00541B68">
      <w:rPr>
        <w:b/>
        <w:noProof/>
        <w:sz w:val="18"/>
      </w:rPr>
      <w:t>2</w:t>
    </w:r>
    <w:r w:rsidRPr="00541B68">
      <w:rPr>
        <w:b/>
        <w:sz w:val="18"/>
      </w:rPr>
      <w:fldChar w:fldCharType="end"/>
    </w:r>
    <w:r>
      <w:rPr>
        <w:b/>
        <w:sz w:val="18"/>
      </w:rPr>
      <w:tab/>
    </w:r>
    <w:r>
      <w:t>GE.23-15298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AE54" w14:textId="4EC5060A" w:rsidR="00541B68" w:rsidRPr="00541B68" w:rsidRDefault="00541B68" w:rsidP="00541B68">
    <w:pPr>
      <w:pStyle w:val="a8"/>
      <w:tabs>
        <w:tab w:val="clear" w:pos="9639"/>
        <w:tab w:val="right" w:pos="9638"/>
      </w:tabs>
      <w:rPr>
        <w:b/>
        <w:sz w:val="18"/>
      </w:rPr>
    </w:pPr>
    <w:r>
      <w:t>GE.23-15298</w:t>
    </w:r>
    <w:r>
      <w:tab/>
    </w:r>
    <w:r w:rsidRPr="00541B68">
      <w:rPr>
        <w:b/>
        <w:sz w:val="18"/>
      </w:rPr>
      <w:fldChar w:fldCharType="begin"/>
    </w:r>
    <w:r w:rsidRPr="00541B68">
      <w:rPr>
        <w:b/>
        <w:sz w:val="18"/>
      </w:rPr>
      <w:instrText xml:space="preserve"> PAGE  \* MERGEFORMAT </w:instrText>
    </w:r>
    <w:r w:rsidRPr="00541B68">
      <w:rPr>
        <w:b/>
        <w:sz w:val="18"/>
      </w:rPr>
      <w:fldChar w:fldCharType="separate"/>
    </w:r>
    <w:r w:rsidRPr="00541B68">
      <w:rPr>
        <w:b/>
        <w:noProof/>
        <w:sz w:val="18"/>
      </w:rPr>
      <w:t>3</w:t>
    </w:r>
    <w:r w:rsidRPr="00541B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380F" w14:textId="6139D4B5" w:rsidR="00042B72" w:rsidRPr="00541B68" w:rsidRDefault="00541B68" w:rsidP="00541B6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78B9DF7" wp14:editId="7428FD2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23-15298  (R)</w:t>
    </w:r>
    <w:r>
      <w:rPr>
        <w:noProof/>
      </w:rPr>
      <w:drawing>
        <wp:anchor distT="0" distB="0" distL="114300" distR="114300" simplePos="0" relativeHeight="251659264" behindDoc="0" locked="0" layoutInCell="1" allowOverlap="1" wp14:anchorId="707E85CF" wp14:editId="35AD184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en-US"/>
      </w:rPr>
      <w:t>090823   180823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A572" w14:textId="77777777" w:rsidR="0027654D" w:rsidRPr="001075E9" w:rsidRDefault="0027654D" w:rsidP="001075E9">
      <w:pPr>
        <w:tabs>
          <w:tab w:val="right" w:pos="2155"/>
        </w:tabs>
        <w:spacing w:after="80" w:line="240" w:lineRule="auto"/>
        <w:ind w:left="680"/>
        <w:rPr>
          <w:u w:val="single"/>
        </w:rPr>
      </w:pPr>
      <w:r>
        <w:rPr>
          <w:u w:val="single"/>
        </w:rPr>
        <w:tab/>
      </w:r>
    </w:p>
  </w:footnote>
  <w:footnote w:type="continuationSeparator" w:id="0">
    <w:p w14:paraId="30794AA2" w14:textId="77777777" w:rsidR="0027654D" w:rsidRDefault="0027654D"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80C3" w14:textId="764F14C4" w:rsidR="00541B68" w:rsidRPr="00541B68" w:rsidRDefault="00541B68">
    <w:pPr>
      <w:pStyle w:val="a5"/>
    </w:pPr>
    <w:fldSimple w:instr=" TITLE  \* MERGEFORMAT ">
      <w:r w:rsidR="00290864">
        <w:t>ECE/TRANS/WP.11/2023/16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4221" w14:textId="75981CF9" w:rsidR="00541B68" w:rsidRPr="00541B68" w:rsidRDefault="00541B68" w:rsidP="00541B68">
    <w:pPr>
      <w:pStyle w:val="a5"/>
      <w:jc w:val="right"/>
    </w:pPr>
    <w:fldSimple w:instr=" TITLE  \* MERGEFORMAT ">
      <w:r w:rsidR="00290864">
        <w:t>ECE/TRANS/WP.11/2023/16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4D"/>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7654D"/>
    <w:rsid w:val="00290864"/>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41B6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83932"/>
  <w15:docId w15:val="{35A63AE2-D9E9-4C70-9C94-07E0C0A6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541B68"/>
    <w:rPr>
      <w:lang w:val="ru-RU" w:eastAsia="en-US"/>
    </w:rPr>
  </w:style>
  <w:style w:type="character" w:customStyle="1" w:styleId="HChGChar">
    <w:name w:val="_ H _Ch_G Char"/>
    <w:link w:val="HChG"/>
    <w:rsid w:val="00541B68"/>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43FFD-FD79-4331-A77F-5D2685106797}"/>
</file>

<file path=customXml/itemProps2.xml><?xml version="1.0" encoding="utf-8"?>
<ds:datastoreItem xmlns:ds="http://schemas.openxmlformats.org/officeDocument/2006/customXml" ds:itemID="{8862FF5D-4B18-4496-BE37-CDECAC741CE1}"/>
</file>

<file path=docProps/app.xml><?xml version="1.0" encoding="utf-8"?>
<Properties xmlns="http://schemas.openxmlformats.org/officeDocument/2006/extended-properties" xmlns:vt="http://schemas.openxmlformats.org/officeDocument/2006/docPropsVTypes">
  <Template>ECE.dotm</Template>
  <TotalTime>0</TotalTime>
  <Pages>2</Pages>
  <Words>442</Words>
  <Characters>2834</Characters>
  <Application>Microsoft Office Word</Application>
  <DocSecurity>0</DocSecurity>
  <Lines>80</Lines>
  <Paragraphs>51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ECE/TRANS/WP.11/2023/16</dc:title>
  <dc:subject/>
  <dc:creator>Larisa MAYKOVSKAYA</dc:creator>
  <cp:keywords/>
  <cp:lastModifiedBy>Larisa MAYKOVSKAYA</cp:lastModifiedBy>
  <cp:revision>3</cp:revision>
  <cp:lastPrinted>2023-08-18T07:56:00Z</cp:lastPrinted>
  <dcterms:created xsi:type="dcterms:W3CDTF">2023-08-18T07:56:00Z</dcterms:created>
  <dcterms:modified xsi:type="dcterms:W3CDTF">2023-08-18T07:56:00Z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