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0D74116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2D9B2C4" w14:textId="77777777" w:rsidR="00F35BAF" w:rsidRPr="00DB58B5" w:rsidRDefault="00F35BAF" w:rsidP="00B00A9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4ABBE5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BB16E0B" w14:textId="0D57B056" w:rsidR="00F35BAF" w:rsidRPr="00DB58B5" w:rsidRDefault="00B00A9D" w:rsidP="00B00A9D">
            <w:pPr>
              <w:jc w:val="right"/>
            </w:pPr>
            <w:r w:rsidRPr="00B00A9D">
              <w:rPr>
                <w:sz w:val="40"/>
              </w:rPr>
              <w:t>ECE</w:t>
            </w:r>
            <w:r>
              <w:t>/TRANS/WP.11/2023/16</w:t>
            </w:r>
          </w:p>
        </w:tc>
      </w:tr>
      <w:tr w:rsidR="00F35BAF" w:rsidRPr="00DB58B5" w14:paraId="2C1458A3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CE8BF75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2E67E57" wp14:editId="6F899F7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805DCE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98FD084" w14:textId="77777777" w:rsidR="00F35BAF" w:rsidRDefault="00B00A9D" w:rsidP="00C97039">
            <w:pPr>
              <w:spacing w:before="240"/>
            </w:pPr>
            <w:r>
              <w:t>Distr. générale</w:t>
            </w:r>
          </w:p>
          <w:p w14:paraId="63E34A35" w14:textId="77777777" w:rsidR="00B00A9D" w:rsidRDefault="00B00A9D" w:rsidP="00B00A9D">
            <w:pPr>
              <w:spacing w:line="240" w:lineRule="exact"/>
            </w:pPr>
            <w:r>
              <w:t>7 août 2023</w:t>
            </w:r>
          </w:p>
          <w:p w14:paraId="78B19D86" w14:textId="77777777" w:rsidR="00B00A9D" w:rsidRDefault="00B00A9D" w:rsidP="00B00A9D">
            <w:pPr>
              <w:spacing w:line="240" w:lineRule="exact"/>
            </w:pPr>
            <w:r>
              <w:t>Français</w:t>
            </w:r>
          </w:p>
          <w:p w14:paraId="33F72A09" w14:textId="6288E6E3" w:rsidR="00B00A9D" w:rsidRPr="00DB58B5" w:rsidRDefault="00B00A9D" w:rsidP="00B00A9D">
            <w:pPr>
              <w:spacing w:line="240" w:lineRule="exact"/>
            </w:pPr>
            <w:r>
              <w:t>Original : anglais</w:t>
            </w:r>
          </w:p>
        </w:tc>
      </w:tr>
    </w:tbl>
    <w:p w14:paraId="239935FD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7B8FD68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DD4186F" w14:textId="77777777" w:rsidR="00B00A9D" w:rsidRPr="00F91F22" w:rsidRDefault="00B00A9D" w:rsidP="00B00A9D">
      <w:pPr>
        <w:spacing w:before="120"/>
        <w:rPr>
          <w:b/>
          <w:sz w:val="32"/>
          <w:szCs w:val="32"/>
          <w:lang w:val="fr-FR"/>
        </w:rPr>
      </w:pPr>
      <w:r w:rsidRPr="00F91F22">
        <w:rPr>
          <w:b/>
          <w:bCs/>
          <w:sz w:val="24"/>
          <w:szCs w:val="24"/>
          <w:lang w:val="fr-FR"/>
        </w:rPr>
        <w:t>Groupe de travail du transport des denrées périssables</w:t>
      </w:r>
    </w:p>
    <w:p w14:paraId="5CBA2AB9" w14:textId="77777777" w:rsidR="00B00A9D" w:rsidRPr="005F7056" w:rsidRDefault="00B00A9D" w:rsidP="00B00A9D">
      <w:pPr>
        <w:spacing w:before="120"/>
        <w:rPr>
          <w:b/>
          <w:lang w:val="fr-FR"/>
        </w:rPr>
      </w:pPr>
      <w:r w:rsidRPr="005F7056">
        <w:rPr>
          <w:b/>
          <w:bCs/>
          <w:lang w:val="fr-FR"/>
        </w:rPr>
        <w:t>Quatre-vingtième session</w:t>
      </w:r>
    </w:p>
    <w:p w14:paraId="6D05D139" w14:textId="77777777" w:rsidR="00B00A9D" w:rsidRPr="005F7056" w:rsidRDefault="00B00A9D" w:rsidP="00B00A9D">
      <w:pPr>
        <w:rPr>
          <w:lang w:val="fr-FR"/>
        </w:rPr>
      </w:pPr>
      <w:r w:rsidRPr="005F7056">
        <w:rPr>
          <w:lang w:val="fr-FR"/>
        </w:rPr>
        <w:t>Genève, 24-27 octobre 2023</w:t>
      </w:r>
    </w:p>
    <w:p w14:paraId="133865A1" w14:textId="77777777" w:rsidR="00B00A9D" w:rsidRPr="005F7056" w:rsidRDefault="00B00A9D" w:rsidP="00B00A9D">
      <w:pPr>
        <w:rPr>
          <w:lang w:val="fr-FR"/>
        </w:rPr>
      </w:pPr>
      <w:r w:rsidRPr="005F7056">
        <w:rPr>
          <w:lang w:val="fr-FR"/>
        </w:rPr>
        <w:t>Point 5 b) de l</w:t>
      </w:r>
      <w:r>
        <w:rPr>
          <w:lang w:val="fr-FR"/>
        </w:rPr>
        <w:t>’</w:t>
      </w:r>
      <w:r w:rsidRPr="005F7056">
        <w:rPr>
          <w:lang w:val="fr-FR"/>
        </w:rPr>
        <w:t>ordre du jour provisoire</w:t>
      </w:r>
    </w:p>
    <w:p w14:paraId="759F96F2" w14:textId="77777777" w:rsidR="00B00A9D" w:rsidRDefault="00B00A9D" w:rsidP="00B00A9D">
      <w:pPr>
        <w:rPr>
          <w:b/>
          <w:bCs/>
          <w:lang w:val="fr-FR"/>
        </w:rPr>
      </w:pPr>
      <w:r w:rsidRPr="005F7056"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 w:rsidRPr="005F7056">
        <w:rPr>
          <w:b/>
          <w:bCs/>
          <w:lang w:val="fr-FR"/>
        </w:rPr>
        <w:t>amendements à l</w:t>
      </w:r>
      <w:r>
        <w:rPr>
          <w:b/>
          <w:bCs/>
          <w:lang w:val="fr-FR"/>
        </w:rPr>
        <w:t>’</w:t>
      </w:r>
      <w:r w:rsidRPr="005F7056">
        <w:rPr>
          <w:b/>
          <w:bCs/>
          <w:lang w:val="fr-FR"/>
        </w:rPr>
        <w:t>ATP</w:t>
      </w:r>
      <w:r>
        <w:rPr>
          <w:b/>
          <w:bCs/>
          <w:lang w:val="fr-FR"/>
        </w:rPr>
        <w:t> :</w:t>
      </w:r>
      <w:r w:rsidRPr="00F53197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br/>
        <w:t>N</w:t>
      </w:r>
      <w:r w:rsidRPr="005F7056">
        <w:rPr>
          <w:b/>
          <w:bCs/>
          <w:lang w:val="fr-FR"/>
        </w:rPr>
        <w:t>ouvelles propositions</w:t>
      </w:r>
    </w:p>
    <w:p w14:paraId="066EAA5E" w14:textId="1973A4BC" w:rsidR="00B00A9D" w:rsidRPr="005F7056" w:rsidRDefault="00B00A9D" w:rsidP="00DE4154">
      <w:pPr>
        <w:pStyle w:val="HChG"/>
        <w:rPr>
          <w:lang w:val="fr-FR"/>
        </w:rPr>
      </w:pPr>
      <w:r w:rsidRPr="005F7056">
        <w:rPr>
          <w:lang w:val="fr-FR"/>
        </w:rPr>
        <w:tab/>
      </w:r>
      <w:r w:rsidRPr="005F7056">
        <w:rPr>
          <w:lang w:val="fr-FR"/>
        </w:rPr>
        <w:tab/>
        <w:t>Correction à l</w:t>
      </w:r>
      <w:r>
        <w:rPr>
          <w:lang w:val="fr-FR"/>
        </w:rPr>
        <w:t>’</w:t>
      </w:r>
      <w:r w:rsidRPr="005F7056">
        <w:rPr>
          <w:lang w:val="fr-FR"/>
        </w:rPr>
        <w:t>article</w:t>
      </w:r>
      <w:r w:rsidR="00DE4154">
        <w:rPr>
          <w:lang w:val="fr-FR"/>
        </w:rPr>
        <w:t> </w:t>
      </w:r>
      <w:r w:rsidRPr="005F7056">
        <w:rPr>
          <w:lang w:val="fr-FR"/>
        </w:rPr>
        <w:t>3 de l</w:t>
      </w:r>
      <w:r>
        <w:rPr>
          <w:lang w:val="fr-FR"/>
        </w:rPr>
        <w:t>’</w:t>
      </w:r>
      <w:r w:rsidRPr="005F7056">
        <w:rPr>
          <w:lang w:val="fr-FR"/>
        </w:rPr>
        <w:t>appendice</w:t>
      </w:r>
      <w:r w:rsidR="00DE4154">
        <w:rPr>
          <w:lang w:val="fr-FR"/>
        </w:rPr>
        <w:t> </w:t>
      </w:r>
      <w:r w:rsidRPr="005F7056">
        <w:rPr>
          <w:lang w:val="fr-FR"/>
        </w:rPr>
        <w:t>1 de l</w:t>
      </w:r>
      <w:r>
        <w:rPr>
          <w:lang w:val="fr-FR"/>
        </w:rPr>
        <w:t>’</w:t>
      </w:r>
      <w:r w:rsidRPr="005F7056">
        <w:rPr>
          <w:lang w:val="fr-FR"/>
        </w:rPr>
        <w:t>annexe</w:t>
      </w:r>
      <w:r w:rsidR="00DE4154">
        <w:rPr>
          <w:lang w:val="fr-FR"/>
        </w:rPr>
        <w:t> </w:t>
      </w:r>
      <w:r w:rsidRPr="005F7056">
        <w:rPr>
          <w:lang w:val="fr-FR"/>
        </w:rPr>
        <w:t xml:space="preserve">1 </w:t>
      </w:r>
      <w:r>
        <w:rPr>
          <w:lang w:val="fr-FR"/>
        </w:rPr>
        <w:t>concernant</w:t>
      </w:r>
      <w:r w:rsidRPr="005F7056">
        <w:rPr>
          <w:lang w:val="fr-FR"/>
        </w:rPr>
        <w:t xml:space="preserve"> les versions anglaise et russe de l</w:t>
      </w:r>
      <w:r>
        <w:rPr>
          <w:lang w:val="fr-FR"/>
        </w:rPr>
        <w:t>’</w:t>
      </w:r>
      <w:r w:rsidRPr="005F7056">
        <w:rPr>
          <w:lang w:val="fr-FR"/>
        </w:rPr>
        <w:t>ATP</w:t>
      </w:r>
    </w:p>
    <w:p w14:paraId="5E8A93B7" w14:textId="0397B4B0" w:rsidR="00B00A9D" w:rsidRDefault="00B00A9D" w:rsidP="00DE4154">
      <w:pPr>
        <w:pStyle w:val="H1G"/>
        <w:rPr>
          <w:lang w:val="fr-FR"/>
        </w:rPr>
      </w:pPr>
      <w:r w:rsidRPr="005F7056">
        <w:rPr>
          <w:lang w:val="fr-FR"/>
        </w:rPr>
        <w:tab/>
      </w:r>
      <w:r w:rsidRPr="005F7056">
        <w:rPr>
          <w:lang w:val="fr-FR"/>
        </w:rPr>
        <w:tab/>
        <w:t>Communication du Gouvernement néerlandais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9"/>
      </w:tblGrid>
      <w:tr w:rsidR="00B00A9D" w:rsidRPr="005F7056" w14:paraId="2BC5F9B1" w14:textId="77777777" w:rsidTr="00DE4154">
        <w:trPr>
          <w:jc w:val="center"/>
        </w:trPr>
        <w:tc>
          <w:tcPr>
            <w:tcW w:w="9629" w:type="dxa"/>
            <w:shd w:val="clear" w:color="auto" w:fill="auto"/>
          </w:tcPr>
          <w:p w14:paraId="0551BCD5" w14:textId="77777777" w:rsidR="00B00A9D" w:rsidRPr="005F7056" w:rsidRDefault="00B00A9D" w:rsidP="005D3A28">
            <w:pPr>
              <w:spacing w:before="240" w:after="120"/>
              <w:ind w:left="255"/>
              <w:rPr>
                <w:i/>
                <w:sz w:val="24"/>
                <w:lang w:val="fr-FR"/>
              </w:rPr>
            </w:pPr>
            <w:r w:rsidRPr="00DE4154">
              <w:rPr>
                <w:i/>
                <w:iCs/>
                <w:sz w:val="24"/>
                <w:szCs w:val="24"/>
                <w:lang w:val="fr-FR"/>
              </w:rPr>
              <w:t>Résumé</w:t>
            </w:r>
          </w:p>
        </w:tc>
      </w:tr>
      <w:tr w:rsidR="00B00A9D" w:rsidRPr="005F7056" w14:paraId="6FADBB8D" w14:textId="77777777" w:rsidTr="00DE4154">
        <w:trPr>
          <w:jc w:val="center"/>
        </w:trPr>
        <w:tc>
          <w:tcPr>
            <w:tcW w:w="9629" w:type="dxa"/>
            <w:shd w:val="clear" w:color="auto" w:fill="auto"/>
          </w:tcPr>
          <w:p w14:paraId="6508CB9F" w14:textId="44A0523B" w:rsidR="00B00A9D" w:rsidRPr="005F7056" w:rsidRDefault="00B00A9D" w:rsidP="005D3A28">
            <w:pPr>
              <w:pStyle w:val="SingleTxtG"/>
              <w:ind w:left="3402" w:hanging="2268"/>
              <w:rPr>
                <w:bCs/>
                <w:lang w:val="fr-FR"/>
              </w:rPr>
            </w:pPr>
            <w:r w:rsidRPr="005F7056">
              <w:rPr>
                <w:b/>
                <w:bCs/>
                <w:lang w:val="fr-FR"/>
              </w:rPr>
              <w:t>Résumé analytique</w:t>
            </w:r>
            <w:r w:rsidR="00DE4154">
              <w:rPr>
                <w:b/>
                <w:bCs/>
                <w:lang w:val="fr-FR"/>
              </w:rPr>
              <w:t> </w:t>
            </w:r>
            <w:r w:rsidRPr="005F7056">
              <w:rPr>
                <w:b/>
                <w:bCs/>
                <w:lang w:val="fr-FR"/>
              </w:rPr>
              <w:t>:</w:t>
            </w:r>
            <w:r w:rsidRPr="005F7056">
              <w:rPr>
                <w:lang w:val="fr-FR"/>
              </w:rPr>
              <w:tab/>
              <w:t>Lorsqu</w:t>
            </w:r>
            <w:r>
              <w:rPr>
                <w:lang w:val="fr-FR"/>
              </w:rPr>
              <w:t>’</w:t>
            </w:r>
            <w:r w:rsidRPr="005F7056">
              <w:rPr>
                <w:lang w:val="fr-FR"/>
              </w:rPr>
              <w:t>un engin est transféré d</w:t>
            </w:r>
            <w:r>
              <w:rPr>
                <w:lang w:val="fr-FR"/>
              </w:rPr>
              <w:t>’</w:t>
            </w:r>
            <w:r w:rsidRPr="005F7056">
              <w:rPr>
                <w:lang w:val="fr-FR"/>
              </w:rPr>
              <w:t>une Partie contractante à une autre, la Partie contractante de destination peut l</w:t>
            </w:r>
            <w:r>
              <w:rPr>
                <w:lang w:val="fr-FR"/>
              </w:rPr>
              <w:t>’</w:t>
            </w:r>
            <w:r w:rsidRPr="005F7056">
              <w:rPr>
                <w:lang w:val="fr-FR"/>
              </w:rPr>
              <w:t xml:space="preserve">inspecter. Cependant, alors que dans la version française, il est permis de vérifier sa conformité (avec la </w:t>
            </w:r>
            <w:r w:rsidR="00DE4154" w:rsidRPr="005F7056">
              <w:rPr>
                <w:lang w:val="fr-FR"/>
              </w:rPr>
              <w:t>réglementation</w:t>
            </w:r>
            <w:r w:rsidRPr="005F7056">
              <w:rPr>
                <w:lang w:val="fr-FR"/>
              </w:rPr>
              <w:t>), dans les versions anglaise et russe, il n</w:t>
            </w:r>
            <w:r>
              <w:rPr>
                <w:lang w:val="fr-FR"/>
              </w:rPr>
              <w:t>’</w:t>
            </w:r>
            <w:r w:rsidRPr="005F7056">
              <w:rPr>
                <w:lang w:val="fr-FR"/>
              </w:rPr>
              <w:t>est permis de vérifier que l</w:t>
            </w:r>
            <w:r>
              <w:rPr>
                <w:lang w:val="fr-FR"/>
              </w:rPr>
              <w:t>’</w:t>
            </w:r>
            <w:r w:rsidRPr="005F7056">
              <w:rPr>
                <w:lang w:val="fr-FR"/>
              </w:rPr>
              <w:t>identité.</w:t>
            </w:r>
          </w:p>
          <w:p w14:paraId="1D78882D" w14:textId="77777777" w:rsidR="00B00A9D" w:rsidRPr="005F7056" w:rsidRDefault="00B00A9D" w:rsidP="005D3A28">
            <w:pPr>
              <w:pStyle w:val="SingleTxtG"/>
              <w:ind w:left="3402" w:hanging="2268"/>
              <w:rPr>
                <w:bCs/>
                <w:lang w:val="fr-FR"/>
              </w:rPr>
            </w:pPr>
            <w:r w:rsidRPr="005F7056">
              <w:rPr>
                <w:b/>
                <w:bCs/>
                <w:lang w:val="fr-FR"/>
              </w:rPr>
              <w:t>Mesure à prendre</w:t>
            </w:r>
            <w:r>
              <w:rPr>
                <w:b/>
                <w:bCs/>
                <w:lang w:val="fr-FR"/>
              </w:rPr>
              <w:t> :</w:t>
            </w:r>
            <w:r w:rsidRPr="005F7056">
              <w:rPr>
                <w:lang w:val="fr-FR"/>
              </w:rPr>
              <w:tab/>
            </w:r>
            <w:r w:rsidRPr="005F7056">
              <w:rPr>
                <w:lang w:val="fr-FR"/>
              </w:rPr>
              <w:tab/>
              <w:t>Modifier les versions anglaise et russe de l</w:t>
            </w:r>
            <w:r>
              <w:rPr>
                <w:lang w:val="fr-FR"/>
              </w:rPr>
              <w:t>’</w:t>
            </w:r>
            <w:r w:rsidRPr="005F7056">
              <w:rPr>
                <w:lang w:val="fr-FR"/>
              </w:rPr>
              <w:t>ATP.</w:t>
            </w:r>
          </w:p>
          <w:p w14:paraId="340CF207" w14:textId="0F6EEB48" w:rsidR="00B00A9D" w:rsidRPr="005F7056" w:rsidRDefault="00B00A9D" w:rsidP="005D3A28">
            <w:pPr>
              <w:pStyle w:val="SingleTxtG"/>
              <w:ind w:left="3402" w:hanging="2268"/>
              <w:rPr>
                <w:lang w:val="fr-FR"/>
              </w:rPr>
            </w:pPr>
            <w:r w:rsidRPr="004D0CED">
              <w:rPr>
                <w:b/>
                <w:bCs/>
                <w:lang w:val="fr-FR"/>
              </w:rPr>
              <w:t>Documents connexes</w:t>
            </w:r>
            <w:r w:rsidR="00DE4154">
              <w:rPr>
                <w:b/>
                <w:bCs/>
                <w:lang w:val="fr-FR"/>
              </w:rPr>
              <w:t> </w:t>
            </w:r>
            <w:r w:rsidRPr="004D0CED">
              <w:rPr>
                <w:b/>
                <w:bCs/>
                <w:lang w:val="fr-FR"/>
              </w:rPr>
              <w:t>:</w:t>
            </w:r>
            <w:r w:rsidRPr="005F7056">
              <w:rPr>
                <w:lang w:val="fr-FR"/>
              </w:rPr>
              <w:tab/>
            </w:r>
            <w:r w:rsidRPr="005F7056">
              <w:rPr>
                <w:lang w:val="fr-FR"/>
              </w:rPr>
              <w:tab/>
              <w:t>Sans objet</w:t>
            </w:r>
          </w:p>
        </w:tc>
      </w:tr>
      <w:tr w:rsidR="00B00A9D" w:rsidRPr="005F7056" w14:paraId="7ACC8636" w14:textId="77777777" w:rsidTr="00DE4154">
        <w:trPr>
          <w:jc w:val="center"/>
        </w:trPr>
        <w:tc>
          <w:tcPr>
            <w:tcW w:w="9629" w:type="dxa"/>
            <w:shd w:val="clear" w:color="auto" w:fill="auto"/>
          </w:tcPr>
          <w:p w14:paraId="7700F539" w14:textId="77777777" w:rsidR="00B00A9D" w:rsidRPr="005F7056" w:rsidRDefault="00B00A9D" w:rsidP="005D3A28">
            <w:pPr>
              <w:rPr>
                <w:lang w:val="fr-FR"/>
              </w:rPr>
            </w:pPr>
          </w:p>
        </w:tc>
      </w:tr>
    </w:tbl>
    <w:p w14:paraId="4D9A346A" w14:textId="77777777" w:rsidR="00EB4380" w:rsidRDefault="00EB4380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sz w:val="28"/>
          <w:lang w:val="fr-FR"/>
        </w:rPr>
      </w:pPr>
      <w:r>
        <w:rPr>
          <w:lang w:val="fr-FR"/>
        </w:rPr>
        <w:br w:type="page"/>
      </w:r>
    </w:p>
    <w:p w14:paraId="1345C539" w14:textId="56CB3AC3" w:rsidR="00B00A9D" w:rsidRPr="005F7056" w:rsidRDefault="00B00A9D" w:rsidP="00DE4154">
      <w:pPr>
        <w:pStyle w:val="HChG"/>
        <w:rPr>
          <w:lang w:val="fr-FR"/>
        </w:rPr>
      </w:pPr>
      <w:r w:rsidRPr="005F7056">
        <w:rPr>
          <w:lang w:val="fr-FR"/>
        </w:rPr>
        <w:lastRenderedPageBreak/>
        <w:tab/>
      </w:r>
      <w:r w:rsidRPr="005F7056">
        <w:rPr>
          <w:lang w:val="fr-FR"/>
        </w:rPr>
        <w:tab/>
        <w:t>Introduction</w:t>
      </w:r>
    </w:p>
    <w:p w14:paraId="76ABDC11" w14:textId="77777777" w:rsidR="00B00A9D" w:rsidRPr="005F7056" w:rsidRDefault="00B00A9D" w:rsidP="00B00A9D">
      <w:pPr>
        <w:pStyle w:val="SingleTxtG"/>
        <w:rPr>
          <w:lang w:val="fr-FR"/>
        </w:rPr>
      </w:pPr>
      <w:r w:rsidRPr="005F7056">
        <w:rPr>
          <w:lang w:val="fr-FR"/>
        </w:rPr>
        <w:t>1.</w:t>
      </w:r>
      <w:r w:rsidRPr="005F7056">
        <w:rPr>
          <w:lang w:val="fr-FR"/>
        </w:rPr>
        <w:tab/>
        <w:t>Au paragraphe 3 de l</w:t>
      </w:r>
      <w:r>
        <w:rPr>
          <w:lang w:val="fr-FR"/>
        </w:rPr>
        <w:t>’</w:t>
      </w:r>
      <w:r w:rsidRPr="005F7056">
        <w:rPr>
          <w:lang w:val="fr-FR"/>
        </w:rPr>
        <w:t>appendice 1 de l</w:t>
      </w:r>
      <w:r>
        <w:rPr>
          <w:lang w:val="fr-FR"/>
        </w:rPr>
        <w:t>’</w:t>
      </w:r>
      <w:r w:rsidRPr="005F7056">
        <w:rPr>
          <w:lang w:val="fr-FR"/>
        </w:rPr>
        <w:t xml:space="preserve">annexe 1, une différence de fond est </w:t>
      </w:r>
      <w:r>
        <w:rPr>
          <w:lang w:val="fr-FR"/>
        </w:rPr>
        <w:t>constatée</w:t>
      </w:r>
      <w:r w:rsidRPr="005F7056">
        <w:rPr>
          <w:lang w:val="fr-FR"/>
        </w:rPr>
        <w:t xml:space="preserve"> entre les versions française, anglaise et, </w:t>
      </w:r>
      <w:r>
        <w:rPr>
          <w:lang w:val="fr-FR"/>
        </w:rPr>
        <w:t>potentiellement</w:t>
      </w:r>
      <w:r w:rsidRPr="005F7056">
        <w:rPr>
          <w:lang w:val="fr-FR"/>
        </w:rPr>
        <w:t>, russe de l</w:t>
      </w:r>
      <w:r>
        <w:rPr>
          <w:lang w:val="fr-FR"/>
        </w:rPr>
        <w:t>’</w:t>
      </w:r>
      <w:r w:rsidRPr="005F7056">
        <w:rPr>
          <w:lang w:val="fr-FR"/>
        </w:rPr>
        <w:t>ATP.</w:t>
      </w:r>
    </w:p>
    <w:p w14:paraId="3A267981" w14:textId="77777777" w:rsidR="00B00A9D" w:rsidRPr="005F7056" w:rsidRDefault="00B00A9D" w:rsidP="00B00A9D">
      <w:pPr>
        <w:pStyle w:val="H4G"/>
        <w:rPr>
          <w:lang w:val="fr-FR"/>
        </w:rPr>
      </w:pPr>
      <w:r w:rsidRPr="005F7056">
        <w:rPr>
          <w:lang w:val="fr-FR"/>
        </w:rPr>
        <w:tab/>
      </w:r>
      <w:r w:rsidRPr="005F7056">
        <w:rPr>
          <w:lang w:val="fr-FR"/>
        </w:rPr>
        <w:tab/>
      </w:r>
      <w:r w:rsidRPr="005F7056">
        <w:rPr>
          <w:iCs/>
          <w:lang w:val="fr-FR"/>
        </w:rPr>
        <w:t>Version française</w:t>
      </w:r>
    </w:p>
    <w:p w14:paraId="7110111E" w14:textId="77777777" w:rsidR="00B00A9D" w:rsidRPr="005F7056" w:rsidRDefault="00B00A9D" w:rsidP="00B00A9D">
      <w:pPr>
        <w:pStyle w:val="SingleTxtG"/>
        <w:rPr>
          <w:lang w:val="fr-FR"/>
        </w:rPr>
      </w:pPr>
      <w:r w:rsidRPr="005F7056">
        <w:rPr>
          <w:lang w:val="fr-FR"/>
        </w:rPr>
        <w:t>« Si l</w:t>
      </w:r>
      <w:r>
        <w:rPr>
          <w:lang w:val="fr-FR"/>
        </w:rPr>
        <w:t>’</w:t>
      </w:r>
      <w:r w:rsidRPr="005F7056">
        <w:rPr>
          <w:lang w:val="fr-FR"/>
        </w:rPr>
        <w:t>engin transféré avait déjà été mis en service, il peut faire l</w:t>
      </w:r>
      <w:r>
        <w:rPr>
          <w:lang w:val="fr-FR"/>
        </w:rPr>
        <w:t>’</w:t>
      </w:r>
      <w:r w:rsidRPr="005F7056">
        <w:rPr>
          <w:lang w:val="fr-FR"/>
        </w:rPr>
        <w:t>objet d</w:t>
      </w:r>
      <w:r>
        <w:rPr>
          <w:lang w:val="fr-FR"/>
        </w:rPr>
        <w:t>’</w:t>
      </w:r>
      <w:r w:rsidRPr="005F7056">
        <w:rPr>
          <w:lang w:val="fr-FR"/>
        </w:rPr>
        <w:t>un examen visuel pour vérifier sa conformité avant que l</w:t>
      </w:r>
      <w:r>
        <w:rPr>
          <w:lang w:val="fr-FR"/>
        </w:rPr>
        <w:t>’</w:t>
      </w:r>
      <w:r w:rsidRPr="005F7056">
        <w:rPr>
          <w:lang w:val="fr-FR"/>
        </w:rPr>
        <w:t>autorité compétente du pays dans lequel il doit être immatriculé ou enregistré délivre une attestation de conformité. »</w:t>
      </w:r>
    </w:p>
    <w:p w14:paraId="106DA223" w14:textId="77777777" w:rsidR="00B00A9D" w:rsidRPr="00B00A9D" w:rsidRDefault="00B00A9D" w:rsidP="00DE4154">
      <w:pPr>
        <w:pStyle w:val="H4G"/>
        <w:rPr>
          <w:lang w:val="en-US"/>
        </w:rPr>
      </w:pPr>
      <w:r w:rsidRPr="005F7056">
        <w:rPr>
          <w:lang w:val="fr-FR"/>
        </w:rPr>
        <w:tab/>
      </w:r>
      <w:r w:rsidRPr="005F7056">
        <w:rPr>
          <w:lang w:val="fr-FR"/>
        </w:rPr>
        <w:tab/>
      </w:r>
      <w:r w:rsidRPr="00B00A9D">
        <w:rPr>
          <w:iCs/>
          <w:lang w:val="en-US"/>
        </w:rPr>
        <w:t>Version anglaise</w:t>
      </w:r>
    </w:p>
    <w:p w14:paraId="58F1E477" w14:textId="77777777" w:rsidR="00B00A9D" w:rsidRPr="004D0CED" w:rsidRDefault="00B00A9D" w:rsidP="00DE4154">
      <w:pPr>
        <w:pStyle w:val="SingleTxtG"/>
        <w:keepNext/>
        <w:rPr>
          <w:lang w:val="en-US"/>
        </w:rPr>
      </w:pPr>
      <w:r w:rsidRPr="004D0CED">
        <w:rPr>
          <w:lang w:val="en-US"/>
        </w:rPr>
        <w:t>« In the case of equipment transferred after it has been in use, the equipment may be subject to a visual inspection to confirm its identity before the competent authority of the country, in which it is to be registered or recorded, issues a certificate of compliance. »</w:t>
      </w:r>
    </w:p>
    <w:p w14:paraId="52D69B92" w14:textId="77777777" w:rsidR="00B00A9D" w:rsidRPr="004D0CED" w:rsidRDefault="00B00A9D" w:rsidP="00B00A9D">
      <w:pPr>
        <w:pStyle w:val="H4G"/>
        <w:rPr>
          <w:lang w:val="ru-RU"/>
        </w:rPr>
      </w:pPr>
      <w:r w:rsidRPr="004D0CED">
        <w:rPr>
          <w:lang w:val="en-US"/>
        </w:rPr>
        <w:tab/>
      </w:r>
      <w:r w:rsidRPr="004D0CED">
        <w:rPr>
          <w:lang w:val="en-US"/>
        </w:rPr>
        <w:tab/>
      </w:r>
      <w:r w:rsidRPr="00F91F22">
        <w:rPr>
          <w:iCs/>
        </w:rPr>
        <w:t>Version</w:t>
      </w:r>
      <w:r w:rsidRPr="004D0CED">
        <w:rPr>
          <w:iCs/>
          <w:lang w:val="ru-RU"/>
        </w:rPr>
        <w:t xml:space="preserve"> </w:t>
      </w:r>
      <w:r w:rsidRPr="00F91F22">
        <w:rPr>
          <w:iCs/>
        </w:rPr>
        <w:t>russe</w:t>
      </w:r>
    </w:p>
    <w:p w14:paraId="0E1B10ED" w14:textId="77777777" w:rsidR="00B00A9D" w:rsidRPr="004D0CED" w:rsidRDefault="00B00A9D" w:rsidP="00B00A9D">
      <w:pPr>
        <w:pStyle w:val="SingleTxtG"/>
        <w:rPr>
          <w:lang w:val="ru-RU"/>
        </w:rPr>
      </w:pPr>
      <w:r w:rsidRPr="004D0CED">
        <w:rPr>
          <w:lang w:val="ru-RU"/>
        </w:rPr>
        <w:t>«</w:t>
      </w:r>
      <w:r w:rsidRPr="00F91F22">
        <w:t> </w:t>
      </w:r>
      <w:r w:rsidRPr="004D0CED">
        <w:rPr>
          <w:lang w:val="ru-RU"/>
        </w:rPr>
        <w:t>В случае передачи транспортного средства, которое уже находилось в эксплуатации, может проводиться визуальный осмотр с целью его идентификации до выдачи свидетельства о соответствии компетентным органом страны, в которой это транспортное средство должно быть зарегистрировано или поставлено на учет</w:t>
      </w:r>
      <w:r w:rsidRPr="00F91F22">
        <w:t> </w:t>
      </w:r>
      <w:r w:rsidRPr="004D0CED">
        <w:rPr>
          <w:lang w:val="ru-RU"/>
        </w:rPr>
        <w:t>»</w:t>
      </w:r>
    </w:p>
    <w:p w14:paraId="3F650241" w14:textId="77777777" w:rsidR="00B00A9D" w:rsidRPr="005F7056" w:rsidRDefault="00B00A9D" w:rsidP="00DE4154">
      <w:pPr>
        <w:pStyle w:val="SingleTxtG"/>
        <w:rPr>
          <w:lang w:val="fr-FR"/>
        </w:rPr>
      </w:pPr>
      <w:r w:rsidRPr="005F7056">
        <w:rPr>
          <w:lang w:val="fr-FR"/>
        </w:rPr>
        <w:t>2.</w:t>
      </w:r>
      <w:r w:rsidRPr="005F7056">
        <w:rPr>
          <w:lang w:val="fr-FR"/>
        </w:rPr>
        <w:tab/>
      </w:r>
      <w:r w:rsidRPr="00DE4154">
        <w:t>Dans</w:t>
      </w:r>
      <w:r w:rsidRPr="005F7056">
        <w:rPr>
          <w:lang w:val="fr-FR"/>
        </w:rPr>
        <w:t xml:space="preserve"> la version française, la </w:t>
      </w:r>
      <w:r>
        <w:rPr>
          <w:lang w:val="fr-FR"/>
        </w:rPr>
        <w:t>« </w:t>
      </w:r>
      <w:r w:rsidRPr="005F7056">
        <w:rPr>
          <w:lang w:val="fr-FR"/>
        </w:rPr>
        <w:t>conformité</w:t>
      </w:r>
      <w:r>
        <w:rPr>
          <w:lang w:val="fr-FR"/>
        </w:rPr>
        <w:t> »</w:t>
      </w:r>
      <w:r w:rsidRPr="005F7056">
        <w:rPr>
          <w:lang w:val="fr-FR"/>
        </w:rPr>
        <w:t xml:space="preserve"> peut être vérifiée, alors que dans la version anglaise et (probablement) dans </w:t>
      </w:r>
      <w:r>
        <w:rPr>
          <w:lang w:val="fr-FR"/>
        </w:rPr>
        <w:t>la version</w:t>
      </w:r>
      <w:r w:rsidRPr="005F7056">
        <w:rPr>
          <w:lang w:val="fr-FR"/>
        </w:rPr>
        <w:t xml:space="preserve"> russe, c</w:t>
      </w:r>
      <w:r>
        <w:rPr>
          <w:lang w:val="fr-FR"/>
        </w:rPr>
        <w:t>’</w:t>
      </w:r>
      <w:r w:rsidRPr="005F7056">
        <w:rPr>
          <w:lang w:val="fr-FR"/>
        </w:rPr>
        <w:t>est l</w:t>
      </w:r>
      <w:r>
        <w:rPr>
          <w:lang w:val="fr-FR"/>
        </w:rPr>
        <w:t>’« </w:t>
      </w:r>
      <w:r w:rsidRPr="005F7056">
        <w:rPr>
          <w:lang w:val="fr-FR"/>
        </w:rPr>
        <w:t>identité</w:t>
      </w:r>
      <w:r>
        <w:rPr>
          <w:lang w:val="fr-FR"/>
        </w:rPr>
        <w:t> »</w:t>
      </w:r>
      <w:r w:rsidRPr="005F7056">
        <w:rPr>
          <w:lang w:val="fr-FR"/>
        </w:rPr>
        <w:t xml:space="preserve"> qui peut être vérifiée. </w:t>
      </w:r>
      <w:r>
        <w:rPr>
          <w:lang w:val="fr-FR"/>
        </w:rPr>
        <w:t>En d’autres termes, dans la version française, on vérifie si</w:t>
      </w:r>
      <w:r w:rsidRPr="005F7056">
        <w:rPr>
          <w:lang w:val="fr-FR"/>
        </w:rPr>
        <w:t xml:space="preserve"> l</w:t>
      </w:r>
      <w:r>
        <w:rPr>
          <w:lang w:val="fr-FR"/>
        </w:rPr>
        <w:t>’</w:t>
      </w:r>
      <w:r w:rsidRPr="005F7056">
        <w:rPr>
          <w:lang w:val="fr-FR"/>
        </w:rPr>
        <w:t xml:space="preserve">engin est conforme à la réglementation, </w:t>
      </w:r>
      <w:r>
        <w:rPr>
          <w:lang w:val="fr-FR"/>
        </w:rPr>
        <w:t xml:space="preserve">et </w:t>
      </w:r>
      <w:r w:rsidRPr="005F7056">
        <w:rPr>
          <w:lang w:val="fr-FR"/>
        </w:rPr>
        <w:t>dans la version anglaise</w:t>
      </w:r>
      <w:r>
        <w:rPr>
          <w:lang w:val="fr-FR"/>
        </w:rPr>
        <w:t>,</w:t>
      </w:r>
      <w:r w:rsidRPr="005F7056">
        <w:rPr>
          <w:lang w:val="fr-FR"/>
        </w:rPr>
        <w:t xml:space="preserve"> s</w:t>
      </w:r>
      <w:r>
        <w:rPr>
          <w:lang w:val="fr-FR"/>
        </w:rPr>
        <w:t>’</w:t>
      </w:r>
      <w:r w:rsidRPr="005F7056">
        <w:rPr>
          <w:lang w:val="fr-FR"/>
        </w:rPr>
        <w:t>il s</w:t>
      </w:r>
      <w:r>
        <w:rPr>
          <w:lang w:val="fr-FR"/>
        </w:rPr>
        <w:t>’</w:t>
      </w:r>
      <w:r w:rsidRPr="005F7056">
        <w:rPr>
          <w:lang w:val="fr-FR"/>
        </w:rPr>
        <w:t>agit de l</w:t>
      </w:r>
      <w:r>
        <w:rPr>
          <w:lang w:val="fr-FR"/>
        </w:rPr>
        <w:t>’</w:t>
      </w:r>
      <w:r w:rsidRPr="005F7056">
        <w:rPr>
          <w:lang w:val="fr-FR"/>
        </w:rPr>
        <w:t xml:space="preserve">engin en question. </w:t>
      </w:r>
    </w:p>
    <w:p w14:paraId="21144D42" w14:textId="77777777" w:rsidR="00B00A9D" w:rsidRPr="005F7056" w:rsidRDefault="00B00A9D" w:rsidP="00DE4154">
      <w:pPr>
        <w:pStyle w:val="HChG"/>
        <w:rPr>
          <w:lang w:val="fr-FR"/>
        </w:rPr>
      </w:pPr>
      <w:r w:rsidRPr="005F7056">
        <w:rPr>
          <w:lang w:val="fr-FR"/>
        </w:rPr>
        <w:tab/>
      </w:r>
      <w:r w:rsidRPr="005F7056">
        <w:rPr>
          <w:lang w:val="fr-FR"/>
        </w:rPr>
        <w:tab/>
        <w:t>Proposition</w:t>
      </w:r>
    </w:p>
    <w:p w14:paraId="22E4A80F" w14:textId="20900C39" w:rsidR="00B00A9D" w:rsidRPr="005F7056" w:rsidRDefault="00B00A9D" w:rsidP="00B00A9D">
      <w:pPr>
        <w:pStyle w:val="SingleTxtG"/>
        <w:rPr>
          <w:lang w:val="fr-FR"/>
        </w:rPr>
      </w:pPr>
      <w:r w:rsidRPr="005F7056">
        <w:rPr>
          <w:lang w:val="fr-FR"/>
        </w:rPr>
        <w:t>3.</w:t>
      </w:r>
      <w:r w:rsidRPr="005F7056">
        <w:rPr>
          <w:lang w:val="fr-FR"/>
        </w:rPr>
        <w:tab/>
        <w:t>Modifier la version anglaise comme suit</w:t>
      </w:r>
      <w:r w:rsidR="00DE4154">
        <w:rPr>
          <w:lang w:val="fr-FR"/>
        </w:rPr>
        <w:t> </w:t>
      </w:r>
      <w:r w:rsidRPr="005F7056">
        <w:rPr>
          <w:lang w:val="fr-FR"/>
        </w:rPr>
        <w:t>:</w:t>
      </w:r>
    </w:p>
    <w:p w14:paraId="390FFB13" w14:textId="77777777" w:rsidR="00B00A9D" w:rsidRPr="00B00A9D" w:rsidRDefault="00B00A9D" w:rsidP="00B00A9D">
      <w:pPr>
        <w:pStyle w:val="SingleTxtG"/>
        <w:rPr>
          <w:lang w:val="en-US"/>
        </w:rPr>
      </w:pPr>
      <w:bookmarkStart w:id="0" w:name="_Hlk141367065"/>
      <w:r w:rsidRPr="00B00A9D">
        <w:rPr>
          <w:lang w:val="en-US"/>
        </w:rPr>
        <w:t>« …subject to a visual inspection to v</w:t>
      </w:r>
      <w:r w:rsidRPr="00B00A9D">
        <w:rPr>
          <w:u w:val="single"/>
          <w:lang w:val="en-US"/>
        </w:rPr>
        <w:t>erify its conformity</w:t>
      </w:r>
      <w:r w:rsidRPr="00B00A9D">
        <w:rPr>
          <w:lang w:val="en-US"/>
        </w:rPr>
        <w:t xml:space="preserve"> </w:t>
      </w:r>
      <w:r w:rsidRPr="00B00A9D">
        <w:rPr>
          <w:strike/>
          <w:lang w:val="en-US"/>
        </w:rPr>
        <w:t>confirm its identity</w:t>
      </w:r>
      <w:r w:rsidRPr="00B00A9D">
        <w:rPr>
          <w:lang w:val="en-US"/>
        </w:rPr>
        <w:t xml:space="preserve"> before the…</w:t>
      </w:r>
      <w:bookmarkEnd w:id="0"/>
      <w:r w:rsidRPr="00B00A9D">
        <w:rPr>
          <w:lang w:val="en-US"/>
        </w:rPr>
        <w:t> »</w:t>
      </w:r>
    </w:p>
    <w:p w14:paraId="351FE783" w14:textId="77777777" w:rsidR="00B00A9D" w:rsidRPr="005F7056" w:rsidRDefault="00B00A9D" w:rsidP="00DE4154">
      <w:pPr>
        <w:pStyle w:val="SingleTxtG"/>
        <w:rPr>
          <w:lang w:val="fr-FR"/>
        </w:rPr>
      </w:pPr>
      <w:r w:rsidRPr="005F7056">
        <w:rPr>
          <w:lang w:val="fr-FR"/>
        </w:rPr>
        <w:t>4.</w:t>
      </w:r>
      <w:r w:rsidRPr="005F7056">
        <w:rPr>
          <w:lang w:val="fr-FR"/>
        </w:rPr>
        <w:tab/>
      </w:r>
      <w:r w:rsidRPr="00DE4154">
        <w:t>Modifier</w:t>
      </w:r>
      <w:r w:rsidRPr="005F7056">
        <w:rPr>
          <w:lang w:val="fr-FR"/>
        </w:rPr>
        <w:t xml:space="preserve"> la version russe de </w:t>
      </w:r>
      <w:r>
        <w:rPr>
          <w:lang w:val="fr-FR"/>
        </w:rPr>
        <w:t>sorte qu’elle ait le même sens</w:t>
      </w:r>
      <w:r w:rsidRPr="005F7056">
        <w:rPr>
          <w:lang w:val="fr-FR"/>
        </w:rPr>
        <w:t>.</w:t>
      </w:r>
    </w:p>
    <w:p w14:paraId="24015DBD" w14:textId="77777777" w:rsidR="00B00A9D" w:rsidRPr="005F7056" w:rsidRDefault="00B00A9D" w:rsidP="00DE4154">
      <w:pPr>
        <w:pStyle w:val="HChG"/>
        <w:rPr>
          <w:lang w:val="fr-FR"/>
        </w:rPr>
      </w:pPr>
      <w:r w:rsidRPr="005F7056">
        <w:rPr>
          <w:lang w:val="fr-FR"/>
        </w:rPr>
        <w:tab/>
      </w:r>
      <w:r w:rsidRPr="005F7056">
        <w:rPr>
          <w:lang w:val="fr-FR"/>
        </w:rPr>
        <w:tab/>
        <w:t>Justification</w:t>
      </w:r>
    </w:p>
    <w:p w14:paraId="6375EAA2" w14:textId="77777777" w:rsidR="00B00A9D" w:rsidRPr="005F7056" w:rsidRDefault="00B00A9D" w:rsidP="00DE4154">
      <w:pPr>
        <w:pStyle w:val="SingleTxtG"/>
        <w:rPr>
          <w:lang w:val="fr-FR"/>
        </w:rPr>
      </w:pPr>
      <w:r w:rsidRPr="005F7056">
        <w:rPr>
          <w:lang w:val="fr-FR"/>
        </w:rPr>
        <w:t>5.</w:t>
      </w:r>
      <w:r w:rsidRPr="005F7056">
        <w:rPr>
          <w:lang w:val="fr-FR"/>
        </w:rPr>
        <w:tab/>
        <w:t>Les différentes versions linguistiques doivent avoir un contenu identique.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5700"/>
      </w:tblGrid>
      <w:tr w:rsidR="00B00A9D" w:rsidRPr="005F7056" w14:paraId="784E3FB1" w14:textId="77777777" w:rsidTr="005D3A28">
        <w:tc>
          <w:tcPr>
            <w:tcW w:w="1421" w:type="dxa"/>
            <w:shd w:val="clear" w:color="auto" w:fill="auto"/>
          </w:tcPr>
          <w:p w14:paraId="384FD43A" w14:textId="77777777" w:rsidR="00B00A9D" w:rsidRPr="005F7056" w:rsidRDefault="00B00A9D" w:rsidP="005D3A28">
            <w:pPr>
              <w:pStyle w:val="SingleTxtG"/>
              <w:ind w:left="0" w:right="0"/>
              <w:rPr>
                <w:lang w:val="fr-FR"/>
              </w:rPr>
            </w:pPr>
            <w:r w:rsidRPr="005F7056">
              <w:rPr>
                <w:lang w:val="fr-FR"/>
              </w:rPr>
              <w:t>Coût :</w:t>
            </w:r>
          </w:p>
        </w:tc>
        <w:tc>
          <w:tcPr>
            <w:tcW w:w="5700" w:type="dxa"/>
            <w:shd w:val="clear" w:color="auto" w:fill="auto"/>
          </w:tcPr>
          <w:p w14:paraId="698D99B2" w14:textId="77777777" w:rsidR="00B00A9D" w:rsidRPr="005F7056" w:rsidRDefault="00B00A9D" w:rsidP="005D3A28">
            <w:pPr>
              <w:pStyle w:val="SingleTxtG"/>
              <w:ind w:left="0"/>
              <w:rPr>
                <w:lang w:val="fr-FR"/>
              </w:rPr>
            </w:pPr>
            <w:r w:rsidRPr="005F7056">
              <w:rPr>
                <w:lang w:val="fr-FR"/>
              </w:rPr>
              <w:t>Néant</w:t>
            </w:r>
          </w:p>
        </w:tc>
      </w:tr>
      <w:tr w:rsidR="00B00A9D" w:rsidRPr="004D0CED" w14:paraId="2581BF01" w14:textId="77777777" w:rsidTr="005D3A28">
        <w:tc>
          <w:tcPr>
            <w:tcW w:w="1421" w:type="dxa"/>
            <w:shd w:val="clear" w:color="auto" w:fill="auto"/>
          </w:tcPr>
          <w:p w14:paraId="6CEE5711" w14:textId="77777777" w:rsidR="00B00A9D" w:rsidRPr="005F7056" w:rsidRDefault="00B00A9D" w:rsidP="005D3A28">
            <w:pPr>
              <w:pStyle w:val="SingleTxtG"/>
              <w:ind w:left="0" w:right="0"/>
              <w:rPr>
                <w:lang w:val="fr-FR"/>
              </w:rPr>
            </w:pPr>
            <w:r w:rsidRPr="005F7056">
              <w:rPr>
                <w:lang w:val="fr-FR"/>
              </w:rPr>
              <w:t>Faisabilité :</w:t>
            </w:r>
          </w:p>
        </w:tc>
        <w:tc>
          <w:tcPr>
            <w:tcW w:w="5700" w:type="dxa"/>
            <w:shd w:val="clear" w:color="auto" w:fill="auto"/>
          </w:tcPr>
          <w:p w14:paraId="0E8F2B6D" w14:textId="0828D123" w:rsidR="00B00A9D" w:rsidRPr="005F7056" w:rsidRDefault="00B00A9D" w:rsidP="005D3A28">
            <w:pPr>
              <w:pStyle w:val="SingleTxtG"/>
              <w:ind w:left="0" w:right="0"/>
              <w:rPr>
                <w:lang w:val="fr-FR"/>
              </w:rPr>
            </w:pPr>
            <w:r w:rsidRPr="005F7056">
              <w:rPr>
                <w:lang w:val="fr-FR"/>
              </w:rPr>
              <w:t>Aucune difficulté n</w:t>
            </w:r>
            <w:r>
              <w:rPr>
                <w:lang w:val="fr-FR"/>
              </w:rPr>
              <w:t>’</w:t>
            </w:r>
            <w:r w:rsidRPr="005F7056">
              <w:rPr>
                <w:lang w:val="fr-FR"/>
              </w:rPr>
              <w:t xml:space="preserve">est à prévoir </w:t>
            </w:r>
            <w:r w:rsidR="00DE4154">
              <w:rPr>
                <w:lang w:val="fr-FR"/>
              </w:rPr>
              <w:t>−</w:t>
            </w:r>
            <w:r w:rsidRPr="005F7056">
              <w:rPr>
                <w:lang w:val="fr-FR"/>
              </w:rPr>
              <w:t xml:space="preserve"> la procédure sera harmonisée</w:t>
            </w:r>
          </w:p>
        </w:tc>
      </w:tr>
      <w:tr w:rsidR="00B00A9D" w:rsidRPr="005F7056" w14:paraId="39E53A18" w14:textId="77777777" w:rsidTr="005D3A28">
        <w:tc>
          <w:tcPr>
            <w:tcW w:w="1421" w:type="dxa"/>
            <w:shd w:val="clear" w:color="auto" w:fill="auto"/>
          </w:tcPr>
          <w:p w14:paraId="7D894AFF" w14:textId="77777777" w:rsidR="00B00A9D" w:rsidRPr="005F7056" w:rsidRDefault="00B00A9D" w:rsidP="005D3A28">
            <w:pPr>
              <w:pStyle w:val="SingleTxtG"/>
              <w:ind w:left="0" w:right="3"/>
              <w:rPr>
                <w:lang w:val="fr-FR"/>
              </w:rPr>
            </w:pPr>
            <w:r w:rsidRPr="005F7056">
              <w:rPr>
                <w:lang w:val="fr-FR"/>
              </w:rPr>
              <w:t>Résultats :</w:t>
            </w:r>
          </w:p>
        </w:tc>
        <w:tc>
          <w:tcPr>
            <w:tcW w:w="5700" w:type="dxa"/>
            <w:shd w:val="clear" w:color="auto" w:fill="auto"/>
          </w:tcPr>
          <w:p w14:paraId="170F1D56" w14:textId="77777777" w:rsidR="00B00A9D" w:rsidRPr="005F7056" w:rsidRDefault="00B00A9D" w:rsidP="005D3A28">
            <w:pPr>
              <w:pStyle w:val="SingleTxtG"/>
              <w:ind w:left="0"/>
              <w:rPr>
                <w:lang w:val="fr-FR"/>
              </w:rPr>
            </w:pPr>
            <w:r w:rsidRPr="005F7056">
              <w:rPr>
                <w:lang w:val="fr-FR"/>
              </w:rPr>
              <w:t>La procédure sera harmonisée</w:t>
            </w:r>
          </w:p>
        </w:tc>
      </w:tr>
      <w:tr w:rsidR="00B00A9D" w:rsidRPr="004D0CED" w14:paraId="4604E191" w14:textId="77777777" w:rsidTr="005D3A28">
        <w:tc>
          <w:tcPr>
            <w:tcW w:w="1421" w:type="dxa"/>
            <w:shd w:val="clear" w:color="auto" w:fill="auto"/>
          </w:tcPr>
          <w:p w14:paraId="29F279FF" w14:textId="77777777" w:rsidR="00B00A9D" w:rsidRPr="005F7056" w:rsidRDefault="00B00A9D" w:rsidP="005D3A28">
            <w:pPr>
              <w:pStyle w:val="SingleTxtG"/>
              <w:ind w:left="0" w:right="0"/>
              <w:rPr>
                <w:lang w:val="fr-FR"/>
              </w:rPr>
            </w:pPr>
            <w:r w:rsidRPr="005F7056">
              <w:rPr>
                <w:lang w:val="fr-FR"/>
              </w:rPr>
              <w:t>Applicabilité :</w:t>
            </w:r>
          </w:p>
        </w:tc>
        <w:tc>
          <w:tcPr>
            <w:tcW w:w="5700" w:type="dxa"/>
            <w:shd w:val="clear" w:color="auto" w:fill="auto"/>
          </w:tcPr>
          <w:p w14:paraId="563EE5DB" w14:textId="77777777" w:rsidR="00B00A9D" w:rsidRPr="005F7056" w:rsidRDefault="00B00A9D" w:rsidP="005D3A28">
            <w:pPr>
              <w:pStyle w:val="SingleTxtG"/>
              <w:ind w:left="0" w:right="0"/>
              <w:rPr>
                <w:lang w:val="fr-FR"/>
              </w:rPr>
            </w:pPr>
            <w:r w:rsidRPr="005F7056">
              <w:rPr>
                <w:lang w:val="fr-FR"/>
              </w:rPr>
              <w:t>Aucune difficulté n</w:t>
            </w:r>
            <w:r>
              <w:rPr>
                <w:lang w:val="fr-FR"/>
              </w:rPr>
              <w:t>’</w:t>
            </w:r>
            <w:r w:rsidRPr="005F7056">
              <w:rPr>
                <w:lang w:val="fr-FR"/>
              </w:rPr>
              <w:t>est à prévoir.</w:t>
            </w:r>
          </w:p>
        </w:tc>
      </w:tr>
    </w:tbl>
    <w:p w14:paraId="2F72E166" w14:textId="1957C6D5" w:rsidR="00B00A9D" w:rsidRPr="00DE4154" w:rsidRDefault="00DE4154" w:rsidP="00DE415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00A9D" w:rsidRPr="00DE4154" w:rsidSect="00B00A9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6ADE4" w14:textId="77777777" w:rsidR="00293ACA" w:rsidRDefault="00293ACA" w:rsidP="00F95C08">
      <w:pPr>
        <w:spacing w:line="240" w:lineRule="auto"/>
      </w:pPr>
    </w:p>
  </w:endnote>
  <w:endnote w:type="continuationSeparator" w:id="0">
    <w:p w14:paraId="4A363308" w14:textId="77777777" w:rsidR="00293ACA" w:rsidRPr="00AC3823" w:rsidRDefault="00293ACA" w:rsidP="00AC3823">
      <w:pPr>
        <w:pStyle w:val="Pieddepage"/>
      </w:pPr>
    </w:p>
  </w:endnote>
  <w:endnote w:type="continuationNotice" w:id="1">
    <w:p w14:paraId="5D5FF41B" w14:textId="77777777" w:rsidR="00293ACA" w:rsidRDefault="00293AC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235E" w14:textId="24B20F14" w:rsidR="00B00A9D" w:rsidRPr="00B00A9D" w:rsidRDefault="00B00A9D" w:rsidP="00B00A9D">
    <w:pPr>
      <w:pStyle w:val="Pieddepage"/>
      <w:tabs>
        <w:tab w:val="right" w:pos="9638"/>
      </w:tabs>
    </w:pPr>
    <w:r w:rsidRPr="00B00A9D">
      <w:rPr>
        <w:b/>
        <w:sz w:val="18"/>
      </w:rPr>
      <w:fldChar w:fldCharType="begin"/>
    </w:r>
    <w:r w:rsidRPr="00B00A9D">
      <w:rPr>
        <w:b/>
        <w:sz w:val="18"/>
      </w:rPr>
      <w:instrText xml:space="preserve"> PAGE  \* MERGEFORMAT </w:instrText>
    </w:r>
    <w:r w:rsidRPr="00B00A9D">
      <w:rPr>
        <w:b/>
        <w:sz w:val="18"/>
      </w:rPr>
      <w:fldChar w:fldCharType="separate"/>
    </w:r>
    <w:r w:rsidRPr="00B00A9D">
      <w:rPr>
        <w:b/>
        <w:noProof/>
        <w:sz w:val="18"/>
      </w:rPr>
      <w:t>2</w:t>
    </w:r>
    <w:r w:rsidRPr="00B00A9D">
      <w:rPr>
        <w:b/>
        <w:sz w:val="18"/>
      </w:rPr>
      <w:fldChar w:fldCharType="end"/>
    </w:r>
    <w:r>
      <w:rPr>
        <w:b/>
        <w:sz w:val="18"/>
      </w:rPr>
      <w:tab/>
    </w:r>
    <w:r>
      <w:t>GE.23-15298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0E26" w14:textId="6EE2E007" w:rsidR="00B00A9D" w:rsidRPr="00B00A9D" w:rsidRDefault="00B00A9D" w:rsidP="00B00A9D">
    <w:pPr>
      <w:pStyle w:val="Pieddepage"/>
      <w:tabs>
        <w:tab w:val="right" w:pos="9638"/>
      </w:tabs>
      <w:rPr>
        <w:b/>
        <w:sz w:val="18"/>
      </w:rPr>
    </w:pPr>
    <w:r>
      <w:t>GE.23-15298</w:t>
    </w:r>
    <w:r>
      <w:tab/>
    </w:r>
    <w:r w:rsidRPr="00B00A9D">
      <w:rPr>
        <w:b/>
        <w:sz w:val="18"/>
      </w:rPr>
      <w:fldChar w:fldCharType="begin"/>
    </w:r>
    <w:r w:rsidRPr="00B00A9D">
      <w:rPr>
        <w:b/>
        <w:sz w:val="18"/>
      </w:rPr>
      <w:instrText xml:space="preserve"> PAGE  \* MERGEFORMAT </w:instrText>
    </w:r>
    <w:r w:rsidRPr="00B00A9D">
      <w:rPr>
        <w:b/>
        <w:sz w:val="18"/>
      </w:rPr>
      <w:fldChar w:fldCharType="separate"/>
    </w:r>
    <w:r w:rsidRPr="00B00A9D">
      <w:rPr>
        <w:b/>
        <w:noProof/>
        <w:sz w:val="18"/>
      </w:rPr>
      <w:t>3</w:t>
    </w:r>
    <w:r w:rsidRPr="00B00A9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6EB4" w14:textId="2B7862AB" w:rsidR="007F20FA" w:rsidRPr="00B00A9D" w:rsidRDefault="00B00A9D" w:rsidP="00B00A9D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68050D7" wp14:editId="3B24B27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23-15298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B74D4A1" wp14:editId="6A70E17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56718602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300823    310823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7FD4A" w14:textId="77777777" w:rsidR="00293ACA" w:rsidRPr="00AC3823" w:rsidRDefault="00293AC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A91CFBA" w14:textId="77777777" w:rsidR="00293ACA" w:rsidRPr="00AC3823" w:rsidRDefault="00293AC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BE51931" w14:textId="77777777" w:rsidR="00293ACA" w:rsidRPr="00AC3823" w:rsidRDefault="00293ACA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3DE9" w14:textId="19A12767" w:rsidR="00B00A9D" w:rsidRPr="00B00A9D" w:rsidRDefault="00B00A9D">
    <w:pPr>
      <w:pStyle w:val="En-tte"/>
    </w:pPr>
    <w:fldSimple w:instr=" TITLE  \* MERGEFORMAT ">
      <w:r w:rsidR="00252B19">
        <w:t>ECE/TRANS/WP.11/2023/16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EE02" w14:textId="531C837E" w:rsidR="00B00A9D" w:rsidRPr="00B00A9D" w:rsidRDefault="00B00A9D" w:rsidP="00B00A9D">
    <w:pPr>
      <w:pStyle w:val="En-tte"/>
      <w:jc w:val="right"/>
    </w:pPr>
    <w:fldSimple w:instr=" TITLE  \* MERGEFORMAT ">
      <w:r w:rsidR="00252B19">
        <w:t>ECE/TRANS/WP.11/2023/16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524708985">
    <w:abstractNumId w:val="12"/>
  </w:num>
  <w:num w:numId="2" w16cid:durableId="790979326">
    <w:abstractNumId w:val="11"/>
  </w:num>
  <w:num w:numId="3" w16cid:durableId="1458445887">
    <w:abstractNumId w:val="10"/>
  </w:num>
  <w:num w:numId="4" w16cid:durableId="1022244125">
    <w:abstractNumId w:val="8"/>
  </w:num>
  <w:num w:numId="5" w16cid:durableId="2001611868">
    <w:abstractNumId w:val="3"/>
  </w:num>
  <w:num w:numId="6" w16cid:durableId="1082482014">
    <w:abstractNumId w:val="2"/>
  </w:num>
  <w:num w:numId="7" w16cid:durableId="467550260">
    <w:abstractNumId w:val="1"/>
  </w:num>
  <w:num w:numId="8" w16cid:durableId="1606381138">
    <w:abstractNumId w:val="0"/>
  </w:num>
  <w:num w:numId="9" w16cid:durableId="152110512">
    <w:abstractNumId w:val="9"/>
  </w:num>
  <w:num w:numId="10" w16cid:durableId="490372790">
    <w:abstractNumId w:val="7"/>
  </w:num>
  <w:num w:numId="11" w16cid:durableId="162667091">
    <w:abstractNumId w:val="6"/>
  </w:num>
  <w:num w:numId="12" w16cid:durableId="1324621405">
    <w:abstractNumId w:val="5"/>
  </w:num>
  <w:num w:numId="13" w16cid:durableId="1755736717">
    <w:abstractNumId w:val="4"/>
  </w:num>
  <w:num w:numId="14" w16cid:durableId="90468730">
    <w:abstractNumId w:val="12"/>
  </w:num>
  <w:num w:numId="15" w16cid:durableId="1086151053">
    <w:abstractNumId w:val="11"/>
  </w:num>
  <w:num w:numId="16" w16cid:durableId="18228844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CA"/>
    <w:rsid w:val="00017F94"/>
    <w:rsid w:val="00023842"/>
    <w:rsid w:val="00031B05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2B19"/>
    <w:rsid w:val="00257168"/>
    <w:rsid w:val="002744B8"/>
    <w:rsid w:val="002832AC"/>
    <w:rsid w:val="00293ACA"/>
    <w:rsid w:val="002D7C93"/>
    <w:rsid w:val="00305801"/>
    <w:rsid w:val="003916DE"/>
    <w:rsid w:val="003F366A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A9D"/>
    <w:rsid w:val="00B00B0D"/>
    <w:rsid w:val="00B15A29"/>
    <w:rsid w:val="00B45F2E"/>
    <w:rsid w:val="00B765F7"/>
    <w:rsid w:val="00B77993"/>
    <w:rsid w:val="00BA0CA9"/>
    <w:rsid w:val="00C02897"/>
    <w:rsid w:val="00C97039"/>
    <w:rsid w:val="00D3439C"/>
    <w:rsid w:val="00D7622E"/>
    <w:rsid w:val="00DA2C9E"/>
    <w:rsid w:val="00DB1831"/>
    <w:rsid w:val="00DD3BFD"/>
    <w:rsid w:val="00DE4154"/>
    <w:rsid w:val="00DF6678"/>
    <w:rsid w:val="00E0299A"/>
    <w:rsid w:val="00E85C74"/>
    <w:rsid w:val="00EA6547"/>
    <w:rsid w:val="00EB4380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4ED19"/>
  <w15:docId w15:val="{A2E7BF9E-C0F7-4861-B960-C6832C59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B00A9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B00A9D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F04BC3-2439-4C91-9AC8-5FE1A8706828}"/>
</file>

<file path=customXml/itemProps2.xml><?xml version="1.0" encoding="utf-8"?>
<ds:datastoreItem xmlns:ds="http://schemas.openxmlformats.org/officeDocument/2006/customXml" ds:itemID="{79937C7D-7C1F-45DD-B5F2-EE6634C5BF7B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440</Words>
  <Characters>2460</Characters>
  <Application>Microsoft Office Word</Application>
  <DocSecurity>0</DocSecurity>
  <Lines>66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ECE/TRANS/WP.11/2023/16</vt:lpstr>
    </vt:vector>
  </TitlesOfParts>
  <Company>DCM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ECE/TRANS/WP.11/2023/16</dc:title>
  <dc:subject/>
  <dc:creator>Christine CHAUTAGNAT</dc:creator>
  <cp:keywords/>
  <cp:lastModifiedBy>Christine Chautagnat</cp:lastModifiedBy>
  <cp:revision>3</cp:revision>
  <cp:lastPrinted>2023-08-31T11:14:00Z</cp:lastPrinted>
  <dcterms:created xsi:type="dcterms:W3CDTF">2023-08-31T11:14:00Z</dcterms:created>
  <dcterms:modified xsi:type="dcterms:W3CDTF">2023-08-31T11:14:00Z</dcterms:modified>
</cp:coreProperties>
</file>