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5740F21" w14:textId="77777777" w:rsidTr="00BB5AFA">
        <w:trPr>
          <w:cantSplit/>
          <w:trHeight w:hRule="exact" w:val="851"/>
        </w:trPr>
        <w:tc>
          <w:tcPr>
            <w:tcW w:w="1276" w:type="dxa"/>
            <w:tcBorders>
              <w:bottom w:val="single" w:sz="4" w:space="0" w:color="auto"/>
            </w:tcBorders>
            <w:vAlign w:val="bottom"/>
          </w:tcPr>
          <w:p w14:paraId="63F87F6D" w14:textId="77777777" w:rsidR="00717266" w:rsidRDefault="00717266" w:rsidP="00BB5AFA">
            <w:pPr>
              <w:spacing w:after="80"/>
            </w:pPr>
          </w:p>
        </w:tc>
        <w:tc>
          <w:tcPr>
            <w:tcW w:w="2268" w:type="dxa"/>
            <w:tcBorders>
              <w:bottom w:val="single" w:sz="4" w:space="0" w:color="auto"/>
            </w:tcBorders>
            <w:vAlign w:val="bottom"/>
          </w:tcPr>
          <w:p w14:paraId="4F3D773A" w14:textId="77777777" w:rsidR="00717266" w:rsidRPr="00B97172" w:rsidRDefault="00717266" w:rsidP="00BB5AF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413C4DD" w14:textId="77777777" w:rsidR="00717266" w:rsidRPr="00D47EEA" w:rsidRDefault="005557E8" w:rsidP="00BB5AFA">
            <w:pPr>
              <w:suppressAutoHyphens w:val="0"/>
              <w:spacing w:after="20"/>
              <w:jc w:val="right"/>
            </w:pPr>
            <w:r w:rsidRPr="005557E8">
              <w:rPr>
                <w:sz w:val="40"/>
              </w:rPr>
              <w:t>ECE</w:t>
            </w:r>
            <w:r>
              <w:t>/TRANS/WP.11/2023/4</w:t>
            </w:r>
          </w:p>
        </w:tc>
      </w:tr>
      <w:tr w:rsidR="00717266" w14:paraId="5D6342CA" w14:textId="77777777" w:rsidTr="00BB5AFA">
        <w:trPr>
          <w:cantSplit/>
          <w:trHeight w:hRule="exact" w:val="2835"/>
        </w:trPr>
        <w:tc>
          <w:tcPr>
            <w:tcW w:w="1276" w:type="dxa"/>
            <w:tcBorders>
              <w:top w:val="single" w:sz="4" w:space="0" w:color="auto"/>
              <w:bottom w:val="single" w:sz="12" w:space="0" w:color="auto"/>
            </w:tcBorders>
          </w:tcPr>
          <w:p w14:paraId="50752B58" w14:textId="77777777" w:rsidR="00717266" w:rsidRDefault="00717266" w:rsidP="00BB5AFA">
            <w:pPr>
              <w:spacing w:before="120"/>
            </w:pPr>
            <w:r>
              <w:rPr>
                <w:noProof/>
                <w:lang w:val="fr-CH" w:eastAsia="fr-CH"/>
              </w:rPr>
              <w:drawing>
                <wp:inline distT="0" distB="0" distL="0" distR="0" wp14:anchorId="5D2AA4DE" wp14:editId="4803D33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0CBE50" w14:textId="77777777" w:rsidR="00717266" w:rsidRPr="00D773DF" w:rsidRDefault="00717266" w:rsidP="00BB5AFA">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D4174CC" w14:textId="77777777" w:rsidR="005557E8" w:rsidRDefault="005557E8" w:rsidP="00BB5AFA">
            <w:pPr>
              <w:spacing w:before="240" w:line="240" w:lineRule="exact"/>
            </w:pPr>
            <w:r>
              <w:t>Distr.: General</w:t>
            </w:r>
          </w:p>
          <w:p w14:paraId="232A63D1" w14:textId="77777777" w:rsidR="005557E8" w:rsidRDefault="005557E8" w:rsidP="00BB5AFA">
            <w:pPr>
              <w:spacing w:line="240" w:lineRule="exact"/>
            </w:pPr>
            <w:r>
              <w:t>3 August 2023</w:t>
            </w:r>
          </w:p>
          <w:p w14:paraId="4BD15811" w14:textId="77777777" w:rsidR="005557E8" w:rsidRDefault="005557E8" w:rsidP="00BB5AFA">
            <w:pPr>
              <w:spacing w:line="240" w:lineRule="exact"/>
            </w:pPr>
            <w:r>
              <w:t>English</w:t>
            </w:r>
          </w:p>
          <w:p w14:paraId="7446DB98" w14:textId="392C5BEB" w:rsidR="005557E8" w:rsidRDefault="005557E8" w:rsidP="00BB5AFA">
            <w:pPr>
              <w:suppressAutoHyphens w:val="0"/>
            </w:pPr>
            <w:r>
              <w:t>Original: French</w:t>
            </w:r>
          </w:p>
        </w:tc>
      </w:tr>
    </w:tbl>
    <w:p w14:paraId="7CAB3684" w14:textId="77777777" w:rsidR="005557E8" w:rsidRPr="00410408" w:rsidRDefault="005557E8" w:rsidP="005557E8">
      <w:pPr>
        <w:spacing w:before="120"/>
        <w:rPr>
          <w:b/>
          <w:sz w:val="40"/>
          <w:szCs w:val="40"/>
        </w:rPr>
      </w:pPr>
      <w:r w:rsidRPr="00410408">
        <w:rPr>
          <w:b/>
          <w:bCs/>
          <w:sz w:val="28"/>
          <w:szCs w:val="28"/>
        </w:rPr>
        <w:t>Economic Commission for Europe</w:t>
      </w:r>
    </w:p>
    <w:p w14:paraId="4F576A20" w14:textId="77777777" w:rsidR="005557E8" w:rsidRPr="00410408" w:rsidRDefault="005557E8" w:rsidP="005557E8">
      <w:pPr>
        <w:spacing w:before="120"/>
        <w:rPr>
          <w:sz w:val="40"/>
          <w:szCs w:val="40"/>
        </w:rPr>
      </w:pPr>
      <w:r w:rsidRPr="00410408">
        <w:rPr>
          <w:sz w:val="28"/>
          <w:szCs w:val="28"/>
        </w:rPr>
        <w:t>Inland Transport Committee</w:t>
      </w:r>
    </w:p>
    <w:p w14:paraId="678F3759" w14:textId="77777777" w:rsidR="005557E8" w:rsidRPr="00410408" w:rsidRDefault="005557E8" w:rsidP="005557E8">
      <w:pPr>
        <w:spacing w:before="120"/>
        <w:rPr>
          <w:b/>
          <w:sz w:val="32"/>
          <w:szCs w:val="32"/>
        </w:rPr>
      </w:pPr>
      <w:r w:rsidRPr="00410408">
        <w:rPr>
          <w:b/>
          <w:bCs/>
          <w:sz w:val="24"/>
          <w:szCs w:val="24"/>
        </w:rPr>
        <w:t>Working Party on the Transport of Perishable Foodstuffs</w:t>
      </w:r>
    </w:p>
    <w:p w14:paraId="7C4B367B" w14:textId="77777777" w:rsidR="005557E8" w:rsidRPr="00265E07" w:rsidRDefault="005557E8" w:rsidP="005557E8">
      <w:pPr>
        <w:spacing w:before="120"/>
        <w:rPr>
          <w:b/>
        </w:rPr>
      </w:pPr>
      <w:r>
        <w:rPr>
          <w:b/>
          <w:bCs/>
        </w:rPr>
        <w:t>Eightieth session</w:t>
      </w:r>
    </w:p>
    <w:p w14:paraId="6C761520" w14:textId="77777777" w:rsidR="005557E8" w:rsidRDefault="005557E8" w:rsidP="005557E8">
      <w:pPr>
        <w:rPr>
          <w:bCs/>
        </w:rPr>
      </w:pPr>
      <w:r>
        <w:t>Geneva, 24–27 October 2023</w:t>
      </w:r>
    </w:p>
    <w:p w14:paraId="091563FD" w14:textId="77777777" w:rsidR="005557E8" w:rsidRDefault="005557E8" w:rsidP="005557E8">
      <w:r>
        <w:t>Item 5 (a) of the provisional agenda</w:t>
      </w:r>
    </w:p>
    <w:p w14:paraId="14A9A207" w14:textId="77777777" w:rsidR="005557E8" w:rsidRPr="005F502D" w:rsidRDefault="005557E8" w:rsidP="005557E8">
      <w:pPr>
        <w:pStyle w:val="Heading2"/>
        <w:spacing w:before="15"/>
        <w:rPr>
          <w:b/>
          <w:bCs/>
        </w:rPr>
      </w:pPr>
      <w:r>
        <w:rPr>
          <w:b/>
          <w:bCs/>
        </w:rPr>
        <w:t>Proposals for amendments to ATP:</w:t>
      </w:r>
    </w:p>
    <w:p w14:paraId="4AB99419" w14:textId="77777777" w:rsidR="005557E8" w:rsidRDefault="005557E8" w:rsidP="005557E8">
      <w:pPr>
        <w:spacing w:before="10"/>
        <w:rPr>
          <w:b/>
        </w:rPr>
      </w:pPr>
      <w:r>
        <w:rPr>
          <w:b/>
          <w:bCs/>
        </w:rPr>
        <w:t>Pending proposals</w:t>
      </w:r>
    </w:p>
    <w:p w14:paraId="4C736DB4" w14:textId="0A43F36A" w:rsidR="005557E8" w:rsidRDefault="005557E8" w:rsidP="005557E8">
      <w:pPr>
        <w:pStyle w:val="HChG"/>
      </w:pPr>
      <w:r>
        <w:tab/>
      </w:r>
      <w:r>
        <w:tab/>
      </w:r>
      <w:r>
        <w:rPr>
          <w:bCs/>
        </w:rPr>
        <w:t>Proposed amendments to annex 1, appendix 2, paragraph</w:t>
      </w:r>
      <w:r w:rsidR="00410408">
        <w:rPr>
          <w:bCs/>
        </w:rPr>
        <w:t> </w:t>
      </w:r>
      <w:r>
        <w:rPr>
          <w:bCs/>
        </w:rPr>
        <w:t>7.3.7</w:t>
      </w:r>
    </w:p>
    <w:p w14:paraId="03447E71" w14:textId="771503DD" w:rsidR="005557E8" w:rsidRDefault="005557E8" w:rsidP="005557E8">
      <w:pPr>
        <w:pStyle w:val="H1G"/>
        <w:rPr>
          <w:bCs/>
        </w:rPr>
      </w:pPr>
      <w:r>
        <w:tab/>
      </w:r>
      <w:r>
        <w:tab/>
      </w:r>
      <w:r>
        <w:rPr>
          <w:bCs/>
        </w:rPr>
        <w:t>Transmitted by the Government of France</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5557E8" w14:paraId="76925385" w14:textId="77777777" w:rsidTr="00BB5AFA">
        <w:trPr>
          <w:cantSplit/>
          <w:jc w:val="center"/>
        </w:trPr>
        <w:tc>
          <w:tcPr>
            <w:tcW w:w="9637" w:type="dxa"/>
            <w:tcBorders>
              <w:bottom w:val="nil"/>
            </w:tcBorders>
          </w:tcPr>
          <w:p w14:paraId="5BFC3BE3" w14:textId="1E3103E8" w:rsidR="005557E8" w:rsidRPr="005557E8" w:rsidRDefault="005557E8" w:rsidP="005557E8">
            <w:pPr>
              <w:tabs>
                <w:tab w:val="left" w:pos="255"/>
              </w:tabs>
              <w:suppressAutoHyphens w:val="0"/>
              <w:spacing w:before="240" w:after="120"/>
              <w:rPr>
                <w:sz w:val="24"/>
              </w:rPr>
            </w:pPr>
            <w:r>
              <w:tab/>
            </w:r>
            <w:r>
              <w:rPr>
                <w:i/>
                <w:sz w:val="24"/>
              </w:rPr>
              <w:t>Summary</w:t>
            </w:r>
          </w:p>
        </w:tc>
      </w:tr>
      <w:tr w:rsidR="005557E8" w14:paraId="65CC2A1D" w14:textId="77777777" w:rsidTr="00BB5AFA">
        <w:trPr>
          <w:cantSplit/>
          <w:jc w:val="center"/>
        </w:trPr>
        <w:tc>
          <w:tcPr>
            <w:tcW w:w="9637" w:type="dxa"/>
            <w:tcBorders>
              <w:top w:val="nil"/>
              <w:bottom w:val="nil"/>
            </w:tcBorders>
            <w:shd w:val="clear" w:color="auto" w:fill="auto"/>
          </w:tcPr>
          <w:p w14:paraId="669B1046" w14:textId="1092CA7A" w:rsidR="005557E8" w:rsidRDefault="005557E8" w:rsidP="002D64D7">
            <w:pPr>
              <w:pStyle w:val="SingleTxtG"/>
              <w:tabs>
                <w:tab w:val="clear" w:pos="1701"/>
                <w:tab w:val="clear" w:pos="2268"/>
              </w:tabs>
              <w:ind w:left="2552" w:hanging="2268"/>
            </w:pPr>
            <w:r>
              <w:rPr>
                <w:b/>
                <w:bCs/>
              </w:rPr>
              <w:t>Executive summary:</w:t>
            </w:r>
            <w:r>
              <w:tab/>
              <w:t xml:space="preserve">Proposal to supplement annex 1, appendix 2, paragraph 7.3.7 by adding a definition of a removable </w:t>
            </w:r>
            <w:r w:rsidRPr="002D64D7">
              <w:rPr>
                <w:rFonts w:eastAsia="Times New Roman"/>
                <w:bCs/>
                <w:lang w:eastAsia="en-US"/>
              </w:rPr>
              <w:t>dividing</w:t>
            </w:r>
            <w:r>
              <w:t xml:space="preserve"> wall and excluding the use of this type of dividing wall in multi-temperature, multi-compartment equipment.</w:t>
            </w:r>
          </w:p>
        </w:tc>
      </w:tr>
      <w:tr w:rsidR="005557E8" w14:paraId="2B89F347" w14:textId="77777777" w:rsidTr="00BB5AFA">
        <w:trPr>
          <w:cantSplit/>
          <w:jc w:val="center"/>
        </w:trPr>
        <w:tc>
          <w:tcPr>
            <w:tcW w:w="9637" w:type="dxa"/>
            <w:tcBorders>
              <w:top w:val="nil"/>
              <w:bottom w:val="nil"/>
            </w:tcBorders>
            <w:shd w:val="clear" w:color="auto" w:fill="auto"/>
          </w:tcPr>
          <w:p w14:paraId="28FDCC0E" w14:textId="4C473A81" w:rsidR="005557E8" w:rsidRDefault="005557E8" w:rsidP="002D64D7">
            <w:pPr>
              <w:pStyle w:val="SingleTxtG"/>
              <w:tabs>
                <w:tab w:val="clear" w:pos="1701"/>
                <w:tab w:val="clear" w:pos="2268"/>
              </w:tabs>
              <w:ind w:left="2552" w:hanging="2268"/>
            </w:pPr>
            <w:r w:rsidRPr="00DB5B35">
              <w:rPr>
                <w:b/>
                <w:bCs/>
              </w:rPr>
              <w:t xml:space="preserve">Action to be </w:t>
            </w:r>
            <w:proofErr w:type="gramStart"/>
            <w:r w:rsidRPr="00DB5B35">
              <w:rPr>
                <w:b/>
                <w:bCs/>
              </w:rPr>
              <w:t>taken:</w:t>
            </w:r>
            <w:proofErr w:type="gramEnd"/>
            <w:r>
              <w:tab/>
              <w:t xml:space="preserve">Supplement </w:t>
            </w:r>
            <w:r w:rsidRPr="002D64D7">
              <w:rPr>
                <w:rFonts w:eastAsia="Times New Roman"/>
                <w:bCs/>
                <w:lang w:eastAsia="en-US"/>
              </w:rPr>
              <w:t>annex</w:t>
            </w:r>
            <w:r>
              <w:t xml:space="preserve"> 1, appendix 2, paragraph 7.3.7</w:t>
            </w:r>
          </w:p>
        </w:tc>
      </w:tr>
      <w:tr w:rsidR="005557E8" w14:paraId="33E01369" w14:textId="77777777" w:rsidTr="00BB5AFA">
        <w:trPr>
          <w:cantSplit/>
          <w:jc w:val="center"/>
        </w:trPr>
        <w:tc>
          <w:tcPr>
            <w:tcW w:w="9637" w:type="dxa"/>
            <w:tcBorders>
              <w:top w:val="nil"/>
              <w:bottom w:val="nil"/>
            </w:tcBorders>
            <w:shd w:val="clear" w:color="auto" w:fill="auto"/>
          </w:tcPr>
          <w:p w14:paraId="42939C4D" w14:textId="509EF09F" w:rsidR="005557E8" w:rsidRDefault="005557E8" w:rsidP="002D64D7">
            <w:pPr>
              <w:pStyle w:val="SingleTxtG"/>
              <w:tabs>
                <w:tab w:val="clear" w:pos="1701"/>
                <w:tab w:val="clear" w:pos="2268"/>
              </w:tabs>
              <w:ind w:left="2552" w:hanging="2268"/>
            </w:pPr>
            <w:r w:rsidRPr="00DB5B35">
              <w:rPr>
                <w:b/>
                <w:bCs/>
              </w:rPr>
              <w:t>Related documents:</w:t>
            </w:r>
            <w:r>
              <w:tab/>
              <w:t xml:space="preserve">ECE/TRANS/WP.11/2022/14 and </w:t>
            </w:r>
            <w:r w:rsidRPr="002D64D7">
              <w:rPr>
                <w:rFonts w:eastAsia="Times New Roman"/>
                <w:bCs/>
                <w:lang w:eastAsia="en-US"/>
              </w:rPr>
              <w:t>ECE</w:t>
            </w:r>
            <w:r>
              <w:t>/TRANS/WP.11/2022/5</w:t>
            </w:r>
          </w:p>
        </w:tc>
      </w:tr>
      <w:tr w:rsidR="005557E8" w14:paraId="000C0AE6" w14:textId="77777777" w:rsidTr="00BB5AFA">
        <w:trPr>
          <w:cantSplit/>
          <w:jc w:val="center"/>
        </w:trPr>
        <w:tc>
          <w:tcPr>
            <w:tcW w:w="9637" w:type="dxa"/>
            <w:tcBorders>
              <w:top w:val="nil"/>
            </w:tcBorders>
          </w:tcPr>
          <w:p w14:paraId="64788ED2" w14:textId="77777777" w:rsidR="005557E8" w:rsidRDefault="005557E8" w:rsidP="005557E8">
            <w:pPr>
              <w:suppressAutoHyphens w:val="0"/>
            </w:pPr>
          </w:p>
        </w:tc>
      </w:tr>
    </w:tbl>
    <w:p w14:paraId="4A3496DB" w14:textId="77777777" w:rsidR="005557E8" w:rsidRDefault="005557E8" w:rsidP="005557E8">
      <w:pPr>
        <w:pStyle w:val="HChG"/>
      </w:pPr>
      <w:r>
        <w:tab/>
      </w:r>
      <w:r>
        <w:tab/>
      </w:r>
      <w:r>
        <w:rPr>
          <w:bCs/>
        </w:rPr>
        <w:t>Introduction</w:t>
      </w:r>
    </w:p>
    <w:p w14:paraId="5E8C3BE7" w14:textId="77777777" w:rsidR="005557E8" w:rsidRDefault="005557E8" w:rsidP="005557E8">
      <w:pPr>
        <w:pStyle w:val="SingleTxtG"/>
      </w:pPr>
      <w:r>
        <w:t>1.</w:t>
      </w:r>
      <w:r>
        <w:tab/>
        <w:t>The certification of multi-temperature equipment requires an assessment of the ability of internal dividing walls within the equipment to maintain the physical and thermal separation of two adjacent compartments during the transport of perishable goods.</w:t>
      </w:r>
    </w:p>
    <w:p w14:paraId="44E2FFC8" w14:textId="665637C5" w:rsidR="005557E8" w:rsidRDefault="005557E8" w:rsidP="005557E8">
      <w:pPr>
        <w:pStyle w:val="SingleTxtG"/>
      </w:pPr>
      <w:r>
        <w:t>2.</w:t>
      </w:r>
      <w:r>
        <w:tab/>
        <w:t xml:space="preserve">Annex 1, appendix 2, paragraph 7 refers to the thermal losses through internal dividing walls with only two types mentioned, using the terms </w:t>
      </w:r>
      <w:r>
        <w:t>“</w:t>
      </w:r>
      <w:r>
        <w:t>longitudinal</w:t>
      </w:r>
      <w:r>
        <w:t>”</w:t>
      </w:r>
      <w:r>
        <w:t xml:space="preserve"> and </w:t>
      </w:r>
      <w:r>
        <w:t>“</w:t>
      </w:r>
      <w:r>
        <w:t>transversal</w:t>
      </w:r>
      <w:r>
        <w:t>”</w:t>
      </w:r>
      <w:r>
        <w:t>. As a result, the acceptance criteria for these internal dividing walls are not sufficiently clear in ATP to rule out technical solutions that do not meet the objective of certification or to prevent differences in interpretation between competent authorities that could lead to the acceptance in one country of multi-temperature equipment that is rejected in another country.</w:t>
      </w:r>
    </w:p>
    <w:p w14:paraId="537B86F4" w14:textId="77777777" w:rsidR="005557E8" w:rsidRPr="00C52002" w:rsidRDefault="005557E8" w:rsidP="005557E8">
      <w:pPr>
        <w:pStyle w:val="SingleTxtG"/>
      </w:pPr>
      <w:r>
        <w:t>3.</w:t>
      </w:r>
      <w:r>
        <w:tab/>
        <w:t>The purpose of this proposal is to supplement the proposals in ECE/TRANS/WP.11/2022/14 and ECE/TRANS/WP.11/2022/5 by introducing, in annex 1, appendix 2, paragraph 7.3.7:</w:t>
      </w:r>
    </w:p>
    <w:p w14:paraId="44F51CAD" w14:textId="77777777" w:rsidR="005557E8" w:rsidRDefault="005557E8" w:rsidP="005557E8">
      <w:pPr>
        <w:pStyle w:val="Bullet1G"/>
        <w:numPr>
          <w:ilvl w:val="0"/>
          <w:numId w:val="8"/>
        </w:numPr>
        <w:kinsoku w:val="0"/>
        <w:overflowPunct w:val="0"/>
        <w:autoSpaceDE w:val="0"/>
        <w:autoSpaceDN w:val="0"/>
        <w:adjustRightInd w:val="0"/>
        <w:snapToGrid w:val="0"/>
      </w:pPr>
      <w:r>
        <w:t>A definition of a removable dividing wall</w:t>
      </w:r>
    </w:p>
    <w:p w14:paraId="0A59F11E" w14:textId="77777777" w:rsidR="005557E8" w:rsidRDefault="005557E8" w:rsidP="005557E8">
      <w:pPr>
        <w:pStyle w:val="Bullet1G"/>
        <w:numPr>
          <w:ilvl w:val="0"/>
          <w:numId w:val="8"/>
        </w:numPr>
        <w:kinsoku w:val="0"/>
        <w:overflowPunct w:val="0"/>
        <w:autoSpaceDE w:val="0"/>
        <w:autoSpaceDN w:val="0"/>
        <w:adjustRightInd w:val="0"/>
        <w:snapToGrid w:val="0"/>
      </w:pPr>
      <w:r>
        <w:lastRenderedPageBreak/>
        <w:t>The exclusion of removable dividing walls from multi-temperature multi-compartment equipment</w:t>
      </w:r>
    </w:p>
    <w:p w14:paraId="3783BE53" w14:textId="77777777" w:rsidR="005557E8" w:rsidRDefault="005557E8" w:rsidP="005557E8">
      <w:pPr>
        <w:pStyle w:val="HChG"/>
      </w:pPr>
      <w:r>
        <w:rPr>
          <w:bCs/>
        </w:rPr>
        <w:tab/>
        <w:t>I.</w:t>
      </w:r>
      <w:r>
        <w:tab/>
      </w:r>
      <w:r>
        <w:rPr>
          <w:bCs/>
        </w:rPr>
        <w:t>Proposal</w:t>
      </w:r>
    </w:p>
    <w:p w14:paraId="5429595B" w14:textId="77777777" w:rsidR="005557E8" w:rsidRDefault="005557E8" w:rsidP="005557E8">
      <w:pPr>
        <w:pStyle w:val="SingleTxtG"/>
      </w:pPr>
      <w:r>
        <w:t>4.</w:t>
      </w:r>
      <w:r>
        <w:tab/>
        <w:t>Introduce the definition of a removable dividing wall in annex 1, appendix 2, paragraph 7.3.7:</w:t>
      </w:r>
    </w:p>
    <w:p w14:paraId="5155E4C7" w14:textId="77777777" w:rsidR="005557E8" w:rsidRDefault="005557E8" w:rsidP="005557E8">
      <w:pPr>
        <w:pStyle w:val="Bullet1G"/>
        <w:numPr>
          <w:ilvl w:val="0"/>
          <w:numId w:val="8"/>
        </w:numPr>
        <w:kinsoku w:val="0"/>
        <w:overflowPunct w:val="0"/>
        <w:autoSpaceDE w:val="0"/>
        <w:autoSpaceDN w:val="0"/>
        <w:adjustRightInd w:val="0"/>
        <w:snapToGrid w:val="0"/>
      </w:pPr>
      <w:r>
        <w:tab/>
      </w:r>
      <w:r w:rsidRPr="00BB5AFA">
        <w:rPr>
          <w:u w:val="single"/>
        </w:rPr>
        <w:t>Removable dividing wall</w:t>
      </w:r>
      <w:r>
        <w:t xml:space="preserve">: A dividing wall that cannot be mechanically locked to the equipment and that requires no tools for dismantling and storage outside the equipment. </w:t>
      </w:r>
    </w:p>
    <w:p w14:paraId="673695A2" w14:textId="77777777" w:rsidR="005557E8" w:rsidRPr="00532415" w:rsidRDefault="005557E8" w:rsidP="005557E8">
      <w:pPr>
        <w:pStyle w:val="SingleTxtG"/>
      </w:pPr>
      <w:r>
        <w:t>5.</w:t>
      </w:r>
      <w:r>
        <w:tab/>
        <w:t>Add at the end of 7.3.7.</w:t>
      </w:r>
      <w:r>
        <w:tab/>
        <w:t>Internal dividing walls:</w:t>
      </w:r>
    </w:p>
    <w:p w14:paraId="341764E8" w14:textId="3A76D0B8" w:rsidR="005557E8" w:rsidRDefault="005557E8" w:rsidP="005557E8">
      <w:pPr>
        <w:pStyle w:val="SingleTxtG"/>
        <w:ind w:left="1701"/>
      </w:pPr>
      <w:r>
        <w:t>“</w:t>
      </w:r>
      <w:r>
        <w:t>Removable dividing walls may not be used in multi-temperature transport.</w:t>
      </w:r>
      <w:r>
        <w:t>”</w:t>
      </w:r>
    </w:p>
    <w:p w14:paraId="0086F832" w14:textId="77777777" w:rsidR="005557E8" w:rsidRDefault="005557E8" w:rsidP="005557E8">
      <w:pPr>
        <w:pStyle w:val="SingleTxtG"/>
      </w:pPr>
      <w:r>
        <w:t>6.</w:t>
      </w:r>
      <w:r>
        <w:tab/>
        <w:t>Translation:</w:t>
      </w:r>
    </w:p>
    <w:p w14:paraId="54EC3675" w14:textId="7A36CD00" w:rsidR="005557E8" w:rsidRDefault="002E3FC5" w:rsidP="005557E8">
      <w:pPr>
        <w:pStyle w:val="SingleTxtG"/>
      </w:pPr>
      <w:r>
        <w:rPr>
          <w:i/>
          <w:iCs/>
        </w:rPr>
        <w:tab/>
      </w:r>
      <w:r w:rsidR="005557E8" w:rsidRPr="00E9068C">
        <w:rPr>
          <w:i/>
          <w:iCs/>
        </w:rPr>
        <w:t xml:space="preserve">Cloison </w:t>
      </w:r>
      <w:proofErr w:type="spellStart"/>
      <w:r w:rsidR="005557E8" w:rsidRPr="00E9068C">
        <w:rPr>
          <w:i/>
          <w:iCs/>
        </w:rPr>
        <w:t>amovible</w:t>
      </w:r>
      <w:proofErr w:type="spellEnd"/>
      <w:r w:rsidR="005557E8">
        <w:t>: removable dividing wall</w:t>
      </w:r>
    </w:p>
    <w:p w14:paraId="440A9863" w14:textId="6BA37818" w:rsidR="00BB5AFA" w:rsidRDefault="00BB5AFA" w:rsidP="00BB5AFA">
      <w:pPr>
        <w:pStyle w:val="HChG"/>
      </w:pPr>
      <w:r>
        <w:tab/>
      </w:r>
      <w:r>
        <w:t>II.</w:t>
      </w:r>
      <w:r>
        <w:tab/>
        <w:t>Impact</w:t>
      </w:r>
    </w:p>
    <w:tbl>
      <w:tblPr>
        <w:tblW w:w="7370" w:type="dxa"/>
        <w:tblInd w:w="1134" w:type="dxa"/>
        <w:tblLayout w:type="fixed"/>
        <w:tblCellMar>
          <w:left w:w="0" w:type="dxa"/>
          <w:right w:w="0" w:type="dxa"/>
        </w:tblCellMar>
        <w:tblLook w:val="01E0" w:firstRow="1" w:lastRow="1" w:firstColumn="1" w:lastColumn="1" w:noHBand="0" w:noVBand="0"/>
      </w:tblPr>
      <w:tblGrid>
        <w:gridCol w:w="1589"/>
        <w:gridCol w:w="5781"/>
      </w:tblGrid>
      <w:tr w:rsidR="00BB5AFA" w:rsidRPr="002D44E6" w14:paraId="32AD42DF" w14:textId="77777777" w:rsidTr="0026779B">
        <w:trPr>
          <w:trHeight w:hRule="exact" w:val="90"/>
        </w:trPr>
        <w:tc>
          <w:tcPr>
            <w:tcW w:w="1589" w:type="dxa"/>
            <w:tcBorders>
              <w:top w:val="single" w:sz="12" w:space="0" w:color="auto"/>
            </w:tcBorders>
            <w:shd w:val="clear" w:color="auto" w:fill="auto"/>
          </w:tcPr>
          <w:p w14:paraId="0345EAFA" w14:textId="77777777" w:rsidR="00BB5AFA" w:rsidRPr="002D44E6" w:rsidRDefault="00BB5AFA" w:rsidP="00202C9D">
            <w:pPr>
              <w:spacing w:before="40" w:after="120"/>
              <w:ind w:right="113"/>
            </w:pPr>
          </w:p>
        </w:tc>
        <w:tc>
          <w:tcPr>
            <w:tcW w:w="5781" w:type="dxa"/>
            <w:tcBorders>
              <w:top w:val="single" w:sz="12" w:space="0" w:color="auto"/>
            </w:tcBorders>
            <w:shd w:val="clear" w:color="auto" w:fill="auto"/>
          </w:tcPr>
          <w:p w14:paraId="2C54221B" w14:textId="77777777" w:rsidR="00BB5AFA" w:rsidRPr="002D44E6" w:rsidRDefault="00BB5AFA" w:rsidP="00202C9D">
            <w:pPr>
              <w:spacing w:before="40" w:after="120"/>
              <w:ind w:right="113"/>
            </w:pPr>
          </w:p>
        </w:tc>
      </w:tr>
      <w:tr w:rsidR="00BB5AFA" w:rsidRPr="002D44E6" w14:paraId="375D9EFF" w14:textId="77777777" w:rsidTr="0026779B">
        <w:tc>
          <w:tcPr>
            <w:tcW w:w="1589" w:type="dxa"/>
            <w:shd w:val="clear" w:color="auto" w:fill="auto"/>
            <w:vAlign w:val="bottom"/>
          </w:tcPr>
          <w:p w14:paraId="3BEB466B" w14:textId="77777777" w:rsidR="00BB5AFA" w:rsidRPr="002D44E6" w:rsidRDefault="00BB5AFA" w:rsidP="00202C9D">
            <w:pPr>
              <w:spacing w:before="40" w:after="120"/>
              <w:ind w:right="113"/>
            </w:pPr>
            <w:r>
              <w:t>Cost:</w:t>
            </w:r>
          </w:p>
        </w:tc>
        <w:tc>
          <w:tcPr>
            <w:tcW w:w="5781" w:type="dxa"/>
            <w:shd w:val="clear" w:color="auto" w:fill="auto"/>
            <w:vAlign w:val="bottom"/>
          </w:tcPr>
          <w:p w14:paraId="4BF955CE" w14:textId="77777777" w:rsidR="00BB5AFA" w:rsidRPr="002D44E6" w:rsidRDefault="00BB5AFA" w:rsidP="00202C9D">
            <w:pPr>
              <w:spacing w:before="40" w:after="120"/>
              <w:ind w:right="113"/>
            </w:pPr>
            <w:r>
              <w:t>No impact.</w:t>
            </w:r>
          </w:p>
        </w:tc>
      </w:tr>
      <w:tr w:rsidR="00BB5AFA" w:rsidRPr="002D44E6" w14:paraId="3AD1A260" w14:textId="77777777" w:rsidTr="0026779B">
        <w:tc>
          <w:tcPr>
            <w:tcW w:w="1589" w:type="dxa"/>
            <w:shd w:val="clear" w:color="auto" w:fill="auto"/>
          </w:tcPr>
          <w:p w14:paraId="1DA96A57" w14:textId="77777777" w:rsidR="00BB5AFA" w:rsidRPr="002D44E6" w:rsidRDefault="00BB5AFA" w:rsidP="00202C9D">
            <w:pPr>
              <w:spacing w:before="40" w:after="120"/>
              <w:ind w:right="113"/>
            </w:pPr>
            <w:r>
              <w:t>Environment:</w:t>
            </w:r>
          </w:p>
        </w:tc>
        <w:tc>
          <w:tcPr>
            <w:tcW w:w="5781" w:type="dxa"/>
            <w:shd w:val="clear" w:color="auto" w:fill="auto"/>
          </w:tcPr>
          <w:p w14:paraId="07614CF2" w14:textId="77777777" w:rsidR="00BB5AFA" w:rsidRPr="002D44E6" w:rsidRDefault="00BB5AFA" w:rsidP="00202C9D">
            <w:pPr>
              <w:spacing w:before="40" w:after="120"/>
              <w:ind w:right="113"/>
            </w:pPr>
            <w:r>
              <w:t>This proposal aims to harmonize the interpretation of ATP and reduce distortions of competition.</w:t>
            </w:r>
          </w:p>
        </w:tc>
      </w:tr>
      <w:tr w:rsidR="00BB5AFA" w:rsidRPr="002D44E6" w14:paraId="23E32124" w14:textId="77777777" w:rsidTr="0026779B">
        <w:tc>
          <w:tcPr>
            <w:tcW w:w="1589" w:type="dxa"/>
            <w:shd w:val="clear" w:color="auto" w:fill="auto"/>
          </w:tcPr>
          <w:p w14:paraId="174F1B23" w14:textId="77777777" w:rsidR="00BB5AFA" w:rsidRPr="002D44E6" w:rsidRDefault="00BB5AFA" w:rsidP="00202C9D">
            <w:pPr>
              <w:spacing w:before="40" w:after="120"/>
              <w:ind w:right="113"/>
            </w:pPr>
            <w:r>
              <w:t>Feasibility:</w:t>
            </w:r>
          </w:p>
        </w:tc>
        <w:tc>
          <w:tcPr>
            <w:tcW w:w="5781" w:type="dxa"/>
            <w:shd w:val="clear" w:color="auto" w:fill="auto"/>
          </w:tcPr>
          <w:p w14:paraId="50D0D485" w14:textId="77777777" w:rsidR="00BB5AFA" w:rsidRPr="002D44E6" w:rsidRDefault="00BB5AFA" w:rsidP="00202C9D">
            <w:pPr>
              <w:spacing w:before="40" w:after="120"/>
              <w:ind w:right="113"/>
            </w:pPr>
            <w:r>
              <w:t xml:space="preserve">The proposed amendment can easily be introduced into ATP. </w:t>
            </w:r>
          </w:p>
          <w:p w14:paraId="7675E51B" w14:textId="77777777" w:rsidR="00BB5AFA" w:rsidRPr="002D44E6" w:rsidRDefault="00BB5AFA" w:rsidP="00202C9D">
            <w:pPr>
              <w:spacing w:before="40" w:after="120"/>
              <w:ind w:right="113"/>
            </w:pPr>
            <w:r>
              <w:t>A transitional period of one year is proposed.</w:t>
            </w:r>
          </w:p>
        </w:tc>
      </w:tr>
      <w:tr w:rsidR="00BB5AFA" w:rsidRPr="002D44E6" w14:paraId="2222A31F" w14:textId="77777777" w:rsidTr="0026779B">
        <w:tc>
          <w:tcPr>
            <w:tcW w:w="1589" w:type="dxa"/>
            <w:tcBorders>
              <w:bottom w:val="single" w:sz="12" w:space="0" w:color="auto"/>
            </w:tcBorders>
            <w:shd w:val="clear" w:color="auto" w:fill="auto"/>
          </w:tcPr>
          <w:p w14:paraId="5B7B1DF2" w14:textId="77777777" w:rsidR="00BB5AFA" w:rsidRPr="002D44E6" w:rsidRDefault="00BB5AFA" w:rsidP="00202C9D">
            <w:pPr>
              <w:spacing w:before="40" w:after="120"/>
              <w:ind w:right="113"/>
            </w:pPr>
            <w:r>
              <w:t>Enforceability:</w:t>
            </w:r>
          </w:p>
        </w:tc>
        <w:tc>
          <w:tcPr>
            <w:tcW w:w="5781" w:type="dxa"/>
            <w:tcBorders>
              <w:bottom w:val="single" w:sz="12" w:space="0" w:color="auto"/>
            </w:tcBorders>
            <w:shd w:val="clear" w:color="auto" w:fill="auto"/>
          </w:tcPr>
          <w:p w14:paraId="1D38ABC7" w14:textId="77777777" w:rsidR="00BB5AFA" w:rsidRPr="002D44E6" w:rsidRDefault="00BB5AFA" w:rsidP="00202C9D">
            <w:pPr>
              <w:spacing w:before="40" w:after="120"/>
              <w:ind w:right="113"/>
            </w:pPr>
            <w:r>
              <w:t>No problems are expected.</w:t>
            </w:r>
          </w:p>
        </w:tc>
      </w:tr>
    </w:tbl>
    <w:p w14:paraId="1D9B3C52" w14:textId="77777777" w:rsidR="00BB5AFA" w:rsidRDefault="00BB5AFA" w:rsidP="00BB5AFA">
      <w:pPr>
        <w:spacing w:before="12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BB5AFA"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DF5F5" w14:textId="77777777" w:rsidR="00FA16CF" w:rsidRPr="00FB1744" w:rsidRDefault="00FA16CF" w:rsidP="00FB1744">
      <w:pPr>
        <w:pStyle w:val="Footer"/>
      </w:pPr>
    </w:p>
  </w:endnote>
  <w:endnote w:type="continuationSeparator" w:id="0">
    <w:p w14:paraId="27E683F1" w14:textId="77777777" w:rsidR="00FA16CF" w:rsidRPr="00FB1744" w:rsidRDefault="00FA16C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9117" w14:textId="77777777" w:rsidR="005557E8" w:rsidRDefault="005557E8" w:rsidP="005557E8">
    <w:pPr>
      <w:pStyle w:val="Footer"/>
      <w:tabs>
        <w:tab w:val="right" w:pos="9638"/>
      </w:tabs>
    </w:pPr>
    <w:r w:rsidRPr="005557E8">
      <w:rPr>
        <w:b/>
        <w:bCs/>
        <w:sz w:val="18"/>
      </w:rPr>
      <w:fldChar w:fldCharType="begin"/>
    </w:r>
    <w:r w:rsidRPr="005557E8">
      <w:rPr>
        <w:b/>
        <w:bCs/>
        <w:sz w:val="18"/>
      </w:rPr>
      <w:instrText xml:space="preserve"> PAGE  \* MERGEFORMAT </w:instrText>
    </w:r>
    <w:r w:rsidRPr="005557E8">
      <w:rPr>
        <w:b/>
        <w:bCs/>
        <w:sz w:val="18"/>
      </w:rPr>
      <w:fldChar w:fldCharType="separate"/>
    </w:r>
    <w:r w:rsidRPr="005557E8">
      <w:rPr>
        <w:b/>
        <w:bCs/>
        <w:noProof/>
        <w:sz w:val="18"/>
      </w:rPr>
      <w:t>2</w:t>
    </w:r>
    <w:r w:rsidRPr="005557E8">
      <w:rPr>
        <w:b/>
        <w:bCs/>
        <w:sz w:val="18"/>
      </w:rPr>
      <w:fldChar w:fldCharType="end"/>
    </w:r>
    <w:r>
      <w:tab/>
      <w:t>GE.23-15039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03E4" w14:textId="77777777" w:rsidR="005557E8" w:rsidRDefault="005557E8" w:rsidP="005557E8">
    <w:pPr>
      <w:pStyle w:val="Footer"/>
      <w:tabs>
        <w:tab w:val="right" w:pos="9638"/>
      </w:tabs>
    </w:pPr>
    <w:r>
      <w:t>GE.23-15039</w:t>
    </w:r>
    <w:r>
      <w:tab/>
    </w:r>
    <w:r w:rsidRPr="005557E8">
      <w:rPr>
        <w:b/>
        <w:bCs/>
        <w:sz w:val="18"/>
      </w:rPr>
      <w:fldChar w:fldCharType="begin"/>
    </w:r>
    <w:r w:rsidRPr="005557E8">
      <w:rPr>
        <w:b/>
        <w:bCs/>
        <w:sz w:val="18"/>
      </w:rPr>
      <w:instrText xml:space="preserve"> PAGE  \* MERGEFORMAT </w:instrText>
    </w:r>
    <w:r w:rsidRPr="005557E8">
      <w:rPr>
        <w:b/>
        <w:bCs/>
        <w:sz w:val="18"/>
      </w:rPr>
      <w:fldChar w:fldCharType="separate"/>
    </w:r>
    <w:r w:rsidRPr="005557E8">
      <w:rPr>
        <w:b/>
        <w:bCs/>
        <w:noProof/>
        <w:sz w:val="18"/>
      </w:rPr>
      <w:t>3</w:t>
    </w:r>
    <w:r w:rsidRPr="005557E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C46B" w14:textId="77777777" w:rsidR="00C448F7" w:rsidRDefault="005557E8">
    <w:pPr>
      <w:pStyle w:val="Footer"/>
      <w:rPr>
        <w:sz w:val="20"/>
      </w:rPr>
    </w:pPr>
    <w:r w:rsidRPr="0027112F">
      <w:rPr>
        <w:noProof/>
        <w:lang w:val="en-US"/>
      </w:rPr>
      <w:drawing>
        <wp:anchor distT="0" distB="0" distL="114300" distR="114300" simplePos="0" relativeHeight="251659264" behindDoc="0" locked="1" layoutInCell="1" allowOverlap="1" wp14:anchorId="111BD4F0" wp14:editId="73C4A7C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67AF033" w14:textId="7DFC2D6F" w:rsidR="005557E8" w:rsidRPr="005557E8" w:rsidRDefault="005557E8" w:rsidP="005557E8">
    <w:pPr>
      <w:pStyle w:val="Footer"/>
      <w:tabs>
        <w:tab w:val="right" w:pos="7370"/>
      </w:tabs>
      <w:rPr>
        <w:sz w:val="20"/>
      </w:rPr>
    </w:pPr>
    <w:r>
      <w:rPr>
        <w:sz w:val="20"/>
      </w:rPr>
      <w:t>GE.23-15039  (E)</w:t>
    </w:r>
    <w:r>
      <w:rPr>
        <w:noProof/>
        <w:sz w:val="20"/>
      </w:rPr>
      <w:drawing>
        <wp:anchor distT="0" distB="0" distL="114300" distR="114300" simplePos="0" relativeHeight="251660288" behindDoc="0" locked="0" layoutInCell="1" allowOverlap="1" wp14:anchorId="5A650D54" wp14:editId="71BD248E">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300823    300823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A6E6" w14:textId="77777777" w:rsidR="00FA16CF" w:rsidRPr="00FB1744" w:rsidRDefault="00FA16CF" w:rsidP="00FB1744">
      <w:pPr>
        <w:tabs>
          <w:tab w:val="right" w:pos="2155"/>
        </w:tabs>
        <w:spacing w:after="80" w:line="240" w:lineRule="auto"/>
        <w:ind w:left="680"/>
      </w:pPr>
      <w:r>
        <w:rPr>
          <w:u w:val="single"/>
        </w:rPr>
        <w:tab/>
      </w:r>
    </w:p>
  </w:footnote>
  <w:footnote w:type="continuationSeparator" w:id="0">
    <w:p w14:paraId="1AA0E6F5" w14:textId="77777777" w:rsidR="00FA16CF" w:rsidRPr="00FB1744" w:rsidRDefault="00FA16CF"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D7FC" w14:textId="77777777" w:rsidR="005557E8" w:rsidRDefault="005557E8" w:rsidP="005557E8">
    <w:pPr>
      <w:pStyle w:val="Header"/>
    </w:pPr>
    <w:r>
      <w:t>ECE/TRANS/WP.11/2023/4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321E" w14:textId="77777777" w:rsidR="005557E8" w:rsidRDefault="005557E8" w:rsidP="005557E8">
    <w:pPr>
      <w:pStyle w:val="Header"/>
      <w:jc w:val="right"/>
    </w:pPr>
    <w:r>
      <w:t>ECE/TRANS/WP.11/2023/4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48463501">
    <w:abstractNumId w:val="3"/>
  </w:num>
  <w:num w:numId="2" w16cid:durableId="1019965907">
    <w:abstractNumId w:val="2"/>
  </w:num>
  <w:num w:numId="3" w16cid:durableId="979305527">
    <w:abstractNumId w:val="0"/>
  </w:num>
  <w:num w:numId="4" w16cid:durableId="547297636">
    <w:abstractNumId w:val="4"/>
  </w:num>
  <w:num w:numId="5" w16cid:durableId="713965684">
    <w:abstractNumId w:val="5"/>
  </w:num>
  <w:num w:numId="6" w16cid:durableId="1255481621">
    <w:abstractNumId w:val="7"/>
  </w:num>
  <w:num w:numId="7" w16cid:durableId="1105997945">
    <w:abstractNumId w:val="1"/>
  </w:num>
  <w:num w:numId="8" w16cid:durableId="4503660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FA16CF"/>
    <w:rsid w:val="00046E92"/>
    <w:rsid w:val="000D1B89"/>
    <w:rsid w:val="000F6E29"/>
    <w:rsid w:val="001170DC"/>
    <w:rsid w:val="001F3E75"/>
    <w:rsid w:val="00247E2C"/>
    <w:rsid w:val="0026779B"/>
    <w:rsid w:val="002D64D7"/>
    <w:rsid w:val="002D6C53"/>
    <w:rsid w:val="002E3FC5"/>
    <w:rsid w:val="002F5595"/>
    <w:rsid w:val="00334F6A"/>
    <w:rsid w:val="00342AC8"/>
    <w:rsid w:val="003B4550"/>
    <w:rsid w:val="00410408"/>
    <w:rsid w:val="0043448D"/>
    <w:rsid w:val="00461253"/>
    <w:rsid w:val="005042C2"/>
    <w:rsid w:val="00506C12"/>
    <w:rsid w:val="005557E8"/>
    <w:rsid w:val="0056599A"/>
    <w:rsid w:val="00585AE1"/>
    <w:rsid w:val="00587690"/>
    <w:rsid w:val="00671529"/>
    <w:rsid w:val="006A5598"/>
    <w:rsid w:val="006D7B4A"/>
    <w:rsid w:val="00717266"/>
    <w:rsid w:val="007268F9"/>
    <w:rsid w:val="007C52B0"/>
    <w:rsid w:val="009411B4"/>
    <w:rsid w:val="009D0139"/>
    <w:rsid w:val="009F5CDC"/>
    <w:rsid w:val="00A429CD"/>
    <w:rsid w:val="00A775CF"/>
    <w:rsid w:val="00AB3C7E"/>
    <w:rsid w:val="00B06045"/>
    <w:rsid w:val="00BB5AFA"/>
    <w:rsid w:val="00C35A27"/>
    <w:rsid w:val="00C448F7"/>
    <w:rsid w:val="00E02C2B"/>
    <w:rsid w:val="00E665C4"/>
    <w:rsid w:val="00E929D6"/>
    <w:rsid w:val="00ED6C48"/>
    <w:rsid w:val="00EF76C5"/>
    <w:rsid w:val="00F65F5D"/>
    <w:rsid w:val="00F86A3A"/>
    <w:rsid w:val="00FA16CF"/>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CBB78"/>
  <w15:docId w15:val="{5C29E44A-4986-487F-955E-E4B5ABAE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5557E8"/>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43AECEED-9F6C-4E87-936D-8D9279EBF1BA}"/>
</file>

<file path=customXml/itemProps3.xml><?xml version="1.0" encoding="utf-8"?>
<ds:datastoreItem xmlns:ds="http://schemas.openxmlformats.org/officeDocument/2006/customXml" ds:itemID="{BDE6A043-15FF-4C07-952A-768B54E01B0F}"/>
</file>

<file path=docProps/app.xml><?xml version="1.0" encoding="utf-8"?>
<Properties xmlns="http://schemas.openxmlformats.org/officeDocument/2006/extended-properties" xmlns:vt="http://schemas.openxmlformats.org/officeDocument/2006/docPropsVTypes">
  <Template>CESCR.dotm</Template>
  <TotalTime>0</TotalTime>
  <Pages>2</Pages>
  <Words>393</Words>
  <Characters>2357</Characters>
  <Application>Microsoft Office Word</Application>
  <DocSecurity>0</DocSecurity>
  <Lines>67</Lines>
  <Paragraphs>44</Paragraphs>
  <ScaleCrop>false</ScaleCrop>
  <Company>DCM</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ECE/TRANS/WP.11/2023/4</dc:title>
  <dc:subject>2315039</dc:subject>
  <dc:creator>cg</dc:creator>
  <cp:keywords/>
  <dc:description/>
  <cp:lastModifiedBy>Maria Rosario Corazon Gatmaytan</cp:lastModifiedBy>
  <cp:revision>2</cp:revision>
  <dcterms:created xsi:type="dcterms:W3CDTF">2023-08-30T09:06:00Z</dcterms:created>
  <dcterms:modified xsi:type="dcterms:W3CDTF">2023-08-30T09:06:00Z</dcterms:modified>
</cp:coreProperties>
</file>