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453954F" w14:textId="77777777" w:rsidTr="005316B0">
        <w:trPr>
          <w:trHeight w:hRule="exact" w:val="851"/>
        </w:trPr>
        <w:tc>
          <w:tcPr>
            <w:tcW w:w="1276" w:type="dxa"/>
            <w:tcBorders>
              <w:bottom w:val="single" w:sz="4" w:space="0" w:color="auto"/>
            </w:tcBorders>
          </w:tcPr>
          <w:p w14:paraId="5D11656E" w14:textId="77777777" w:rsidR="001433FD" w:rsidRPr="00DB58B5" w:rsidRDefault="001433FD" w:rsidP="0001207F"/>
        </w:tc>
        <w:tc>
          <w:tcPr>
            <w:tcW w:w="2268" w:type="dxa"/>
            <w:tcBorders>
              <w:bottom w:val="single" w:sz="4" w:space="0" w:color="auto"/>
            </w:tcBorders>
            <w:vAlign w:val="bottom"/>
          </w:tcPr>
          <w:p w14:paraId="7F6D2777"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98FFFC3" w14:textId="10119CC7" w:rsidR="001433FD" w:rsidRPr="005D4A55" w:rsidRDefault="005D4A55" w:rsidP="005D4A55">
            <w:pPr>
              <w:jc w:val="right"/>
            </w:pPr>
            <w:r w:rsidRPr="005D4A55">
              <w:rPr>
                <w:sz w:val="40"/>
              </w:rPr>
              <w:t>ECE</w:t>
            </w:r>
            <w:r>
              <w:t>/TRANS/WP.11/2021/12/Rev.2</w:t>
            </w:r>
          </w:p>
        </w:tc>
      </w:tr>
      <w:tr w:rsidR="001433FD" w:rsidRPr="00DB58B5" w14:paraId="546AF7E6" w14:textId="77777777" w:rsidTr="007D3236">
        <w:trPr>
          <w:trHeight w:hRule="exact" w:val="2835"/>
        </w:trPr>
        <w:tc>
          <w:tcPr>
            <w:tcW w:w="1276" w:type="dxa"/>
            <w:tcBorders>
              <w:top w:val="single" w:sz="4" w:space="0" w:color="auto"/>
              <w:bottom w:val="single" w:sz="12" w:space="0" w:color="auto"/>
            </w:tcBorders>
          </w:tcPr>
          <w:p w14:paraId="5593DDC0" w14:textId="77777777" w:rsidR="001433FD" w:rsidRPr="00DB58B5" w:rsidRDefault="001433FD" w:rsidP="007D3236">
            <w:pPr>
              <w:spacing w:before="120"/>
              <w:jc w:val="center"/>
            </w:pPr>
            <w:r>
              <w:rPr>
                <w:noProof/>
                <w:lang w:eastAsia="fr-CH"/>
              </w:rPr>
              <w:drawing>
                <wp:inline distT="0" distB="0" distL="0" distR="0" wp14:anchorId="0AEE4D43" wp14:editId="7316C68C">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AEF7BA"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7626067" w14:textId="77777777" w:rsidR="0001207F" w:rsidRDefault="005A7385" w:rsidP="005A7385">
            <w:pPr>
              <w:spacing w:before="240" w:line="240" w:lineRule="exact"/>
            </w:pPr>
            <w:proofErr w:type="spellStart"/>
            <w:r>
              <w:t>Distr</w:t>
            </w:r>
            <w:proofErr w:type="spellEnd"/>
            <w:r>
              <w:t>. générale</w:t>
            </w:r>
          </w:p>
          <w:p w14:paraId="44193459" w14:textId="4613EDF8" w:rsidR="005A7385" w:rsidRDefault="001965E9" w:rsidP="005A7385">
            <w:pPr>
              <w:spacing w:line="240" w:lineRule="exact"/>
            </w:pPr>
            <w:r>
              <w:t>4</w:t>
            </w:r>
            <w:r w:rsidR="005A7385">
              <w:t xml:space="preserve"> août 2022</w:t>
            </w:r>
          </w:p>
          <w:p w14:paraId="15FA0783" w14:textId="77777777" w:rsidR="005A7385" w:rsidRDefault="005A7385" w:rsidP="005A7385">
            <w:pPr>
              <w:spacing w:line="240" w:lineRule="exact"/>
            </w:pPr>
          </w:p>
          <w:p w14:paraId="33FEE383" w14:textId="77777777" w:rsidR="005A7385" w:rsidRPr="00DB58B5" w:rsidRDefault="005A7385" w:rsidP="005A7385">
            <w:pPr>
              <w:spacing w:line="240" w:lineRule="exact"/>
            </w:pPr>
            <w:r>
              <w:t>Original : français</w:t>
            </w:r>
          </w:p>
        </w:tc>
      </w:tr>
    </w:tbl>
    <w:p w14:paraId="26B50E32" w14:textId="77777777" w:rsidR="00564657" w:rsidRDefault="00564657" w:rsidP="005A7385">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3EE95D7F" w14:textId="77777777" w:rsidR="00E35DA7" w:rsidRDefault="00E35DA7" w:rsidP="00E35DA7">
      <w:pPr>
        <w:spacing w:before="120"/>
        <w:rPr>
          <w:sz w:val="28"/>
          <w:szCs w:val="28"/>
        </w:rPr>
      </w:pPr>
      <w:r>
        <w:rPr>
          <w:sz w:val="28"/>
          <w:szCs w:val="28"/>
        </w:rPr>
        <w:t>Comité des transports intérieurs</w:t>
      </w:r>
    </w:p>
    <w:p w14:paraId="19B4A163" w14:textId="77777777" w:rsidR="00E35DA7" w:rsidRDefault="00E35DA7" w:rsidP="00E35DA7">
      <w:pPr>
        <w:spacing w:before="120"/>
        <w:rPr>
          <w:b/>
          <w:sz w:val="24"/>
          <w:szCs w:val="24"/>
        </w:rPr>
      </w:pPr>
      <w:r>
        <w:rPr>
          <w:b/>
          <w:sz w:val="24"/>
          <w:szCs w:val="24"/>
        </w:rPr>
        <w:t>Groupe de travail du transport des denrées périssables</w:t>
      </w:r>
    </w:p>
    <w:p w14:paraId="41A01B0C" w14:textId="77777777" w:rsidR="00E35DA7" w:rsidRDefault="00E35DA7" w:rsidP="00E35DA7">
      <w:pPr>
        <w:spacing w:before="120"/>
        <w:rPr>
          <w:b/>
          <w:bCs/>
        </w:rPr>
      </w:pPr>
      <w:r>
        <w:rPr>
          <w:b/>
          <w:bCs/>
          <w:lang w:val="fr-FR"/>
        </w:rPr>
        <w:t>Soixante-dix-neuvième</w:t>
      </w:r>
      <w:r>
        <w:rPr>
          <w:b/>
          <w:bCs/>
        </w:rPr>
        <w:t xml:space="preserve"> session</w:t>
      </w:r>
    </w:p>
    <w:p w14:paraId="363A6B29" w14:textId="77777777" w:rsidR="00E35DA7" w:rsidRDefault="00E35DA7" w:rsidP="00E35DA7">
      <w:r>
        <w:t xml:space="preserve">Genève, </w:t>
      </w:r>
      <w:r>
        <w:rPr>
          <w:lang w:val="fr-FR"/>
        </w:rPr>
        <w:t>25–28 octobre 2022</w:t>
      </w:r>
    </w:p>
    <w:p w14:paraId="7A2DC887" w14:textId="77777777" w:rsidR="00E35DA7" w:rsidRDefault="00E35DA7" w:rsidP="00E35DA7">
      <w:pPr>
        <w:pStyle w:val="Standard"/>
        <w:tabs>
          <w:tab w:val="center" w:pos="4819"/>
        </w:tabs>
        <w:overflowPunct w:val="0"/>
        <w:snapToGrid/>
      </w:pPr>
      <w:r>
        <w:rPr>
          <w:lang w:eastAsia="fr-FR"/>
        </w:rPr>
        <w:t>Point 6 de l’ordre du jour provisoire</w:t>
      </w:r>
    </w:p>
    <w:p w14:paraId="4972CB91" w14:textId="77777777" w:rsidR="00E35DA7" w:rsidRDefault="00E35DA7" w:rsidP="00E35DA7">
      <w:pPr>
        <w:rPr>
          <w:b/>
          <w:bCs/>
          <w:lang w:val="fr-FR"/>
        </w:rPr>
      </w:pPr>
      <w:r>
        <w:rPr>
          <w:b/>
          <w:lang w:val="fr-FR"/>
        </w:rPr>
        <w:t>Manuel ATP</w:t>
      </w:r>
    </w:p>
    <w:p w14:paraId="2C0FEC9F" w14:textId="77777777" w:rsidR="00E44D47" w:rsidRPr="000C3183" w:rsidRDefault="00E44D47" w:rsidP="00E44D47">
      <w:pPr>
        <w:pStyle w:val="HChG"/>
      </w:pPr>
      <w:r>
        <w:rPr>
          <w:lang w:val="fr-FR"/>
        </w:rPr>
        <w:tab/>
      </w:r>
      <w:r>
        <w:rPr>
          <w:lang w:val="fr-FR"/>
        </w:rPr>
        <w:tab/>
      </w:r>
      <w:r w:rsidRPr="002A75A4">
        <w:rPr>
          <w:lang w:val="fr-FR"/>
        </w:rPr>
        <w:t>Amendements au paragraphe 6. c) iii) de l’appendice 1 de l’annexe 1 du Manuel ATP</w:t>
      </w:r>
      <w:r>
        <w:rPr>
          <w:lang w:val="fr-FR"/>
        </w:rPr>
        <w:br/>
      </w:r>
      <w:r w:rsidRPr="002A75A4">
        <w:rPr>
          <w:lang w:val="fr-FR"/>
        </w:rPr>
        <w:t>Règles à respecter pour le montage des groupes encastrés et / ou muni de déflecteurs et les groupes sous châssis ou pouvant être déportés</w:t>
      </w:r>
    </w:p>
    <w:p w14:paraId="79F550F2" w14:textId="77777777" w:rsidR="00E44D47" w:rsidRDefault="00E44D47" w:rsidP="00E44D47">
      <w:pPr>
        <w:pStyle w:val="H1G"/>
        <w:rPr>
          <w:rStyle w:val="Policepardfaut1"/>
          <w:lang w:val="fr-FR"/>
        </w:rPr>
      </w:pPr>
      <w:r>
        <w:rPr>
          <w:rStyle w:val="Policepardfaut1"/>
          <w:lang w:val="fr-FR"/>
        </w:rPr>
        <w:tab/>
      </w:r>
      <w:r>
        <w:rPr>
          <w:rStyle w:val="Policepardfaut1"/>
          <w:lang w:val="fr-FR"/>
        </w:rPr>
        <w:tab/>
      </w:r>
      <w:r>
        <w:rPr>
          <w:rStyle w:val="Policepardfaut1"/>
          <w:lang w:val="fr-FR"/>
        </w:rPr>
        <w:tab/>
        <w:t xml:space="preserve">Communication du </w:t>
      </w:r>
      <w:r>
        <w:t>Gouvernement</w:t>
      </w:r>
      <w:r>
        <w:rPr>
          <w:rStyle w:val="Policepardfaut1"/>
          <w:lang w:val="fr-FR"/>
        </w:rPr>
        <w:t xml:space="preserve"> de la France</w:t>
      </w:r>
    </w:p>
    <w:p w14:paraId="532F552A" w14:textId="1ACB4307" w:rsidR="00E44D47" w:rsidRPr="00143D73" w:rsidRDefault="00E44D47" w:rsidP="00E44D47">
      <w:pPr>
        <w:pStyle w:val="H23G"/>
        <w:rPr>
          <w:lang w:val="fr-FR"/>
        </w:rPr>
      </w:pPr>
      <w:r>
        <w:rPr>
          <w:lang w:val="fr-FR"/>
        </w:rPr>
        <w:tab/>
      </w:r>
      <w:r>
        <w:rPr>
          <w:lang w:val="fr-FR"/>
        </w:rPr>
        <w:tab/>
        <w:t>R</w:t>
      </w:r>
      <w:r>
        <w:t>é</w:t>
      </w:r>
      <w:r>
        <w:rPr>
          <w:lang w:val="fr-FR"/>
        </w:rPr>
        <w:t>vision</w:t>
      </w:r>
    </w:p>
    <w:p w14:paraId="59E312D5" w14:textId="77777777" w:rsidR="00E44D47" w:rsidRDefault="00E44D47" w:rsidP="00E44D47">
      <w:pPr>
        <w:pStyle w:val="HChG"/>
      </w:pPr>
      <w:r>
        <w:tab/>
      </w:r>
      <w:r>
        <w:tab/>
      </w:r>
      <w:r>
        <w:tab/>
      </w:r>
      <w:r w:rsidRPr="00537110">
        <w:t>Introduction</w:t>
      </w:r>
      <w:bookmarkStart w:id="0" w:name="OLE_LINK2"/>
      <w:bookmarkStart w:id="1" w:name="OLE_LINK1"/>
      <w:bookmarkEnd w:id="0"/>
      <w:bookmarkEnd w:id="1"/>
    </w:p>
    <w:p w14:paraId="775668C4" w14:textId="77777777" w:rsidR="00E44D47" w:rsidRPr="00782E2A" w:rsidRDefault="00E44D47" w:rsidP="00E44D47">
      <w:pPr>
        <w:pStyle w:val="SingleTxtG"/>
        <w:rPr>
          <w:lang w:val="fr-FR"/>
        </w:rPr>
      </w:pPr>
      <w:r w:rsidRPr="00782E2A">
        <w:rPr>
          <w:lang w:val="fr-FR"/>
        </w:rPr>
        <w:t xml:space="preserve">1. </w:t>
      </w:r>
      <w:r>
        <w:rPr>
          <w:lang w:val="fr-FR"/>
        </w:rPr>
        <w:tab/>
      </w:r>
      <w:r w:rsidRPr="00782E2A">
        <w:rPr>
          <w:lang w:val="fr-FR"/>
        </w:rPr>
        <w:t>Certains groupes frigorifiques peuvent être installés dans les réservations des caisses, intégrés à des déflecteurs aérodynamiques ou disposer d’un condenseur installé dans le compartiment moteur ou sous le châssis du véhicule.</w:t>
      </w:r>
    </w:p>
    <w:p w14:paraId="48FE1CEA" w14:textId="77777777" w:rsidR="00E44D47" w:rsidRPr="00782E2A" w:rsidRDefault="00E44D47" w:rsidP="00E44D47">
      <w:pPr>
        <w:pStyle w:val="SingleTxtG"/>
        <w:rPr>
          <w:lang w:val="fr-FR"/>
        </w:rPr>
      </w:pPr>
      <w:r w:rsidRPr="00782E2A">
        <w:rPr>
          <w:lang w:val="fr-FR"/>
        </w:rPr>
        <w:t xml:space="preserve">2. </w:t>
      </w:r>
      <w:r>
        <w:rPr>
          <w:lang w:val="fr-FR"/>
        </w:rPr>
        <w:tab/>
      </w:r>
      <w:r w:rsidRPr="00782E2A">
        <w:rPr>
          <w:lang w:val="fr-FR"/>
        </w:rPr>
        <w:t>De telles conditions d’installation peuvent générer une dégradation de la performance attendue en raison d’une circulation d’air dégradée à l’entrée du condenseur.</w:t>
      </w:r>
    </w:p>
    <w:p w14:paraId="57A824A2" w14:textId="77777777" w:rsidR="00E44D47" w:rsidRDefault="00E44D47" w:rsidP="00E44D47">
      <w:pPr>
        <w:pStyle w:val="SingleTxtG"/>
      </w:pPr>
      <w:r w:rsidRPr="00782E2A">
        <w:rPr>
          <w:lang w:val="fr-FR"/>
        </w:rPr>
        <w:t xml:space="preserve">3. </w:t>
      </w:r>
      <w:r>
        <w:rPr>
          <w:lang w:val="fr-FR"/>
        </w:rPr>
        <w:tab/>
      </w:r>
      <w:r w:rsidRPr="00782E2A">
        <w:rPr>
          <w:lang w:val="fr-FR"/>
        </w:rPr>
        <w:t>Le manuel ATP permet de prendre en considération des dispositions particulières et de préciser les cas généraux définis dans les annexes de l’accord ATP.</w:t>
      </w:r>
    </w:p>
    <w:p w14:paraId="68923CB5" w14:textId="77777777" w:rsidR="00E44D47" w:rsidRDefault="00E44D47" w:rsidP="00E44D47">
      <w:pPr>
        <w:pStyle w:val="HChG"/>
        <w:rPr>
          <w:lang w:val="fr-FR" w:eastAsia="fr-FR"/>
        </w:rPr>
      </w:pPr>
      <w:r>
        <w:rPr>
          <w:lang w:val="fr-FR" w:eastAsia="fr-FR"/>
        </w:rPr>
        <w:tab/>
        <w:t>I.</w:t>
      </w:r>
      <w:r>
        <w:rPr>
          <w:lang w:val="fr-FR" w:eastAsia="fr-FR"/>
        </w:rPr>
        <w:tab/>
        <w:t>Proposition d’amendement au manuel ATP</w:t>
      </w:r>
    </w:p>
    <w:p w14:paraId="4D2FCE22" w14:textId="77777777" w:rsidR="00E44D47" w:rsidRDefault="00E44D47" w:rsidP="00E44D47">
      <w:pPr>
        <w:pStyle w:val="SingleTxtG"/>
      </w:pPr>
      <w:r>
        <w:rPr>
          <w:lang w:val="fr-FR"/>
        </w:rPr>
        <w:t xml:space="preserve">4. </w:t>
      </w:r>
      <w:r>
        <w:rPr>
          <w:lang w:val="fr-FR"/>
        </w:rPr>
        <w:tab/>
        <w:t>Il est proposé d’ajouter au manuel ATP au paragraphe 6. c) iii) de l’appendice 1 de l’annexe 1, le texte comme suit :</w:t>
      </w:r>
    </w:p>
    <w:p w14:paraId="3E03DB26" w14:textId="77777777" w:rsidR="00E44D47" w:rsidRPr="007C7B70" w:rsidRDefault="00E44D47" w:rsidP="00E44D47">
      <w:pPr>
        <w:pStyle w:val="SingleTxtG"/>
        <w:rPr>
          <w:i/>
          <w:iCs/>
        </w:rPr>
      </w:pPr>
      <w:r w:rsidRPr="007C7B70">
        <w:rPr>
          <w:i/>
          <w:iCs/>
          <w:lang w:val="fr-FR"/>
        </w:rPr>
        <w:t>« Les dispositions qui suivent sont destinées à expliciter le montage des groupes encastrés et/ou munis de déflecteurs</w:t>
      </w:r>
      <w:r w:rsidRPr="007C7B70">
        <w:rPr>
          <w:i/>
          <w:iCs/>
        </w:rPr>
        <w:t xml:space="preserve"> </w:t>
      </w:r>
      <w:r w:rsidRPr="007C7B70">
        <w:rPr>
          <w:i/>
          <w:iCs/>
          <w:lang w:val="fr-FR"/>
        </w:rPr>
        <w:t>et les groupes sous châssis ou pouvant être déportés. »</w:t>
      </w:r>
    </w:p>
    <w:p w14:paraId="34FB10C1" w14:textId="77777777" w:rsidR="00E44D47" w:rsidRPr="007C7B70" w:rsidRDefault="00E44D47" w:rsidP="00E44D47">
      <w:pPr>
        <w:pStyle w:val="SingleTxtG"/>
        <w:keepNext/>
        <w:keepLines/>
        <w:rPr>
          <w:b/>
          <w:bCs/>
          <w:i/>
          <w:iCs/>
        </w:rPr>
      </w:pPr>
      <w:r w:rsidRPr="007C7B70">
        <w:rPr>
          <w:b/>
          <w:bCs/>
          <w:i/>
          <w:iCs/>
        </w:rPr>
        <w:lastRenderedPageBreak/>
        <w:t>Engins concernés</w:t>
      </w:r>
    </w:p>
    <w:p w14:paraId="1EBE8EB0" w14:textId="77777777" w:rsidR="00E44D47" w:rsidRPr="007C7B70" w:rsidRDefault="00E44D47" w:rsidP="00E44D47">
      <w:pPr>
        <w:pStyle w:val="SingleTxtG"/>
        <w:rPr>
          <w:i/>
          <w:iCs/>
          <w:lang w:val="fr-FR"/>
        </w:rPr>
      </w:pPr>
      <w:r w:rsidRPr="007C7B70">
        <w:rPr>
          <w:i/>
          <w:iCs/>
          <w:lang w:val="fr-FR"/>
        </w:rPr>
        <w:t>Cas N°1 : Fourgons de série avec isolation intégrée et groupe partiellement encastré en pavillon :</w:t>
      </w:r>
    </w:p>
    <w:p w14:paraId="0F74AFDC" w14:textId="77777777" w:rsidR="00E44D47" w:rsidRDefault="00E44D47" w:rsidP="00E44D47">
      <w:pPr>
        <w:pStyle w:val="Standard"/>
        <w:spacing w:after="240"/>
        <w:jc w:val="center"/>
      </w:pPr>
      <w:r>
        <w:rPr>
          <w:i/>
          <w:noProof/>
          <w:lang w:val="fr-FR" w:eastAsia="fr-FR"/>
        </w:rPr>
        <w:drawing>
          <wp:inline distT="0" distB="0" distL="0" distR="0" wp14:anchorId="2E4AB571" wp14:editId="031F6B06">
            <wp:extent cx="2912757" cy="1148038"/>
            <wp:effectExtent l="0" t="0" r="1893" b="0"/>
            <wp:docPr id="2"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l="13247" t="25435" r="12430" b="32618"/>
                    <a:stretch>
                      <a:fillRect/>
                    </a:stretch>
                  </pic:blipFill>
                  <pic:spPr>
                    <a:xfrm>
                      <a:off x="0" y="0"/>
                      <a:ext cx="2912757" cy="1148038"/>
                    </a:xfrm>
                    <a:prstGeom prst="rect">
                      <a:avLst/>
                    </a:prstGeom>
                    <a:noFill/>
                    <a:ln>
                      <a:noFill/>
                      <a:prstDash/>
                    </a:ln>
                  </pic:spPr>
                </pic:pic>
              </a:graphicData>
            </a:graphic>
          </wp:inline>
        </w:drawing>
      </w:r>
    </w:p>
    <w:p w14:paraId="0A8B4E10" w14:textId="77777777" w:rsidR="00E44D47" w:rsidRPr="007C7B70" w:rsidRDefault="00E44D47" w:rsidP="00E44D47">
      <w:pPr>
        <w:pStyle w:val="SingleTxtG"/>
        <w:rPr>
          <w:i/>
          <w:iCs/>
          <w:lang w:val="fr-FR"/>
        </w:rPr>
      </w:pPr>
      <w:r w:rsidRPr="007C7B70">
        <w:rPr>
          <w:i/>
          <w:iCs/>
          <w:lang w:val="fr-FR"/>
        </w:rPr>
        <w:t>Cas N°2 : Fourgons de série avec isolation intégrée et groupe partiellement encastré en pavillon et avec présence d’un déflecteur de pavillon :</w:t>
      </w:r>
    </w:p>
    <w:p w14:paraId="1D3E65B3" w14:textId="77777777" w:rsidR="00E44D47" w:rsidRDefault="00E44D47" w:rsidP="00E44D47">
      <w:pPr>
        <w:pStyle w:val="Standard"/>
        <w:spacing w:after="120"/>
        <w:jc w:val="center"/>
      </w:pPr>
      <w:r>
        <w:rPr>
          <w:i/>
          <w:noProof/>
          <w:lang w:val="fr-FR" w:eastAsia="fr-FR"/>
        </w:rPr>
        <w:drawing>
          <wp:inline distT="0" distB="0" distL="0" distR="0" wp14:anchorId="675976C8" wp14:editId="6E2EB9F0">
            <wp:extent cx="2873520" cy="1539355"/>
            <wp:effectExtent l="0" t="0" r="3030" b="3695"/>
            <wp:docPr id="4" name="Imag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873520" cy="1539355"/>
                    </a:xfrm>
                    <a:prstGeom prst="rect">
                      <a:avLst/>
                    </a:prstGeom>
                    <a:noFill/>
                    <a:ln>
                      <a:noFill/>
                      <a:prstDash/>
                    </a:ln>
                  </pic:spPr>
                </pic:pic>
              </a:graphicData>
            </a:graphic>
          </wp:inline>
        </w:drawing>
      </w:r>
    </w:p>
    <w:p w14:paraId="7DD04C1B" w14:textId="77777777" w:rsidR="00E44D47" w:rsidRPr="007C7B70" w:rsidRDefault="00E44D47" w:rsidP="00E44D47">
      <w:pPr>
        <w:pStyle w:val="SingleTxtG"/>
        <w:rPr>
          <w:i/>
          <w:iCs/>
          <w:lang w:val="fr-FR"/>
        </w:rPr>
      </w:pPr>
      <w:r w:rsidRPr="007C7B70">
        <w:rPr>
          <w:i/>
          <w:iCs/>
          <w:lang w:val="fr-FR"/>
        </w:rPr>
        <w:t>Cas N°3 : Châssis cabine carrossé avec groupe en face avant et présence d’un déflecteur en cabine :</w:t>
      </w:r>
    </w:p>
    <w:p w14:paraId="3B049DF9" w14:textId="77777777" w:rsidR="00E44D47" w:rsidRDefault="00E44D47" w:rsidP="00E44D47">
      <w:pPr>
        <w:pStyle w:val="Standard"/>
        <w:spacing w:after="120"/>
        <w:jc w:val="center"/>
      </w:pPr>
      <w:r>
        <w:rPr>
          <w:i/>
          <w:noProof/>
          <w:lang w:val="fr-FR" w:eastAsia="fr-FR"/>
        </w:rPr>
        <w:drawing>
          <wp:inline distT="0" distB="0" distL="0" distR="0" wp14:anchorId="11A01085" wp14:editId="44A67A2F">
            <wp:extent cx="2086560" cy="1523884"/>
            <wp:effectExtent l="0" t="0" r="8940" b="116"/>
            <wp:docPr id="5" name="Imag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t="2859"/>
                    <a:stretch>
                      <a:fillRect/>
                    </a:stretch>
                  </pic:blipFill>
                  <pic:spPr>
                    <a:xfrm>
                      <a:off x="0" y="0"/>
                      <a:ext cx="2086560" cy="1523884"/>
                    </a:xfrm>
                    <a:prstGeom prst="rect">
                      <a:avLst/>
                    </a:prstGeom>
                    <a:noFill/>
                    <a:ln>
                      <a:noFill/>
                      <a:prstDash/>
                    </a:ln>
                  </pic:spPr>
                </pic:pic>
              </a:graphicData>
            </a:graphic>
          </wp:inline>
        </w:drawing>
      </w:r>
    </w:p>
    <w:p w14:paraId="3B2D1E2B" w14:textId="77777777" w:rsidR="00E44D47" w:rsidRPr="007C7B70" w:rsidRDefault="00E44D47" w:rsidP="00E44D47">
      <w:pPr>
        <w:pStyle w:val="SingleTxtG"/>
        <w:rPr>
          <w:i/>
          <w:iCs/>
          <w:lang w:val="fr-FR"/>
        </w:rPr>
      </w:pPr>
      <w:r w:rsidRPr="007C7B70">
        <w:rPr>
          <w:i/>
          <w:iCs/>
          <w:lang w:val="fr-FR"/>
        </w:rPr>
        <w:t>Cas N°4 : Fourgons de série avec isolation intégrée et groupe installé sous châssis ou dans le compartiment moteur :</w:t>
      </w:r>
    </w:p>
    <w:p w14:paraId="4CEB20C0" w14:textId="77777777" w:rsidR="00E44D47" w:rsidRDefault="00E44D47" w:rsidP="00E44D47">
      <w:pPr>
        <w:pStyle w:val="Standard"/>
        <w:jc w:val="center"/>
      </w:pPr>
      <w:r>
        <w:rPr>
          <w:i/>
          <w:noProof/>
          <w:lang w:val="fr-FR" w:eastAsia="fr-FR"/>
        </w:rPr>
        <w:drawing>
          <wp:inline distT="0" distB="0" distL="0" distR="0" wp14:anchorId="41AA3BEF" wp14:editId="3ACA1804">
            <wp:extent cx="2876044" cy="1339916"/>
            <wp:effectExtent l="0" t="0" r="506" b="0"/>
            <wp:docPr id="6" name="Image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876044" cy="1339916"/>
                    </a:xfrm>
                    <a:prstGeom prst="rect">
                      <a:avLst/>
                    </a:prstGeom>
                    <a:noFill/>
                    <a:ln>
                      <a:noFill/>
                      <a:prstDash/>
                    </a:ln>
                  </pic:spPr>
                </pic:pic>
              </a:graphicData>
            </a:graphic>
          </wp:inline>
        </w:drawing>
      </w:r>
    </w:p>
    <w:p w14:paraId="73544A60" w14:textId="77777777" w:rsidR="00E44D47" w:rsidRPr="007C7B70" w:rsidRDefault="00E44D47" w:rsidP="00E44D47">
      <w:pPr>
        <w:pStyle w:val="SingleTxtG"/>
        <w:rPr>
          <w:i/>
          <w:iCs/>
          <w:lang w:val="fr-FR"/>
        </w:rPr>
      </w:pPr>
      <w:r>
        <w:rPr>
          <w:i/>
          <w:iCs/>
          <w:lang w:val="fr-FR"/>
        </w:rPr>
        <w:t>Cas N°5</w:t>
      </w:r>
      <w:r w:rsidRPr="007C7B70">
        <w:rPr>
          <w:i/>
          <w:iCs/>
          <w:lang w:val="fr-FR"/>
        </w:rPr>
        <w:t xml:space="preserve"> : </w:t>
      </w:r>
      <w:r>
        <w:rPr>
          <w:i/>
          <w:iCs/>
          <w:lang w:val="fr-FR"/>
        </w:rPr>
        <w:t>Camions et remorques de</w:t>
      </w:r>
      <w:r w:rsidRPr="007C7B70">
        <w:rPr>
          <w:i/>
          <w:iCs/>
          <w:lang w:val="fr-FR"/>
        </w:rPr>
        <w:t xml:space="preserve"> série et groupe installé sous châssis</w:t>
      </w:r>
      <w:r>
        <w:rPr>
          <w:i/>
          <w:iCs/>
          <w:lang w:val="fr-FR"/>
        </w:rPr>
        <w:t> </w:t>
      </w:r>
    </w:p>
    <w:p w14:paraId="03B642E9" w14:textId="77777777" w:rsidR="00E44D47" w:rsidRPr="00AC4F4C" w:rsidRDefault="00E44D47" w:rsidP="00E44D47">
      <w:pPr>
        <w:pStyle w:val="Standard"/>
        <w:jc w:val="center"/>
        <w:rPr>
          <w:lang w:val="fr-FR"/>
        </w:rPr>
      </w:pPr>
    </w:p>
    <w:p w14:paraId="023185D8" w14:textId="77777777" w:rsidR="00E44D47" w:rsidRDefault="00E44D47" w:rsidP="00E44D47">
      <w:pPr>
        <w:pStyle w:val="Standard"/>
        <w:rPr>
          <w:i/>
          <w:lang w:val="fr-FR"/>
        </w:rPr>
      </w:pPr>
    </w:p>
    <w:p w14:paraId="40E84E7D" w14:textId="77777777" w:rsidR="00E44D47" w:rsidRPr="00E93094" w:rsidRDefault="00E44D47" w:rsidP="00E44D47">
      <w:pPr>
        <w:pStyle w:val="SingleTxtG"/>
        <w:spacing w:after="0"/>
        <w:rPr>
          <w:b/>
          <w:bCs/>
          <w:i/>
          <w:iCs/>
        </w:rPr>
      </w:pPr>
      <w:r w:rsidRPr="00E93094">
        <w:rPr>
          <w:b/>
          <w:bCs/>
          <w:i/>
          <w:iCs/>
        </w:rPr>
        <w:t xml:space="preserve">Dispositions </w:t>
      </w:r>
      <w:r>
        <w:rPr>
          <w:b/>
          <w:bCs/>
          <w:i/>
          <w:iCs/>
        </w:rPr>
        <w:t>applicables</w:t>
      </w:r>
      <w:r w:rsidRPr="00E93094">
        <w:rPr>
          <w:b/>
          <w:bCs/>
          <w:i/>
          <w:iCs/>
        </w:rPr>
        <w:t xml:space="preserve"> par les constructeurs de dispositifs thermiques</w:t>
      </w:r>
    </w:p>
    <w:p w14:paraId="2B17F2E5" w14:textId="77777777" w:rsidR="00E44D47" w:rsidRPr="00E357CE" w:rsidRDefault="00E44D47" w:rsidP="00E44D47">
      <w:pPr>
        <w:pStyle w:val="SingleTxtG"/>
        <w:spacing w:after="0"/>
        <w:rPr>
          <w:i/>
          <w:iCs/>
          <w:lang w:val="fr-FR"/>
        </w:rPr>
      </w:pPr>
      <w:r w:rsidRPr="00E357CE">
        <w:rPr>
          <w:i/>
          <w:iCs/>
          <w:lang w:val="fr-FR"/>
        </w:rPr>
        <w:t xml:space="preserve">Le constructeur </w:t>
      </w:r>
      <w:r>
        <w:rPr>
          <w:i/>
          <w:iCs/>
          <w:lang w:val="fr-FR"/>
        </w:rPr>
        <w:t>peut</w:t>
      </w:r>
      <w:r w:rsidRPr="00E357CE">
        <w:rPr>
          <w:i/>
          <w:iCs/>
          <w:lang w:val="fr-FR"/>
        </w:rPr>
        <w:t xml:space="preserve"> préciser :</w:t>
      </w:r>
    </w:p>
    <w:p w14:paraId="50CE11BC" w14:textId="77777777" w:rsidR="00E44D47" w:rsidRPr="00E357CE" w:rsidRDefault="00E44D47" w:rsidP="00E44D47">
      <w:pPr>
        <w:pStyle w:val="SingleTxtG"/>
        <w:spacing w:after="0"/>
        <w:rPr>
          <w:i/>
          <w:iCs/>
          <w:lang w:val="fr-FR"/>
        </w:rPr>
      </w:pPr>
      <w:r>
        <w:rPr>
          <w:i/>
          <w:iCs/>
          <w:lang w:val="fr-FR"/>
        </w:rPr>
        <w:t xml:space="preserve">- </w:t>
      </w:r>
      <w:r w:rsidRPr="00E357CE">
        <w:rPr>
          <w:i/>
          <w:iCs/>
          <w:lang w:val="fr-FR"/>
        </w:rPr>
        <w:t>Toutes les précautions constructives à respecter par le carrossier pour assurer des performances équivalentes à celles du rapport d’essai de type.</w:t>
      </w:r>
    </w:p>
    <w:p w14:paraId="0C8B2B46" w14:textId="77777777" w:rsidR="00E44D47" w:rsidRPr="00E357CE" w:rsidRDefault="00E44D47" w:rsidP="00E44D47">
      <w:pPr>
        <w:pStyle w:val="SingleTxtG"/>
        <w:spacing w:after="0"/>
        <w:rPr>
          <w:i/>
          <w:iCs/>
          <w:lang w:val="fr-FR"/>
        </w:rPr>
      </w:pPr>
      <w:r>
        <w:rPr>
          <w:i/>
          <w:iCs/>
          <w:lang w:val="fr-FR"/>
        </w:rPr>
        <w:t xml:space="preserve">- </w:t>
      </w:r>
      <w:r w:rsidRPr="00E357CE">
        <w:rPr>
          <w:i/>
          <w:iCs/>
          <w:lang w:val="fr-FR"/>
        </w:rPr>
        <w:t>Les distances minimales aux éléments de carrosserie à respecter pour assurer des performances équivalentes à celles du rapport d’essai de type.</w:t>
      </w:r>
    </w:p>
    <w:p w14:paraId="5207C4F7" w14:textId="77777777" w:rsidR="00E44D47" w:rsidRPr="00E357CE" w:rsidRDefault="00E44D47" w:rsidP="00E44D47">
      <w:pPr>
        <w:pStyle w:val="SingleTxtG"/>
        <w:spacing w:after="0"/>
        <w:rPr>
          <w:i/>
          <w:iCs/>
          <w:lang w:val="fr-FR"/>
        </w:rPr>
      </w:pPr>
      <w:r w:rsidRPr="00E357CE">
        <w:rPr>
          <w:i/>
          <w:iCs/>
          <w:lang w:val="fr-FR"/>
        </w:rPr>
        <w:t xml:space="preserve">L’autorité compétente </w:t>
      </w:r>
      <w:r>
        <w:rPr>
          <w:i/>
          <w:iCs/>
          <w:lang w:val="fr-FR"/>
        </w:rPr>
        <w:t xml:space="preserve">pourra </w:t>
      </w:r>
      <w:r w:rsidRPr="00E357CE">
        <w:rPr>
          <w:i/>
          <w:iCs/>
          <w:lang w:val="fr-FR"/>
        </w:rPr>
        <w:t>apprécier les dispositions prises par le constructeur pour s’assurer que tous les cas de figure et leurs impacts ont été pris en compte dans le but de garantir des performances équivalentes à celles du rapport d’essai de type.</w:t>
      </w:r>
    </w:p>
    <w:p w14:paraId="0F1C1BD7" w14:textId="77777777" w:rsidR="00E44D47" w:rsidRPr="00E93094" w:rsidRDefault="00E44D47" w:rsidP="00E44D47">
      <w:pPr>
        <w:pStyle w:val="SingleTxtG"/>
        <w:spacing w:before="120" w:after="0"/>
        <w:rPr>
          <w:b/>
          <w:bCs/>
          <w:i/>
          <w:iCs/>
        </w:rPr>
      </w:pPr>
      <w:r w:rsidRPr="00E93094">
        <w:rPr>
          <w:b/>
          <w:bCs/>
          <w:i/>
          <w:iCs/>
        </w:rPr>
        <w:t xml:space="preserve">Dispositions </w:t>
      </w:r>
      <w:r>
        <w:rPr>
          <w:b/>
          <w:bCs/>
          <w:i/>
          <w:iCs/>
        </w:rPr>
        <w:t>applicables</w:t>
      </w:r>
      <w:r w:rsidRPr="00E93094">
        <w:rPr>
          <w:b/>
          <w:bCs/>
          <w:i/>
          <w:iCs/>
        </w:rPr>
        <w:t xml:space="preserve"> par les constructeurs de caisses isothermes</w:t>
      </w:r>
    </w:p>
    <w:p w14:paraId="4464ADFE" w14:textId="77777777" w:rsidR="00E44D47" w:rsidRPr="00E93094" w:rsidRDefault="00E44D47" w:rsidP="00E44D47">
      <w:pPr>
        <w:pStyle w:val="SingleTxtG"/>
        <w:spacing w:after="0"/>
        <w:rPr>
          <w:i/>
          <w:iCs/>
          <w:lang w:val="fr-FR"/>
        </w:rPr>
      </w:pPr>
      <w:r w:rsidRPr="00E93094">
        <w:rPr>
          <w:i/>
          <w:iCs/>
          <w:lang w:val="fr-FR"/>
        </w:rPr>
        <w:t xml:space="preserve">Le carrossier constructeur </w:t>
      </w:r>
      <w:r>
        <w:rPr>
          <w:i/>
          <w:iCs/>
          <w:lang w:val="fr-FR"/>
        </w:rPr>
        <w:t>devrait</w:t>
      </w:r>
      <w:r w:rsidRPr="00E93094">
        <w:rPr>
          <w:i/>
          <w:iCs/>
          <w:lang w:val="fr-FR"/>
        </w:rPr>
        <w:t xml:space="preserve"> respecter, les préconisations définies par le constructeur de dispositif thermique. L’implantation du groupe </w:t>
      </w:r>
      <w:r>
        <w:rPr>
          <w:i/>
          <w:iCs/>
          <w:lang w:val="fr-FR"/>
        </w:rPr>
        <w:t>pourra</w:t>
      </w:r>
      <w:r w:rsidRPr="00E93094">
        <w:rPr>
          <w:i/>
          <w:iCs/>
          <w:lang w:val="fr-FR"/>
        </w:rPr>
        <w:t>, le cas échéant, faire l’objet d’une validation formelle par le constructeur de dispositif thermique si au moins une des exigences définies par le constructeur de dispositif thermique remet en cause les performances du groupe.</w:t>
      </w:r>
    </w:p>
    <w:p w14:paraId="6573CD87" w14:textId="77777777" w:rsidR="00E44D47" w:rsidRPr="00E93094" w:rsidRDefault="00E44D47" w:rsidP="00E44D47">
      <w:pPr>
        <w:pStyle w:val="SingleTxtG"/>
        <w:spacing w:after="0"/>
        <w:rPr>
          <w:i/>
          <w:iCs/>
          <w:lang w:val="fr-FR"/>
        </w:rPr>
      </w:pPr>
      <w:r w:rsidRPr="00E93094">
        <w:rPr>
          <w:i/>
          <w:iCs/>
          <w:lang w:val="fr-FR"/>
        </w:rPr>
        <w:t xml:space="preserve">Les éléments de sécurité obligatoires ne sont pas un motif de dérogation aux spécifications définies par le constructeur de dispositif thermique. </w:t>
      </w:r>
    </w:p>
    <w:p w14:paraId="26A08F3C" w14:textId="77777777" w:rsidR="00E44D47" w:rsidRPr="00C823E6" w:rsidRDefault="00E44D47" w:rsidP="00E44D47">
      <w:pPr>
        <w:pStyle w:val="SingleTxtG"/>
        <w:spacing w:before="120" w:after="0"/>
        <w:rPr>
          <w:b/>
          <w:bCs/>
          <w:i/>
          <w:iCs/>
        </w:rPr>
      </w:pPr>
      <w:r w:rsidRPr="00C823E6">
        <w:rPr>
          <w:b/>
          <w:bCs/>
          <w:i/>
          <w:iCs/>
        </w:rPr>
        <w:t xml:space="preserve">Dispositions </w:t>
      </w:r>
      <w:r>
        <w:rPr>
          <w:b/>
          <w:bCs/>
          <w:i/>
          <w:iCs/>
        </w:rPr>
        <w:t>applicables</w:t>
      </w:r>
      <w:r w:rsidRPr="00C823E6">
        <w:rPr>
          <w:b/>
          <w:bCs/>
          <w:i/>
          <w:iCs/>
        </w:rPr>
        <w:t xml:space="preserve"> par les monteurs de dispositifs thermiques</w:t>
      </w:r>
    </w:p>
    <w:p w14:paraId="78A3A671" w14:textId="77777777" w:rsidR="00E44D47" w:rsidRPr="00C823E6" w:rsidRDefault="00E44D47" w:rsidP="00E44D47">
      <w:pPr>
        <w:pStyle w:val="SingleTxtG"/>
        <w:spacing w:after="0"/>
        <w:rPr>
          <w:i/>
          <w:iCs/>
          <w:lang w:val="fr-FR"/>
        </w:rPr>
      </w:pPr>
      <w:r w:rsidRPr="00C823E6">
        <w:rPr>
          <w:i/>
          <w:iCs/>
          <w:lang w:val="fr-FR"/>
        </w:rPr>
        <w:t>Le monteur de dispositif thermique devra</w:t>
      </w:r>
      <w:r>
        <w:rPr>
          <w:i/>
          <w:iCs/>
          <w:lang w:val="fr-FR"/>
        </w:rPr>
        <w:t>it</w:t>
      </w:r>
      <w:r w:rsidRPr="00C823E6">
        <w:rPr>
          <w:i/>
          <w:iCs/>
          <w:lang w:val="fr-FR"/>
        </w:rPr>
        <w:t xml:space="preserve"> respecter les prescriptions de montages définies par le constructeur du dispositif thermique, éventuellement amendées par le carrossier constructeur conformément aux </w:t>
      </w:r>
      <w:r>
        <w:rPr>
          <w:i/>
          <w:iCs/>
          <w:lang w:val="fr-FR"/>
        </w:rPr>
        <w:t>remarques</w:t>
      </w:r>
      <w:r w:rsidRPr="00C823E6">
        <w:rPr>
          <w:i/>
          <w:iCs/>
          <w:lang w:val="fr-FR"/>
        </w:rPr>
        <w:t xml:space="preserve"> du paragraphe précédent.</w:t>
      </w:r>
    </w:p>
    <w:p w14:paraId="39353F5A" w14:textId="77777777" w:rsidR="00E44D47" w:rsidRPr="00C823E6" w:rsidRDefault="00E44D47" w:rsidP="00E44D47">
      <w:pPr>
        <w:pStyle w:val="SingleTxtG"/>
        <w:spacing w:after="0"/>
        <w:rPr>
          <w:i/>
          <w:iCs/>
          <w:lang w:val="fr-FR"/>
        </w:rPr>
      </w:pPr>
      <w:r w:rsidRPr="00C823E6">
        <w:rPr>
          <w:i/>
          <w:iCs/>
          <w:lang w:val="fr-FR"/>
        </w:rPr>
        <w:t>Toute autre modification devra</w:t>
      </w:r>
      <w:r>
        <w:rPr>
          <w:i/>
          <w:iCs/>
          <w:lang w:val="fr-FR"/>
        </w:rPr>
        <w:t>it</w:t>
      </w:r>
      <w:r w:rsidRPr="00C823E6">
        <w:rPr>
          <w:i/>
          <w:iCs/>
          <w:lang w:val="fr-FR"/>
        </w:rPr>
        <w:t xml:space="preserve"> faire l’objet d’une validation formelle par le constructeur de dispositif thermique.</w:t>
      </w:r>
    </w:p>
    <w:p w14:paraId="4ACC34BD" w14:textId="77777777" w:rsidR="00E44D47" w:rsidRPr="00C823E6" w:rsidRDefault="00E44D47" w:rsidP="00E44D47">
      <w:pPr>
        <w:pStyle w:val="SingleTxtG"/>
        <w:spacing w:before="120"/>
        <w:rPr>
          <w:b/>
          <w:bCs/>
          <w:i/>
          <w:iCs/>
        </w:rPr>
      </w:pPr>
      <w:r w:rsidRPr="00C823E6">
        <w:rPr>
          <w:b/>
          <w:bCs/>
          <w:i/>
          <w:iCs/>
        </w:rPr>
        <w:t xml:space="preserve">Dispositions </w:t>
      </w:r>
      <w:r>
        <w:rPr>
          <w:b/>
          <w:bCs/>
          <w:i/>
          <w:iCs/>
        </w:rPr>
        <w:t xml:space="preserve">particulières applicables </w:t>
      </w:r>
      <w:r w:rsidRPr="00C823E6">
        <w:rPr>
          <w:b/>
          <w:bCs/>
          <w:i/>
          <w:iCs/>
        </w:rPr>
        <w:t>pour le montage des dispositifs thermiques encastrés</w:t>
      </w:r>
      <w:r>
        <w:rPr>
          <w:b/>
          <w:bCs/>
          <w:i/>
          <w:iCs/>
        </w:rPr>
        <w:t xml:space="preserve"> </w:t>
      </w:r>
      <w:r>
        <w:rPr>
          <w:b/>
          <w:bCs/>
          <w:i/>
          <w:iCs/>
        </w:rPr>
        <w:br/>
        <w:t>(cas N°1 à 3)</w:t>
      </w:r>
    </w:p>
    <w:p w14:paraId="171016B9" w14:textId="77777777" w:rsidR="00E44D47" w:rsidRPr="000F4A11" w:rsidRDefault="00E44D47" w:rsidP="00E44D47">
      <w:pPr>
        <w:pStyle w:val="SingleTxtG"/>
        <w:rPr>
          <w:i/>
          <w:iCs/>
          <w:lang w:val="fr-FR"/>
        </w:rPr>
      </w:pPr>
      <w:r w:rsidRPr="000F4A11">
        <w:rPr>
          <w:i/>
          <w:iCs/>
          <w:lang w:val="fr-FR"/>
        </w:rPr>
        <w:t>Cas n°1 :</w:t>
      </w:r>
    </w:p>
    <w:p w14:paraId="5F446570" w14:textId="77777777" w:rsidR="00E44D47" w:rsidRPr="00F31989" w:rsidRDefault="00E44D47" w:rsidP="00E44D47">
      <w:pPr>
        <w:pStyle w:val="SingleTxtG"/>
        <w:rPr>
          <w:i/>
          <w:iCs/>
        </w:rPr>
      </w:pPr>
      <w:r w:rsidRPr="00F31989">
        <w:rPr>
          <w:i/>
          <w:iCs/>
          <w:lang w:val="fr-FR"/>
        </w:rPr>
        <w:t>Les instructions de montage d</w:t>
      </w:r>
      <w:r>
        <w:rPr>
          <w:i/>
          <w:iCs/>
          <w:lang w:val="fr-FR"/>
        </w:rPr>
        <w:t>evraien</w:t>
      </w:r>
      <w:r w:rsidRPr="00F31989">
        <w:rPr>
          <w:i/>
          <w:iCs/>
          <w:lang w:val="fr-FR"/>
        </w:rPr>
        <w:t>t préciser que :</w:t>
      </w:r>
    </w:p>
    <w:p w14:paraId="5DF4564C" w14:textId="77777777" w:rsidR="00E44D47" w:rsidRPr="00F31989" w:rsidRDefault="00E44D47" w:rsidP="00E44D47">
      <w:pPr>
        <w:pStyle w:val="SingleTxtG"/>
        <w:rPr>
          <w:i/>
          <w:iCs/>
          <w:lang w:val="fr-FR"/>
        </w:rPr>
      </w:pPr>
      <w:r>
        <w:rPr>
          <w:i/>
          <w:iCs/>
          <w:lang w:val="fr-FR"/>
        </w:rPr>
        <w:t xml:space="preserve">- </w:t>
      </w:r>
      <w:r w:rsidRPr="00F31989">
        <w:rPr>
          <w:i/>
          <w:iCs/>
          <w:lang w:val="fr-FR"/>
        </w:rPr>
        <w:t>Une distance minimale d</w:t>
      </w:r>
      <w:r>
        <w:rPr>
          <w:i/>
          <w:iCs/>
          <w:lang w:val="fr-FR"/>
        </w:rPr>
        <w:t>evrai</w:t>
      </w:r>
      <w:r w:rsidRPr="00F31989">
        <w:rPr>
          <w:i/>
          <w:iCs/>
          <w:lang w:val="fr-FR"/>
        </w:rPr>
        <w:t>t être assurée entre les parois de la cuvette d’encastrement et l’entrée d’air du condenseur ;</w:t>
      </w:r>
    </w:p>
    <w:p w14:paraId="019F8EEF" w14:textId="77777777" w:rsidR="00E44D47" w:rsidRPr="00F31989" w:rsidRDefault="00E44D47" w:rsidP="00E44D47">
      <w:pPr>
        <w:pStyle w:val="SingleTxtG"/>
        <w:rPr>
          <w:i/>
          <w:iCs/>
          <w:lang w:val="fr-FR"/>
        </w:rPr>
      </w:pPr>
      <w:r>
        <w:rPr>
          <w:i/>
          <w:iCs/>
          <w:lang w:val="fr-FR"/>
        </w:rPr>
        <w:t xml:space="preserve">- </w:t>
      </w:r>
      <w:r w:rsidRPr="00F31989">
        <w:rPr>
          <w:i/>
          <w:iCs/>
          <w:lang w:val="fr-FR"/>
        </w:rPr>
        <w:t xml:space="preserve">Une profondeur maximale de la cuvette </w:t>
      </w:r>
      <w:r>
        <w:rPr>
          <w:i/>
          <w:iCs/>
          <w:lang w:val="fr-FR"/>
        </w:rPr>
        <w:t>devrai</w:t>
      </w:r>
      <w:r w:rsidRPr="00F31989">
        <w:rPr>
          <w:i/>
          <w:iCs/>
          <w:lang w:val="fr-FR"/>
        </w:rPr>
        <w:t>t être assurée. La cuvette ne doit pas être plus profonde que la hauteur maximale de la partie condenseur du groupe.</w:t>
      </w:r>
    </w:p>
    <w:p w14:paraId="613B1AD3" w14:textId="77777777" w:rsidR="00E44D47" w:rsidRDefault="00E44D47" w:rsidP="00E44D47">
      <w:pPr>
        <w:pStyle w:val="Standard"/>
        <w:jc w:val="center"/>
      </w:pPr>
      <w:r>
        <w:rPr>
          <w:i/>
          <w:noProof/>
          <w:lang w:val="fr-FR" w:eastAsia="fr-FR"/>
        </w:rPr>
        <mc:AlternateContent>
          <mc:Choice Requires="wps">
            <w:drawing>
              <wp:anchor distT="0" distB="0" distL="114300" distR="114300" simplePos="0" relativeHeight="251659264" behindDoc="0" locked="0" layoutInCell="1" allowOverlap="1" wp14:anchorId="76082346" wp14:editId="313E1BC2">
                <wp:simplePos x="0" y="0"/>
                <wp:positionH relativeFrom="column">
                  <wp:posOffset>4431814</wp:posOffset>
                </wp:positionH>
                <wp:positionV relativeFrom="paragraph">
                  <wp:posOffset>1290017</wp:posOffset>
                </wp:positionV>
                <wp:extent cx="638808" cy="380362"/>
                <wp:effectExtent l="0" t="4127" r="0" b="4765"/>
                <wp:wrapNone/>
                <wp:docPr id="7" name="Zone de texte 8"/>
                <wp:cNvGraphicFramePr/>
                <a:graphic xmlns:a="http://schemas.openxmlformats.org/drawingml/2006/main">
                  <a:graphicData uri="http://schemas.microsoft.com/office/word/2010/wordprocessingShape">
                    <wps:wsp>
                      <wps:cNvSpPr txBox="1"/>
                      <wps:spPr>
                        <a:xfrm rot="5400013">
                          <a:off x="0" y="0"/>
                          <a:ext cx="638808" cy="380362"/>
                        </a:xfrm>
                        <a:prstGeom prst="rect">
                          <a:avLst/>
                        </a:prstGeom>
                        <a:noFill/>
                        <a:ln>
                          <a:noFill/>
                          <a:prstDash/>
                        </a:ln>
                      </wps:spPr>
                      <wps:txbx>
                        <w:txbxContent>
                          <w:p w14:paraId="79E63DFA" w14:textId="77777777" w:rsidR="00E44D47" w:rsidRDefault="00E44D47" w:rsidP="00E44D47">
                            <w:pPr>
                              <w:spacing w:before="120" w:after="240"/>
                              <w:jc w:val="both"/>
                            </w:pPr>
                            <w:r>
                              <w:rPr>
                                <w:b/>
                                <w:color w:val="FFFFFF"/>
                                <w:sz w:val="14"/>
                                <w:szCs w:val="14"/>
                                <w:lang w:val="fr-FR"/>
                              </w:rPr>
                              <w:t>Profondeur Maximum</w:t>
                            </w:r>
                          </w:p>
                        </w:txbxContent>
                      </wps:txbx>
                      <wps:bodyPr vert="horz" wrap="square" lIns="45720" tIns="91440" rIns="45720" bIns="91440" anchor="t" anchorCtr="0" compatLnSpc="0">
                        <a:noAutofit/>
                      </wps:bodyPr>
                    </wps:wsp>
                  </a:graphicData>
                </a:graphic>
              </wp:anchor>
            </w:drawing>
          </mc:Choice>
          <mc:Fallback>
            <w:pict>
              <v:shapetype w14:anchorId="76082346" id="_x0000_t202" coordsize="21600,21600" o:spt="202" path="m,l,21600r21600,l21600,xe">
                <v:stroke joinstyle="miter"/>
                <v:path gradientshapeok="t" o:connecttype="rect"/>
              </v:shapetype>
              <v:shape id="Zone de texte 8" o:spid="_x0000_s1026" type="#_x0000_t202" style="position:absolute;left:0;text-align:left;margin-left:348.95pt;margin-top:101.6pt;width:50.3pt;height:29.95pt;rotation:5898254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" filled="f" stroked="f">
                <v:textbox inset="3.6pt,7.2pt,3.6pt,7.2pt">
                  <w:txbxContent>
                    <w:p w14:paraId="79E63DFA" w14:textId="77777777" w:rsidR="00E44D47" w:rsidRDefault="00E44D47" w:rsidP="00E44D47">
                      <w:pPr>
                        <w:spacing w:before="120" w:after="240"/>
                        <w:jc w:val="both"/>
                      </w:pPr>
                      <w:r>
                        <w:rPr>
                          <w:b/>
                          <w:color w:val="FFFFFF"/>
                          <w:sz w:val="14"/>
                          <w:szCs w:val="14"/>
                          <w:lang w:val="fr-FR"/>
                        </w:rPr>
                        <w:t>Profondeur Maximum</w:t>
                      </w:r>
                    </w:p>
                  </w:txbxContent>
                </v:textbox>
              </v:shape>
            </w:pict>
          </mc:Fallback>
        </mc:AlternateContent>
      </w:r>
      <w:r>
        <w:rPr>
          <w:i/>
          <w:noProof/>
          <w:lang w:val="fr-FR" w:eastAsia="fr-FR"/>
        </w:rPr>
        <w:drawing>
          <wp:inline distT="0" distB="0" distL="0" distR="0" wp14:anchorId="36BBA789" wp14:editId="5817063D">
            <wp:extent cx="4586036" cy="1658163"/>
            <wp:effectExtent l="0" t="0" r="5014" b="0"/>
            <wp:docPr id="8"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4586036" cy="1658163"/>
                    </a:xfrm>
                    <a:prstGeom prst="rect">
                      <a:avLst/>
                    </a:prstGeom>
                    <a:noFill/>
                    <a:ln>
                      <a:noFill/>
                      <a:prstDash/>
                    </a:ln>
                  </pic:spPr>
                </pic:pic>
              </a:graphicData>
            </a:graphic>
          </wp:inline>
        </w:drawing>
      </w:r>
    </w:p>
    <w:p w14:paraId="3380ECBE" w14:textId="77777777" w:rsidR="00E44D47" w:rsidRPr="000F4A11" w:rsidRDefault="00E44D47" w:rsidP="00E44D47">
      <w:pPr>
        <w:pStyle w:val="SingleTxtG"/>
        <w:rPr>
          <w:i/>
          <w:iCs/>
          <w:lang w:val="fr-FR"/>
        </w:rPr>
      </w:pPr>
      <w:r w:rsidRPr="000F4A11">
        <w:rPr>
          <w:i/>
          <w:iCs/>
          <w:lang w:val="fr-FR"/>
        </w:rPr>
        <w:t>Cas n°2 :</w:t>
      </w:r>
    </w:p>
    <w:p w14:paraId="7406FD07" w14:textId="77777777" w:rsidR="00E44D47" w:rsidRPr="00F31989" w:rsidRDefault="00E44D47" w:rsidP="00E44D47">
      <w:pPr>
        <w:pStyle w:val="SingleTxtG"/>
        <w:rPr>
          <w:i/>
          <w:iCs/>
        </w:rPr>
      </w:pPr>
      <w:r w:rsidRPr="00F31989">
        <w:rPr>
          <w:i/>
          <w:iCs/>
          <w:lang w:val="fr-FR"/>
        </w:rPr>
        <w:t xml:space="preserve">Les instructions de montage </w:t>
      </w:r>
      <w:r>
        <w:rPr>
          <w:i/>
          <w:iCs/>
          <w:lang w:val="fr-FR"/>
        </w:rPr>
        <w:t>peuvent</w:t>
      </w:r>
      <w:r w:rsidRPr="00F31989">
        <w:rPr>
          <w:i/>
          <w:iCs/>
          <w:lang w:val="fr-FR"/>
        </w:rPr>
        <w:t xml:space="preserve"> préciser que :</w:t>
      </w:r>
    </w:p>
    <w:p w14:paraId="4B25E4BC" w14:textId="77777777" w:rsidR="00E44D47" w:rsidRPr="00F31989" w:rsidRDefault="00E44D47" w:rsidP="00E44D47">
      <w:pPr>
        <w:pStyle w:val="SingleTxtG"/>
        <w:rPr>
          <w:i/>
          <w:iCs/>
        </w:rPr>
      </w:pPr>
      <w:r>
        <w:rPr>
          <w:i/>
          <w:iCs/>
          <w:lang w:val="fr-FR"/>
        </w:rPr>
        <w:t xml:space="preserve">- </w:t>
      </w:r>
      <w:r w:rsidRPr="00F31989">
        <w:rPr>
          <w:i/>
          <w:iCs/>
          <w:lang w:val="fr-FR"/>
        </w:rPr>
        <w:t xml:space="preserve">En sus des conditions pour le cas N°1 et dans le cas d’ajout d’un déflecteur, une section minimale de passage </w:t>
      </w:r>
      <w:r>
        <w:rPr>
          <w:i/>
          <w:iCs/>
          <w:lang w:val="fr-FR"/>
        </w:rPr>
        <w:t>pourra</w:t>
      </w:r>
      <w:r w:rsidRPr="00F31989">
        <w:rPr>
          <w:i/>
          <w:iCs/>
          <w:lang w:val="fr-FR"/>
        </w:rPr>
        <w:t xml:space="preserve"> être assurée pour le flux d’air en entrée et en sortie du condenseur. Il </w:t>
      </w:r>
      <w:r>
        <w:rPr>
          <w:i/>
          <w:iCs/>
          <w:lang w:val="fr-FR"/>
        </w:rPr>
        <w:t>devrait</w:t>
      </w:r>
      <w:r w:rsidRPr="00F31989">
        <w:rPr>
          <w:i/>
          <w:iCs/>
          <w:lang w:val="fr-FR"/>
        </w:rPr>
        <w:t xml:space="preserve"> être précisé que le montage du groupe et du capot est arasant.</w:t>
      </w:r>
    </w:p>
    <w:p w14:paraId="07C4EF6B" w14:textId="77777777" w:rsidR="00E44D47" w:rsidRPr="000F4A11" w:rsidRDefault="00E44D47" w:rsidP="00CB48D1">
      <w:pPr>
        <w:pStyle w:val="SingleTxtG"/>
        <w:keepNext/>
        <w:rPr>
          <w:i/>
          <w:iCs/>
          <w:lang w:val="fr-FR"/>
        </w:rPr>
      </w:pPr>
      <w:r w:rsidRPr="000F4A11">
        <w:rPr>
          <w:i/>
          <w:iCs/>
          <w:lang w:val="fr-FR"/>
        </w:rPr>
        <w:t>Cas n°3 :</w:t>
      </w:r>
    </w:p>
    <w:p w14:paraId="29219DA9" w14:textId="77777777" w:rsidR="00E44D47" w:rsidRPr="00F31989" w:rsidRDefault="00E44D47" w:rsidP="00CB48D1">
      <w:pPr>
        <w:pStyle w:val="SingleTxtG"/>
        <w:keepNext/>
        <w:rPr>
          <w:i/>
          <w:iCs/>
        </w:rPr>
      </w:pPr>
      <w:r w:rsidRPr="00F31989">
        <w:rPr>
          <w:i/>
          <w:iCs/>
          <w:lang w:val="fr-FR"/>
        </w:rPr>
        <w:t>Les instructions de montage doivent préciser que :</w:t>
      </w:r>
    </w:p>
    <w:p w14:paraId="09AA224E" w14:textId="77777777" w:rsidR="00E44D47" w:rsidRDefault="00E44D47" w:rsidP="00CB48D1">
      <w:pPr>
        <w:pStyle w:val="SingleTxtG"/>
        <w:keepNext/>
        <w:spacing w:after="240"/>
        <w:rPr>
          <w:i/>
          <w:lang w:val="fr-FR"/>
        </w:rPr>
      </w:pPr>
      <w:r>
        <w:rPr>
          <w:i/>
          <w:iCs/>
          <w:lang w:val="fr-FR"/>
        </w:rPr>
        <w:t xml:space="preserve">- </w:t>
      </w:r>
      <w:r w:rsidRPr="00F31989">
        <w:rPr>
          <w:i/>
          <w:iCs/>
          <w:lang w:val="fr-FR"/>
        </w:rPr>
        <w:t xml:space="preserve">Le déflecteur </w:t>
      </w:r>
      <w:r>
        <w:rPr>
          <w:i/>
          <w:iCs/>
          <w:lang w:val="fr-FR"/>
        </w:rPr>
        <w:t>peut</w:t>
      </w:r>
      <w:r w:rsidRPr="00F31989">
        <w:rPr>
          <w:i/>
          <w:iCs/>
          <w:lang w:val="fr-FR"/>
        </w:rPr>
        <w:t xml:space="preserve">, le cas échéant, être découpé pour permettre la circulation d’un flux d’air à l’entrée et à la sortie du condenseur. La section de passage minimale </w:t>
      </w:r>
      <w:r>
        <w:rPr>
          <w:i/>
          <w:iCs/>
          <w:lang w:val="fr-FR"/>
        </w:rPr>
        <w:t>devrait</w:t>
      </w:r>
      <w:r w:rsidRPr="00F31989">
        <w:rPr>
          <w:i/>
          <w:iCs/>
          <w:lang w:val="fr-FR"/>
        </w:rPr>
        <w:t xml:space="preserve"> être assurée pour le flux d’air en entrée et en sortie de condenseur.</w:t>
      </w:r>
    </w:p>
    <w:p w14:paraId="5EF2CFDE" w14:textId="77777777" w:rsidR="00E44D47" w:rsidRDefault="00E44D47" w:rsidP="00E44D47">
      <w:pPr>
        <w:pStyle w:val="Standard"/>
        <w:jc w:val="center"/>
      </w:pPr>
      <w:r>
        <w:rPr>
          <w:i/>
          <w:noProof/>
          <w:lang w:val="fr-FR" w:eastAsia="fr-FR"/>
        </w:rPr>
        <w:drawing>
          <wp:inline distT="0" distB="0" distL="0" distR="0" wp14:anchorId="06573957" wp14:editId="5B3F76A7">
            <wp:extent cx="2316595" cy="1120322"/>
            <wp:effectExtent l="0" t="0" r="7505" b="3628"/>
            <wp:docPr id="9"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l="31824" r="19677" b="68724"/>
                    <a:stretch>
                      <a:fillRect/>
                    </a:stretch>
                  </pic:blipFill>
                  <pic:spPr>
                    <a:xfrm>
                      <a:off x="0" y="0"/>
                      <a:ext cx="2316595" cy="1120322"/>
                    </a:xfrm>
                    <a:prstGeom prst="rect">
                      <a:avLst/>
                    </a:prstGeom>
                    <a:noFill/>
                    <a:ln>
                      <a:noFill/>
                      <a:prstDash/>
                    </a:ln>
                  </pic:spPr>
                </pic:pic>
              </a:graphicData>
            </a:graphic>
          </wp:inline>
        </w:drawing>
      </w:r>
    </w:p>
    <w:p w14:paraId="241D6712" w14:textId="77777777" w:rsidR="00E44D47" w:rsidRDefault="00E44D47" w:rsidP="00E44D47">
      <w:pPr>
        <w:pStyle w:val="Standard"/>
        <w:ind w:firstLine="567"/>
        <w:rPr>
          <w:b/>
          <w:bCs/>
          <w:iCs/>
          <w:sz w:val="24"/>
          <w:szCs w:val="24"/>
          <w:lang w:val="fr-FR"/>
        </w:rPr>
      </w:pPr>
    </w:p>
    <w:p w14:paraId="1707D4D7" w14:textId="77777777" w:rsidR="00E44D47" w:rsidRDefault="00E44D47" w:rsidP="00E44D47">
      <w:pPr>
        <w:pStyle w:val="HChG"/>
        <w:rPr>
          <w:lang w:val="fr-FR"/>
        </w:rPr>
      </w:pPr>
      <w:r>
        <w:rPr>
          <w:lang w:val="fr-FR"/>
        </w:rPr>
        <w:tab/>
        <w:t>II.</w:t>
      </w:r>
      <w:r>
        <w:rPr>
          <w:lang w:val="fr-FR"/>
        </w:rPr>
        <w:tab/>
        <w:t>Incidences</w:t>
      </w:r>
    </w:p>
    <w:p w14:paraId="227CF188" w14:textId="77777777" w:rsidR="00E44D47" w:rsidRPr="008319D2" w:rsidRDefault="00E44D47" w:rsidP="00E44D47">
      <w:pPr>
        <w:pStyle w:val="SingleTxtG"/>
        <w:rPr>
          <w:lang w:val="fr-FR"/>
        </w:rPr>
      </w:pPr>
      <w:r>
        <w:rPr>
          <w:lang w:val="fr-FR"/>
        </w:rPr>
        <w:t>5.</w:t>
      </w:r>
      <w:r>
        <w:rPr>
          <w:lang w:val="fr-FR"/>
        </w:rPr>
        <w:tab/>
        <w:t>Cette modification précise les bonnes pratiques à respecter lors de la conception des engins équipés de tels dispositifs.</w:t>
      </w:r>
    </w:p>
    <w:p w14:paraId="3DE8A792" w14:textId="716B80CB" w:rsidR="003E5AF6" w:rsidRPr="00A04201" w:rsidRDefault="00A04201" w:rsidP="00A04201">
      <w:pPr>
        <w:spacing w:before="240"/>
        <w:jc w:val="center"/>
        <w:rPr>
          <w:u w:val="single"/>
        </w:rPr>
      </w:pPr>
      <w:r>
        <w:rPr>
          <w:u w:val="single"/>
        </w:rPr>
        <w:tab/>
      </w:r>
      <w:r>
        <w:rPr>
          <w:u w:val="single"/>
        </w:rPr>
        <w:tab/>
      </w:r>
      <w:r>
        <w:rPr>
          <w:u w:val="single"/>
        </w:rPr>
        <w:tab/>
      </w:r>
    </w:p>
    <w:sectPr w:rsidR="003E5AF6" w:rsidRPr="00A04201" w:rsidSect="005A7385">
      <w:headerReference w:type="even" r:id="rId17"/>
      <w:headerReference w:type="default" r:id="rId18"/>
      <w:footerReference w:type="even" r:id="rId19"/>
      <w:footerReference w:type="defaul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04F7" w14:textId="77777777" w:rsidR="007A43EB" w:rsidRDefault="007A43EB" w:rsidP="00F95C08">
      <w:pPr>
        <w:spacing w:line="240" w:lineRule="auto"/>
      </w:pPr>
    </w:p>
  </w:endnote>
  <w:endnote w:type="continuationSeparator" w:id="0">
    <w:p w14:paraId="5F156312" w14:textId="77777777" w:rsidR="007A43EB" w:rsidRPr="00AC3823" w:rsidRDefault="007A43EB" w:rsidP="00AC3823">
      <w:pPr>
        <w:pStyle w:val="Pieddepage"/>
      </w:pPr>
    </w:p>
  </w:endnote>
  <w:endnote w:type="continuationNotice" w:id="1">
    <w:p w14:paraId="11E8BE2F" w14:textId="77777777" w:rsidR="007A43EB" w:rsidRDefault="007A43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B7D7" w14:textId="77777777" w:rsidR="005A7385" w:rsidRPr="005A7385" w:rsidRDefault="005A7385" w:rsidP="005A7385">
    <w:pPr>
      <w:pStyle w:val="Pieddepage"/>
      <w:tabs>
        <w:tab w:val="right" w:pos="9638"/>
      </w:tabs>
      <w:rPr>
        <w:sz w:val="18"/>
      </w:rPr>
    </w:pPr>
    <w:r w:rsidRPr="005A7385">
      <w:rPr>
        <w:b/>
        <w:sz w:val="18"/>
      </w:rPr>
      <w:fldChar w:fldCharType="begin"/>
    </w:r>
    <w:r w:rsidRPr="005A7385">
      <w:rPr>
        <w:b/>
        <w:sz w:val="18"/>
      </w:rPr>
      <w:instrText xml:space="preserve"> PAGE  \* MERGEFORMAT </w:instrText>
    </w:r>
    <w:r w:rsidRPr="005A7385">
      <w:rPr>
        <w:b/>
        <w:sz w:val="18"/>
      </w:rPr>
      <w:fldChar w:fldCharType="separate"/>
    </w:r>
    <w:r w:rsidRPr="005A7385">
      <w:rPr>
        <w:b/>
        <w:noProof/>
        <w:sz w:val="18"/>
      </w:rPr>
      <w:t>2</w:t>
    </w:r>
    <w:r w:rsidRPr="005A73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9DAB" w14:textId="77777777" w:rsidR="005A7385" w:rsidRPr="005A7385" w:rsidRDefault="005A7385" w:rsidP="005A7385">
    <w:pPr>
      <w:pStyle w:val="Pieddepage"/>
      <w:tabs>
        <w:tab w:val="right" w:pos="9638"/>
      </w:tabs>
      <w:rPr>
        <w:b/>
        <w:sz w:val="18"/>
      </w:rPr>
    </w:pPr>
    <w:r>
      <w:tab/>
    </w:r>
    <w:r w:rsidRPr="005A7385">
      <w:rPr>
        <w:b/>
        <w:sz w:val="18"/>
      </w:rPr>
      <w:fldChar w:fldCharType="begin"/>
    </w:r>
    <w:r w:rsidRPr="005A7385">
      <w:rPr>
        <w:b/>
        <w:sz w:val="18"/>
      </w:rPr>
      <w:instrText xml:space="preserve"> PAGE  \* MERGEFORMAT </w:instrText>
    </w:r>
    <w:r w:rsidRPr="005A7385">
      <w:rPr>
        <w:b/>
        <w:sz w:val="18"/>
      </w:rPr>
      <w:fldChar w:fldCharType="separate"/>
    </w:r>
    <w:r w:rsidRPr="005A7385">
      <w:rPr>
        <w:b/>
        <w:noProof/>
        <w:sz w:val="18"/>
      </w:rPr>
      <w:t>3</w:t>
    </w:r>
    <w:r w:rsidRPr="005A73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4B8D" w14:textId="227A389E" w:rsidR="000D3EE9" w:rsidRPr="005D4A55" w:rsidRDefault="005D4A55" w:rsidP="005D4A55">
    <w:pPr>
      <w:pStyle w:val="Pieddepage"/>
      <w:tabs>
        <w:tab w:val="left" w:pos="6520"/>
        <w:tab w:val="right" w:pos="9638"/>
      </w:tabs>
      <w:spacing w:before="120"/>
      <w:rPr>
        <w:sz w:val="20"/>
      </w:rPr>
    </w:pPr>
    <w:r>
      <w:rPr>
        <w:sz w:val="20"/>
      </w:rPr>
      <w:t>GE.22-12207  (F)</w:t>
    </w:r>
    <w:bookmarkStart w:id="2" w:name="_GoBack"/>
    <w:bookmarkEnd w:id="2"/>
    <w:r>
      <w:rPr>
        <w:sz w:val="20"/>
      </w:rPr>
      <w:tab/>
    </w:r>
    <w:r w:rsidRPr="005D4A55">
      <w:rPr>
        <w:noProof/>
        <w:sz w:val="20"/>
        <w:lang w:eastAsia="fr-CH"/>
      </w:rPr>
      <w:drawing>
        <wp:inline distT="0" distB="0" distL="0" distR="0" wp14:anchorId="73159F8E" wp14:editId="1F970ED6">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716B9662" wp14:editId="03EDF90C">
          <wp:extent cx="636270" cy="63627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6C78" w14:textId="77777777" w:rsidR="007A43EB" w:rsidRPr="00AC3823" w:rsidRDefault="007A43EB" w:rsidP="00AC3823">
      <w:pPr>
        <w:pStyle w:val="Pieddepage"/>
        <w:tabs>
          <w:tab w:val="right" w:pos="2155"/>
        </w:tabs>
        <w:spacing w:after="80" w:line="240" w:lineRule="atLeast"/>
        <w:ind w:left="680"/>
        <w:rPr>
          <w:u w:val="single"/>
        </w:rPr>
      </w:pPr>
      <w:r>
        <w:rPr>
          <w:u w:val="single"/>
        </w:rPr>
        <w:tab/>
      </w:r>
    </w:p>
  </w:footnote>
  <w:footnote w:type="continuationSeparator" w:id="0">
    <w:p w14:paraId="15F1D3CF" w14:textId="77777777" w:rsidR="007A43EB" w:rsidRPr="00AC3823" w:rsidRDefault="007A43EB" w:rsidP="00AC3823">
      <w:pPr>
        <w:pStyle w:val="Pieddepage"/>
        <w:tabs>
          <w:tab w:val="right" w:pos="2155"/>
        </w:tabs>
        <w:spacing w:after="80" w:line="240" w:lineRule="atLeast"/>
        <w:ind w:left="680"/>
        <w:rPr>
          <w:u w:val="single"/>
        </w:rPr>
      </w:pPr>
      <w:r>
        <w:rPr>
          <w:u w:val="single"/>
        </w:rPr>
        <w:tab/>
      </w:r>
    </w:p>
  </w:footnote>
  <w:footnote w:type="continuationNotice" w:id="1">
    <w:p w14:paraId="282C3F74" w14:textId="77777777" w:rsidR="007A43EB" w:rsidRPr="00AC3823" w:rsidRDefault="007A43E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C6D1" w14:textId="37D0D27B" w:rsidR="005A7385" w:rsidRPr="005A7385" w:rsidRDefault="00226E25">
    <w:pPr>
      <w:pStyle w:val="En-tte"/>
    </w:pPr>
    <w:r>
      <w:fldChar w:fldCharType="begin"/>
    </w:r>
    <w:r>
      <w:instrText xml:space="preserve"> TITLE  \* MERGEFORMAT </w:instrText>
    </w:r>
    <w:r>
      <w:fldChar w:fldCharType="separate"/>
    </w:r>
    <w:r>
      <w:t>ECE/TRANS/WP.11/2021/12/Rev.2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C276" w14:textId="430534B1" w:rsidR="005A7385" w:rsidRPr="005A7385" w:rsidRDefault="00226E25" w:rsidP="005A7385">
    <w:pPr>
      <w:pStyle w:val="En-tte"/>
      <w:jc w:val="right"/>
    </w:pPr>
    <w:r>
      <w:fldChar w:fldCharType="begin"/>
    </w:r>
    <w:r>
      <w:instrText xml:space="preserve"> TITLE  \* MERGEFORMAT </w:instrText>
    </w:r>
    <w:r>
      <w:fldChar w:fldCharType="separate"/>
    </w:r>
    <w:r>
      <w:t>ECE/TRANS/WP.11/2021/12/Rev.2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85"/>
    <w:rsid w:val="0001207F"/>
    <w:rsid w:val="00017F94"/>
    <w:rsid w:val="00023842"/>
    <w:rsid w:val="000334F9"/>
    <w:rsid w:val="0007796D"/>
    <w:rsid w:val="000942EE"/>
    <w:rsid w:val="000A52BF"/>
    <w:rsid w:val="000B7790"/>
    <w:rsid w:val="000D3EE9"/>
    <w:rsid w:val="000D62F3"/>
    <w:rsid w:val="000E0BB6"/>
    <w:rsid w:val="000E14F1"/>
    <w:rsid w:val="00111F2F"/>
    <w:rsid w:val="001433FD"/>
    <w:rsid w:val="0014365E"/>
    <w:rsid w:val="001541D3"/>
    <w:rsid w:val="00176178"/>
    <w:rsid w:val="001965E9"/>
    <w:rsid w:val="001A064B"/>
    <w:rsid w:val="001D400F"/>
    <w:rsid w:val="001F525A"/>
    <w:rsid w:val="00223272"/>
    <w:rsid w:val="00226E25"/>
    <w:rsid w:val="00240333"/>
    <w:rsid w:val="0024779E"/>
    <w:rsid w:val="002832AC"/>
    <w:rsid w:val="002834A0"/>
    <w:rsid w:val="002D7C93"/>
    <w:rsid w:val="00336BE8"/>
    <w:rsid w:val="00343829"/>
    <w:rsid w:val="0037241C"/>
    <w:rsid w:val="003E5AF6"/>
    <w:rsid w:val="00441C3B"/>
    <w:rsid w:val="00446B0A"/>
    <w:rsid w:val="00446FE5"/>
    <w:rsid w:val="00452396"/>
    <w:rsid w:val="004E468C"/>
    <w:rsid w:val="004F2920"/>
    <w:rsid w:val="005316B0"/>
    <w:rsid w:val="005505B7"/>
    <w:rsid w:val="00564657"/>
    <w:rsid w:val="00573BE5"/>
    <w:rsid w:val="00586ED3"/>
    <w:rsid w:val="00596AA9"/>
    <w:rsid w:val="005A7385"/>
    <w:rsid w:val="005D4A55"/>
    <w:rsid w:val="006035AD"/>
    <w:rsid w:val="006E2F73"/>
    <w:rsid w:val="00703D0F"/>
    <w:rsid w:val="00706363"/>
    <w:rsid w:val="0071601D"/>
    <w:rsid w:val="007A43EB"/>
    <w:rsid w:val="007A62E6"/>
    <w:rsid w:val="007B7571"/>
    <w:rsid w:val="0080252F"/>
    <w:rsid w:val="0080684C"/>
    <w:rsid w:val="008204DA"/>
    <w:rsid w:val="0083123A"/>
    <w:rsid w:val="00871C75"/>
    <w:rsid w:val="008767E8"/>
    <w:rsid w:val="008776DC"/>
    <w:rsid w:val="00915979"/>
    <w:rsid w:val="009705C8"/>
    <w:rsid w:val="009C1CF4"/>
    <w:rsid w:val="009F02C9"/>
    <w:rsid w:val="00A04201"/>
    <w:rsid w:val="00A30353"/>
    <w:rsid w:val="00A62D91"/>
    <w:rsid w:val="00A90D54"/>
    <w:rsid w:val="00AA113A"/>
    <w:rsid w:val="00AC3689"/>
    <w:rsid w:val="00AC3823"/>
    <w:rsid w:val="00AE323C"/>
    <w:rsid w:val="00B00181"/>
    <w:rsid w:val="00B00B0D"/>
    <w:rsid w:val="00B07F65"/>
    <w:rsid w:val="00B30069"/>
    <w:rsid w:val="00B50E25"/>
    <w:rsid w:val="00B64918"/>
    <w:rsid w:val="00B765F7"/>
    <w:rsid w:val="00BA0CA9"/>
    <w:rsid w:val="00C02897"/>
    <w:rsid w:val="00C7616F"/>
    <w:rsid w:val="00CB16B5"/>
    <w:rsid w:val="00CB48D1"/>
    <w:rsid w:val="00CE0608"/>
    <w:rsid w:val="00D3439C"/>
    <w:rsid w:val="00D44CF3"/>
    <w:rsid w:val="00D70306"/>
    <w:rsid w:val="00DA6C5E"/>
    <w:rsid w:val="00DB1831"/>
    <w:rsid w:val="00DD3BFD"/>
    <w:rsid w:val="00DF431C"/>
    <w:rsid w:val="00DF6678"/>
    <w:rsid w:val="00E35DA7"/>
    <w:rsid w:val="00E44D47"/>
    <w:rsid w:val="00E939CE"/>
    <w:rsid w:val="00EF2E22"/>
    <w:rsid w:val="00F0592C"/>
    <w:rsid w:val="00F43289"/>
    <w:rsid w:val="00F45FC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19C18"/>
  <w15:docId w15:val="{0996C3C7-C2AD-4FC5-A05C-35D07BD5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customStyle="1" w:styleId="Standard">
    <w:name w:val="Standard"/>
    <w:rsid w:val="00E35DA7"/>
    <w:pPr>
      <w:suppressAutoHyphens/>
      <w:autoSpaceDN w:val="0"/>
      <w:snapToGrid w:val="0"/>
      <w:spacing w:after="0" w:line="240" w:lineRule="atLeast"/>
    </w:pPr>
    <w:rPr>
      <w:kern w:val="3"/>
    </w:rPr>
  </w:style>
  <w:style w:type="character" w:customStyle="1" w:styleId="Policepardfaut1">
    <w:name w:val="Police par défaut1"/>
    <w:rsid w:val="00E44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40A85-DB8E-43CE-98E7-E37D8E5A7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13CBA-33E8-4AEB-9C6B-BE64076582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B8F1C7FA-04EC-4D68-B960-AD9C7D93E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4260</Characters>
  <Application>Microsoft Office Word</Application>
  <DocSecurity>0</DocSecurity>
  <Lines>101</Lines>
  <Paragraphs>62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ECE/TRANS/WP.11/2021/12/Rev.2</dc:title>
  <dc:subject>FINAL</dc:subject>
  <dc:creator>ND</dc:creator>
  <cp:keywords/>
  <dc:description/>
  <cp:lastModifiedBy>Corinne Robert</cp:lastModifiedBy>
  <cp:revision>3</cp:revision>
  <cp:lastPrinted>2022-08-09T08:00:00Z</cp:lastPrinted>
  <dcterms:created xsi:type="dcterms:W3CDTF">2022-08-09T08:00:00Z</dcterms:created>
  <dcterms:modified xsi:type="dcterms:W3CDTF">2022-08-09T08:01:00Z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