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30C41886" w14:textId="77777777" w:rsidTr="005316B0">
        <w:trPr>
          <w:trHeight w:hRule="exact" w:val="851"/>
        </w:trPr>
        <w:tc>
          <w:tcPr>
            <w:tcW w:w="1276" w:type="dxa"/>
            <w:tcBorders>
              <w:bottom w:val="single" w:sz="4" w:space="0" w:color="auto"/>
            </w:tcBorders>
          </w:tcPr>
          <w:p w14:paraId="2476C027" w14:textId="77777777" w:rsidR="001433FD" w:rsidRPr="00DB58B5" w:rsidRDefault="001433FD" w:rsidP="0001207F"/>
        </w:tc>
        <w:tc>
          <w:tcPr>
            <w:tcW w:w="2268" w:type="dxa"/>
            <w:tcBorders>
              <w:bottom w:val="single" w:sz="4" w:space="0" w:color="auto"/>
            </w:tcBorders>
            <w:vAlign w:val="bottom"/>
          </w:tcPr>
          <w:p w14:paraId="7AB64FB0"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F1C03A1" w14:textId="404640E5" w:rsidR="001433FD" w:rsidRPr="009D1159" w:rsidRDefault="009D1159" w:rsidP="009D1159">
            <w:pPr>
              <w:jc w:val="right"/>
            </w:pPr>
            <w:r w:rsidRPr="009D1159">
              <w:rPr>
                <w:sz w:val="40"/>
              </w:rPr>
              <w:t>ECE</w:t>
            </w:r>
            <w:r>
              <w:t>/TRANS/WP.11/2021/11</w:t>
            </w:r>
          </w:p>
        </w:tc>
      </w:tr>
      <w:tr w:rsidR="001433FD" w:rsidRPr="00DB58B5" w14:paraId="25E03549" w14:textId="77777777" w:rsidTr="007D3236">
        <w:trPr>
          <w:trHeight w:hRule="exact" w:val="2835"/>
        </w:trPr>
        <w:tc>
          <w:tcPr>
            <w:tcW w:w="1276" w:type="dxa"/>
            <w:tcBorders>
              <w:top w:val="single" w:sz="4" w:space="0" w:color="auto"/>
              <w:bottom w:val="single" w:sz="12" w:space="0" w:color="auto"/>
            </w:tcBorders>
          </w:tcPr>
          <w:p w14:paraId="6DED88C5" w14:textId="77777777" w:rsidR="001433FD" w:rsidRPr="00DB58B5" w:rsidRDefault="001433FD" w:rsidP="007D3236">
            <w:pPr>
              <w:spacing w:before="120"/>
              <w:jc w:val="center"/>
            </w:pPr>
            <w:r>
              <w:rPr>
                <w:noProof/>
                <w:lang w:eastAsia="fr-CH"/>
              </w:rPr>
              <w:drawing>
                <wp:inline distT="0" distB="0" distL="0" distR="0" wp14:anchorId="4742187C" wp14:editId="4DB22FCD">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A4E155"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C6545C7" w14:textId="77777777" w:rsidR="0001207F" w:rsidRDefault="002009EC" w:rsidP="002009EC">
            <w:pPr>
              <w:spacing w:before="240" w:line="240" w:lineRule="exact"/>
            </w:pPr>
            <w:r>
              <w:t>Distr. générale</w:t>
            </w:r>
          </w:p>
          <w:p w14:paraId="0432E393" w14:textId="33B80F1D" w:rsidR="002009EC" w:rsidRDefault="00134496" w:rsidP="002009EC">
            <w:pPr>
              <w:spacing w:line="240" w:lineRule="exact"/>
            </w:pPr>
            <w:r>
              <w:t xml:space="preserve">10 </w:t>
            </w:r>
            <w:r w:rsidR="002009EC">
              <w:t>août 2021</w:t>
            </w:r>
          </w:p>
          <w:p w14:paraId="2F5130AE" w14:textId="77777777" w:rsidR="002009EC" w:rsidRDefault="002009EC" w:rsidP="002009EC">
            <w:pPr>
              <w:spacing w:line="240" w:lineRule="exact"/>
            </w:pPr>
          </w:p>
          <w:p w14:paraId="58C5587A" w14:textId="77777777" w:rsidR="002009EC" w:rsidRPr="00DB58B5" w:rsidRDefault="002009EC" w:rsidP="002009EC">
            <w:pPr>
              <w:spacing w:line="240" w:lineRule="exact"/>
            </w:pPr>
            <w:r>
              <w:t>Original : français</w:t>
            </w:r>
          </w:p>
        </w:tc>
      </w:tr>
    </w:tbl>
    <w:p w14:paraId="504DA664" w14:textId="77777777" w:rsidR="002009EC" w:rsidRDefault="002009EC" w:rsidP="002009EC">
      <w:pPr>
        <w:spacing w:before="120"/>
        <w:rPr>
          <w:b/>
          <w:sz w:val="28"/>
          <w:szCs w:val="28"/>
        </w:rPr>
      </w:pPr>
      <w:r>
        <w:rPr>
          <w:b/>
          <w:sz w:val="28"/>
          <w:szCs w:val="28"/>
        </w:rPr>
        <w:t>Commission économique pour l’Europe</w:t>
      </w:r>
    </w:p>
    <w:p w14:paraId="4DF52EA8" w14:textId="77777777" w:rsidR="002009EC" w:rsidRDefault="002009EC" w:rsidP="002009EC">
      <w:pPr>
        <w:spacing w:before="120"/>
        <w:rPr>
          <w:sz w:val="28"/>
          <w:szCs w:val="28"/>
        </w:rPr>
      </w:pPr>
      <w:r>
        <w:rPr>
          <w:sz w:val="28"/>
          <w:szCs w:val="28"/>
        </w:rPr>
        <w:t>Comité des transports intérieurs</w:t>
      </w:r>
    </w:p>
    <w:p w14:paraId="520BC530" w14:textId="77777777" w:rsidR="002009EC" w:rsidRDefault="002009EC" w:rsidP="002009EC">
      <w:pPr>
        <w:spacing w:before="120"/>
        <w:rPr>
          <w:b/>
          <w:sz w:val="24"/>
          <w:szCs w:val="24"/>
        </w:rPr>
      </w:pPr>
      <w:r>
        <w:rPr>
          <w:b/>
          <w:sz w:val="24"/>
          <w:szCs w:val="24"/>
        </w:rPr>
        <w:t>Groupe de travail du transport des denrées périssables</w:t>
      </w:r>
    </w:p>
    <w:p w14:paraId="28989A55" w14:textId="2C1362CD" w:rsidR="002009EC" w:rsidRDefault="002009EC" w:rsidP="002009EC">
      <w:pPr>
        <w:spacing w:before="120"/>
        <w:rPr>
          <w:b/>
          <w:bCs/>
        </w:rPr>
      </w:pPr>
      <w:r>
        <w:rPr>
          <w:b/>
          <w:bCs/>
          <w:lang w:val="fr-FR"/>
        </w:rPr>
        <w:t>Soixante-dix-septième</w:t>
      </w:r>
      <w:r>
        <w:rPr>
          <w:b/>
          <w:bCs/>
        </w:rPr>
        <w:t xml:space="preserve"> session</w:t>
      </w:r>
    </w:p>
    <w:p w14:paraId="016564D5" w14:textId="263D0A52" w:rsidR="002009EC" w:rsidRDefault="002009EC" w:rsidP="002009EC">
      <w:r>
        <w:t xml:space="preserve">Genève, </w:t>
      </w:r>
      <w:r>
        <w:rPr>
          <w:lang w:val="fr-FR"/>
        </w:rPr>
        <w:t>26-29 octobre 2021</w:t>
      </w:r>
    </w:p>
    <w:p w14:paraId="1E9D328E" w14:textId="30B691AD" w:rsidR="00E41641" w:rsidRDefault="00E41641" w:rsidP="00E60DFF">
      <w:pPr>
        <w:pStyle w:val="Standard"/>
        <w:tabs>
          <w:tab w:val="center" w:pos="4819"/>
        </w:tabs>
        <w:overflowPunct w:val="0"/>
        <w:snapToGrid/>
      </w:pPr>
      <w:r>
        <w:rPr>
          <w:lang w:eastAsia="fr-FR"/>
        </w:rPr>
        <w:t xml:space="preserve">Point </w:t>
      </w:r>
      <w:r w:rsidR="00D25606">
        <w:rPr>
          <w:lang w:eastAsia="fr-FR"/>
        </w:rPr>
        <w:t xml:space="preserve">6 </w:t>
      </w:r>
      <w:r>
        <w:rPr>
          <w:lang w:eastAsia="fr-FR"/>
        </w:rPr>
        <w:t>de l’ordre du jour provisoire</w:t>
      </w:r>
    </w:p>
    <w:p w14:paraId="2568F9C1" w14:textId="1C01E48C" w:rsidR="00C1626B" w:rsidRDefault="000C3183" w:rsidP="000C3183">
      <w:pPr>
        <w:rPr>
          <w:b/>
          <w:bCs/>
          <w:lang w:val="fr-FR"/>
        </w:rPr>
      </w:pPr>
      <w:r>
        <w:rPr>
          <w:b/>
          <w:lang w:val="fr-FR"/>
        </w:rPr>
        <w:t>Manuel ATP</w:t>
      </w:r>
    </w:p>
    <w:p w14:paraId="79675386" w14:textId="60D98E06" w:rsidR="002009EC" w:rsidRPr="000C3183" w:rsidRDefault="00766028" w:rsidP="000C3183">
      <w:pPr>
        <w:pStyle w:val="HChG"/>
      </w:pPr>
      <w:r>
        <w:rPr>
          <w:rStyle w:val="Policepardfaut1"/>
          <w:lang w:val="fr-FR"/>
        </w:rPr>
        <w:tab/>
      </w:r>
      <w:r>
        <w:rPr>
          <w:rStyle w:val="Policepardfaut1"/>
          <w:lang w:val="fr-FR"/>
        </w:rPr>
        <w:tab/>
      </w:r>
      <w:r w:rsidR="000C3183">
        <w:rPr>
          <w:lang w:val="fr-FR"/>
        </w:rPr>
        <w:t>Amendement au paragraphe 7.3.6 de l’annexe 1 appendice 2 du Manuel ATP</w:t>
      </w:r>
      <w:r w:rsidR="000C3183">
        <w:br/>
      </w:r>
      <w:r w:rsidR="000C3183">
        <w:rPr>
          <w:lang w:val="fr-FR"/>
        </w:rPr>
        <w:t xml:space="preserve">Traitement des cas d’application spécifiques à l’outil de </w:t>
      </w:r>
      <w:r w:rsidR="000C3183" w:rsidRPr="000C3183">
        <w:t>dimensionnement des engins multi-températures</w:t>
      </w:r>
    </w:p>
    <w:p w14:paraId="18CA1C23" w14:textId="44BAEEF2" w:rsidR="00766028" w:rsidRDefault="001D7A3E" w:rsidP="001D7A3E">
      <w:pPr>
        <w:pStyle w:val="H1G"/>
        <w:rPr>
          <w:rStyle w:val="Policepardfaut1"/>
          <w:lang w:val="fr-FR"/>
        </w:rPr>
      </w:pPr>
      <w:r>
        <w:rPr>
          <w:rStyle w:val="Policepardfaut1"/>
          <w:lang w:val="fr-FR"/>
        </w:rPr>
        <w:tab/>
      </w:r>
      <w:r>
        <w:rPr>
          <w:rStyle w:val="Policepardfaut1"/>
          <w:lang w:val="fr-FR"/>
        </w:rPr>
        <w:tab/>
      </w:r>
      <w:r>
        <w:rPr>
          <w:rStyle w:val="Policepardfaut1"/>
          <w:lang w:val="fr-FR"/>
        </w:rPr>
        <w:tab/>
        <w:t xml:space="preserve">Communication du </w:t>
      </w:r>
      <w:r>
        <w:t>Gouvernement</w:t>
      </w:r>
      <w:r>
        <w:rPr>
          <w:rStyle w:val="Policepardfaut1"/>
          <w:lang w:val="fr-FR"/>
        </w:rPr>
        <w:t xml:space="preserve"> de la France</w:t>
      </w:r>
    </w:p>
    <w:p w14:paraId="760FA164" w14:textId="19F44D56" w:rsidR="002A6DA4" w:rsidRDefault="002A6DA4" w:rsidP="00537110">
      <w:pPr>
        <w:pStyle w:val="HChG"/>
      </w:pPr>
      <w:r>
        <w:tab/>
      </w:r>
      <w:r w:rsidR="00537110">
        <w:tab/>
      </w:r>
      <w:r w:rsidR="00537110">
        <w:tab/>
      </w:r>
      <w:r w:rsidRPr="00537110">
        <w:t>Introduction</w:t>
      </w:r>
      <w:bookmarkStart w:id="0" w:name="OLE_LINK2"/>
      <w:bookmarkStart w:id="1" w:name="OLE_LINK1"/>
      <w:bookmarkEnd w:id="0"/>
      <w:bookmarkEnd w:id="1"/>
    </w:p>
    <w:p w14:paraId="3D5DB05F" w14:textId="6D151785" w:rsidR="000E3AD5" w:rsidRPr="005E7383" w:rsidRDefault="005E7383" w:rsidP="005E7383">
      <w:pPr>
        <w:pStyle w:val="SingleTxtG"/>
      </w:pPr>
      <w:r>
        <w:t>1.</w:t>
      </w:r>
      <w:r>
        <w:tab/>
      </w:r>
      <w:r w:rsidR="000E3AD5">
        <w:t xml:space="preserve">Dans le cadre des nouvelles dispositions de l’ATP dans sa version du 6 juillet 2020, toutes les demandes d’attestations ATP pour des </w:t>
      </w:r>
      <w:r w:rsidR="000E3AD5" w:rsidRPr="005E7383">
        <w:t>engins multi-températures fabriqués après le 1er octobre 2020 doivent comporter la déclaration de conformité à annexer à l’attestation.</w:t>
      </w:r>
    </w:p>
    <w:p w14:paraId="4E43F9FD" w14:textId="661A607B" w:rsidR="000E3AD5" w:rsidRPr="005E7383" w:rsidRDefault="005E7383" w:rsidP="005E7383">
      <w:pPr>
        <w:pStyle w:val="SingleTxtG"/>
      </w:pPr>
      <w:r w:rsidRPr="005E7383">
        <w:t>2.</w:t>
      </w:r>
      <w:r w:rsidRPr="005E7383">
        <w:tab/>
      </w:r>
      <w:r w:rsidR="000E3AD5" w:rsidRPr="005E7383">
        <w:t>Les constructeurs d’engins utilisent un outil automatisé de dimensionnement des engins multi-températures pour justifier du bon dimensionnement des engins. Cet outil couvre la très grande majorité des cas d’application, toutefois le traitement de certains cas d’applications spécifiques nécessite une méthode de dimensionnement appropriée.</w:t>
      </w:r>
    </w:p>
    <w:p w14:paraId="20DA31B5" w14:textId="6BFD659F" w:rsidR="000E3AD5" w:rsidRDefault="005E7383" w:rsidP="005E7383">
      <w:pPr>
        <w:pStyle w:val="SingleTxtG"/>
      </w:pPr>
      <w:r w:rsidRPr="005E7383">
        <w:t>3.</w:t>
      </w:r>
      <w:r w:rsidRPr="005E7383">
        <w:tab/>
      </w:r>
      <w:r w:rsidR="000E3AD5" w:rsidRPr="005E7383">
        <w:t>Le présent document vise à détailler les</w:t>
      </w:r>
      <w:r w:rsidR="000E3AD5">
        <w:t xml:space="preserve"> modes opératoires relatifs aux cas d’applications spécifiques.</w:t>
      </w:r>
    </w:p>
    <w:p w14:paraId="6DB1BB93" w14:textId="2DAAC20E" w:rsidR="000E3AD5" w:rsidRDefault="005E7383" w:rsidP="005E7383">
      <w:pPr>
        <w:pStyle w:val="HChG"/>
        <w:rPr>
          <w:lang w:val="fr-FR" w:eastAsia="fr-FR"/>
        </w:rPr>
      </w:pPr>
      <w:r>
        <w:rPr>
          <w:lang w:val="fr-FR" w:eastAsia="fr-FR"/>
        </w:rPr>
        <w:tab/>
      </w:r>
      <w:r w:rsidR="00134496">
        <w:rPr>
          <w:lang w:val="fr-FR" w:eastAsia="fr-FR"/>
        </w:rPr>
        <w:t>I.</w:t>
      </w:r>
      <w:r>
        <w:rPr>
          <w:lang w:val="fr-FR" w:eastAsia="fr-FR"/>
        </w:rPr>
        <w:tab/>
      </w:r>
      <w:r w:rsidR="000E3AD5">
        <w:rPr>
          <w:lang w:val="fr-FR" w:eastAsia="fr-FR"/>
        </w:rPr>
        <w:t>Proposition d’amendement au manuel ATP</w:t>
      </w:r>
    </w:p>
    <w:p w14:paraId="5675F9E7" w14:textId="66FF5BA2" w:rsidR="000E3AD5" w:rsidRDefault="005E7383" w:rsidP="005E7383">
      <w:pPr>
        <w:pStyle w:val="SingleTxtG"/>
        <w:rPr>
          <w:kern w:val="3"/>
        </w:rPr>
      </w:pPr>
      <w:r>
        <w:rPr>
          <w:lang w:eastAsia="en-US"/>
        </w:rPr>
        <w:t>4.</w:t>
      </w:r>
      <w:r>
        <w:rPr>
          <w:lang w:eastAsia="en-US"/>
        </w:rPr>
        <w:tab/>
      </w:r>
      <w:r w:rsidR="000E3AD5">
        <w:rPr>
          <w:lang w:eastAsia="en-US"/>
        </w:rPr>
        <w:t xml:space="preserve">Il est proposé d’ajouter au manuel ATP au paragraphe 7.3.6 de l’Annexe </w:t>
      </w:r>
      <w:r w:rsidR="00AB0C8F">
        <w:rPr>
          <w:lang w:eastAsia="en-US"/>
        </w:rPr>
        <w:t>1’Appendice </w:t>
      </w:r>
      <w:r w:rsidR="000E3AD5">
        <w:rPr>
          <w:lang w:eastAsia="en-US"/>
        </w:rPr>
        <w:t>2, le texte comme suit :</w:t>
      </w:r>
    </w:p>
    <w:p w14:paraId="0700E45E" w14:textId="77777777" w:rsidR="000E3AD5" w:rsidRPr="005E7383" w:rsidRDefault="000E3AD5" w:rsidP="005E7383">
      <w:pPr>
        <w:pStyle w:val="SingleTxtG"/>
        <w:rPr>
          <w:i/>
          <w:iCs/>
          <w:lang w:eastAsia="en-US"/>
        </w:rPr>
      </w:pPr>
      <w:r w:rsidRPr="005E7383">
        <w:rPr>
          <w:i/>
          <w:iCs/>
          <w:lang w:eastAsia="en-US"/>
        </w:rPr>
        <w:t>« Les dispositions qui suivent sont destinées à expliciter la méthode de dimensionnement des engins dans des cas d’applications spécifiques. »</w:t>
      </w:r>
    </w:p>
    <w:p w14:paraId="7A396DC0" w14:textId="77777777" w:rsidR="000E3AD5" w:rsidRPr="0029552B" w:rsidRDefault="000E3AD5" w:rsidP="0029552B">
      <w:pPr>
        <w:pStyle w:val="SingleTxtG"/>
        <w:rPr>
          <w:b/>
          <w:bCs/>
          <w:i/>
          <w:iCs/>
          <w:lang w:val="fr-FR" w:eastAsia="fr-FR"/>
        </w:rPr>
      </w:pPr>
      <w:bookmarkStart w:id="2" w:name="_Toc74639437"/>
      <w:bookmarkStart w:id="3" w:name="_Toc74571785"/>
      <w:bookmarkStart w:id="4" w:name="_Toc74571592"/>
      <w:r w:rsidRPr="0029552B">
        <w:rPr>
          <w:b/>
          <w:bCs/>
          <w:i/>
          <w:iCs/>
          <w:lang w:val="fr-FR" w:eastAsia="fr-FR"/>
        </w:rPr>
        <w:t>Cas des engins multi-compartiments avec nombre de compartiments variable</w:t>
      </w:r>
      <w:bookmarkEnd w:id="2"/>
      <w:bookmarkEnd w:id="3"/>
      <w:bookmarkEnd w:id="4"/>
    </w:p>
    <w:p w14:paraId="0834572A" w14:textId="77777777" w:rsidR="000E3AD5" w:rsidRPr="0029552B" w:rsidRDefault="000E3AD5" w:rsidP="0029552B">
      <w:pPr>
        <w:pStyle w:val="SingleTxtG"/>
        <w:rPr>
          <w:i/>
          <w:iCs/>
          <w:kern w:val="3"/>
          <w:lang w:eastAsia="en-US"/>
        </w:rPr>
      </w:pPr>
      <w:r w:rsidRPr="0029552B">
        <w:rPr>
          <w:i/>
          <w:iCs/>
          <w:lang w:eastAsia="en-US"/>
        </w:rPr>
        <w:t xml:space="preserve">Toutes les configurations doivent être testées pour vérifier le bon dimensionnement de l’engin. Toutefois, seule la configuration la plus pertinente doit être présentée dans l’annexe </w:t>
      </w:r>
      <w:r w:rsidRPr="0029552B">
        <w:rPr>
          <w:i/>
          <w:iCs/>
          <w:lang w:eastAsia="en-US"/>
        </w:rPr>
        <w:lastRenderedPageBreak/>
        <w:t xml:space="preserve">à l’attestation. Le croquis montrant la configuration correspondant à la configuration de la demande d’attestation dans </w:t>
      </w:r>
      <w:proofErr w:type="spellStart"/>
      <w:r w:rsidRPr="0029552B">
        <w:rPr>
          <w:i/>
          <w:iCs/>
          <w:lang w:eastAsia="en-US"/>
        </w:rPr>
        <w:t>Datafrig</w:t>
      </w:r>
      <w:proofErr w:type="spellEnd"/>
      <w:r w:rsidRPr="0029552B">
        <w:rPr>
          <w:i/>
          <w:iCs/>
          <w:lang w:eastAsia="en-US"/>
        </w:rPr>
        <w:t xml:space="preserve"> doit être joint. Préalablement à la demande d’attestation, le constructeur ou le monteur aura vérifié le bon dimensionnement dans le cas le plus défavorable. Le cas le plus défavorable correspond à la configuration avec la position de cloisons et le nombre de compartiments qui nécessite la puissance frigorifique la plus importante. Ces différentes configurations testées seront conservées par le demandeur pour être vérifiées lors des audits.</w:t>
      </w:r>
    </w:p>
    <w:p w14:paraId="5B0095D6" w14:textId="77777777" w:rsidR="000E3AD5" w:rsidRPr="0029552B" w:rsidRDefault="000E3AD5" w:rsidP="0029552B">
      <w:pPr>
        <w:pStyle w:val="SingleTxtG"/>
        <w:rPr>
          <w:i/>
          <w:iCs/>
          <w:u w:val="single"/>
          <w:lang w:val="fr-FR" w:eastAsia="fr-FR"/>
        </w:rPr>
      </w:pPr>
      <w:r w:rsidRPr="0029552B">
        <w:rPr>
          <w:i/>
          <w:iCs/>
          <w:u w:val="single"/>
          <w:lang w:val="fr-FR" w:eastAsia="fr-FR"/>
        </w:rPr>
        <w:t xml:space="preserve">Exemple : cas d’une configuration en « J » </w:t>
      </w:r>
    </w:p>
    <w:p w14:paraId="408119B2" w14:textId="77777777" w:rsidR="000E3AD5" w:rsidRPr="00417D6B" w:rsidRDefault="000E3AD5" w:rsidP="00417D6B">
      <w:pPr>
        <w:pStyle w:val="Bullet1G"/>
        <w:tabs>
          <w:tab w:val="clear" w:pos="1701"/>
        </w:tabs>
        <w:ind w:hanging="567"/>
        <w:rPr>
          <w:i/>
          <w:iCs/>
          <w:kern w:val="3"/>
        </w:rPr>
      </w:pPr>
      <w:r w:rsidRPr="00417D6B">
        <w:rPr>
          <w:i/>
          <w:iCs/>
        </w:rPr>
        <w:t>Le dimensionnement est vérifié sur le cas le plus défavorable</w:t>
      </w:r>
    </w:p>
    <w:p w14:paraId="33C38B2B" w14:textId="37A3BCE5" w:rsidR="000E3AD5" w:rsidRDefault="000E3AD5" w:rsidP="000E3AD5">
      <w:pPr>
        <w:suppressAutoHyphens w:val="0"/>
        <w:spacing w:after="120" w:line="240" w:lineRule="auto"/>
        <w:ind w:right="-2"/>
        <w:jc w:val="cente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55168" behindDoc="0" locked="0" layoutInCell="1" allowOverlap="1" wp14:anchorId="01D8415E" wp14:editId="31EEF7C3">
                <wp:simplePos x="0" y="0"/>
                <wp:positionH relativeFrom="column">
                  <wp:posOffset>4470400</wp:posOffset>
                </wp:positionH>
                <wp:positionV relativeFrom="paragraph">
                  <wp:posOffset>302260</wp:posOffset>
                </wp:positionV>
                <wp:extent cx="342900" cy="300990"/>
                <wp:effectExtent l="0" t="0" r="0" b="3810"/>
                <wp:wrapNone/>
                <wp:docPr id="13" name="Text Box 13"/>
                <wp:cNvGraphicFramePr/>
                <a:graphic xmlns:a="http://schemas.openxmlformats.org/drawingml/2006/main">
                  <a:graphicData uri="http://schemas.microsoft.com/office/word/2010/wordprocessingShape">
                    <wps:wsp>
                      <wps:cNvSpPr txBox="1"/>
                      <wps:spPr>
                        <a:xfrm>
                          <a:off x="0" y="0"/>
                          <a:ext cx="342900" cy="300990"/>
                        </a:xfrm>
                        <a:prstGeom prst="rect">
                          <a:avLst/>
                        </a:prstGeom>
                        <a:solidFill>
                          <a:srgbClr val="FFFFFF"/>
                        </a:solidFill>
                        <a:ln>
                          <a:noFill/>
                          <a:prstDash/>
                        </a:ln>
                      </wps:spPr>
                      <wps:txbx>
                        <w:txbxContent>
                          <w:p w14:paraId="61A75C0B" w14:textId="77777777" w:rsidR="000E3AD5" w:rsidRDefault="000E3AD5" w:rsidP="000E3AD5">
                            <w:pPr>
                              <w:rPr>
                                <w:sz w:val="12"/>
                              </w:rPr>
                            </w:pPr>
                            <w:r>
                              <w:rPr>
                                <w:sz w:val="12"/>
                              </w:rPr>
                              <w:t>AR</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01D8415E" id="_x0000_t202" coordsize="21600,21600" o:spt="202" path="m,l,21600r21600,l21600,xe">
                <v:stroke joinstyle="miter"/>
                <v:path gradientshapeok="t" o:connecttype="rect"/>
              </v:shapetype>
              <v:shape id="Text Box 13" o:spid="_x0000_s1026" type="#_x0000_t202" style="position:absolute;left:0;text-align:left;margin-left:352pt;margin-top:23.8pt;width:27pt;height:2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" stroked="f">
                <v:textbox>
                  <w:txbxContent>
                    <w:p w14:paraId="61A75C0B" w14:textId="77777777" w:rsidR="000E3AD5" w:rsidRDefault="000E3AD5" w:rsidP="000E3AD5">
                      <w:pPr>
                        <w:rPr>
                          <w:sz w:val="12"/>
                        </w:rPr>
                      </w:pPr>
                      <w:r>
                        <w:rPr>
                          <w:sz w:val="12"/>
                        </w:rPr>
                        <w:t>AR</w:t>
                      </w:r>
                    </w:p>
                  </w:txbxContent>
                </v:textbox>
              </v:shape>
            </w:pict>
          </mc:Fallback>
        </mc:AlternateContent>
      </w:r>
      <w:r>
        <w:rPr>
          <w:rFonts w:ascii="Calibri" w:hAnsi="Calibri" w:cs="Arial"/>
          <w:noProof/>
          <w:sz w:val="22"/>
          <w:szCs w:val="22"/>
        </w:rPr>
        <mc:AlternateContent>
          <mc:Choice Requires="wps">
            <w:drawing>
              <wp:anchor distT="0" distB="0" distL="114300" distR="114300" simplePos="0" relativeHeight="251656192" behindDoc="0" locked="0" layoutInCell="1" allowOverlap="1" wp14:anchorId="6050570A" wp14:editId="3A39AD28">
                <wp:simplePos x="0" y="0"/>
                <wp:positionH relativeFrom="column">
                  <wp:posOffset>2346325</wp:posOffset>
                </wp:positionH>
                <wp:positionV relativeFrom="paragraph">
                  <wp:posOffset>248285</wp:posOffset>
                </wp:positionV>
                <wp:extent cx="342900" cy="30099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342900" cy="300990"/>
                        </a:xfrm>
                        <a:prstGeom prst="rect">
                          <a:avLst/>
                        </a:prstGeom>
                        <a:solidFill>
                          <a:srgbClr val="FFFFFF"/>
                        </a:solidFill>
                        <a:ln>
                          <a:noFill/>
                          <a:prstDash/>
                        </a:ln>
                      </wps:spPr>
                      <wps:txbx>
                        <w:txbxContent>
                          <w:p w14:paraId="7A472CBE" w14:textId="77777777" w:rsidR="000E3AD5" w:rsidRDefault="000E3AD5" w:rsidP="000E3AD5">
                            <w:pPr>
                              <w:rPr>
                                <w:sz w:val="12"/>
                              </w:rPr>
                            </w:pPr>
                            <w:r>
                              <w:rPr>
                                <w:sz w:val="12"/>
                              </w:rPr>
                              <w:t>AR</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6050570A" id="Text Box 12" o:spid="_x0000_s1027" type="#_x0000_t202" style="position:absolute;left:0;text-align:left;margin-left:184.75pt;margin-top:19.55pt;width:27pt;height:2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" stroked="f">
                <v:textbox>
                  <w:txbxContent>
                    <w:p w14:paraId="7A472CBE" w14:textId="77777777" w:rsidR="000E3AD5" w:rsidRDefault="000E3AD5" w:rsidP="000E3AD5">
                      <w:pPr>
                        <w:rPr>
                          <w:sz w:val="12"/>
                        </w:rPr>
                      </w:pPr>
                      <w:r>
                        <w:rPr>
                          <w:sz w:val="12"/>
                        </w:rPr>
                        <w:t>AR</w:t>
                      </w:r>
                    </w:p>
                  </w:txbxContent>
                </v:textbox>
              </v:shape>
            </w:pict>
          </mc:Fallback>
        </mc:AlternateContent>
      </w:r>
      <w:r>
        <w:rPr>
          <w:rFonts w:ascii="Calibri" w:hAnsi="Calibri" w:cs="Arial"/>
          <w:noProof/>
          <w:sz w:val="22"/>
          <w:szCs w:val="22"/>
        </w:rPr>
        <mc:AlternateContent>
          <mc:Choice Requires="wps">
            <w:drawing>
              <wp:anchor distT="0" distB="0" distL="114300" distR="114300" simplePos="0" relativeHeight="251657216" behindDoc="0" locked="0" layoutInCell="1" allowOverlap="1" wp14:anchorId="0527F4B4" wp14:editId="428F91EF">
                <wp:simplePos x="0" y="0"/>
                <wp:positionH relativeFrom="column">
                  <wp:posOffset>3114675</wp:posOffset>
                </wp:positionH>
                <wp:positionV relativeFrom="paragraph">
                  <wp:posOffset>302260</wp:posOffset>
                </wp:positionV>
                <wp:extent cx="342900" cy="300990"/>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342900" cy="300990"/>
                        </a:xfrm>
                        <a:prstGeom prst="rect">
                          <a:avLst/>
                        </a:prstGeom>
                        <a:solidFill>
                          <a:srgbClr val="FFFFFF"/>
                        </a:solidFill>
                        <a:ln>
                          <a:noFill/>
                          <a:prstDash/>
                        </a:ln>
                      </wps:spPr>
                      <wps:txbx>
                        <w:txbxContent>
                          <w:p w14:paraId="7F15EADF" w14:textId="77777777" w:rsidR="000E3AD5" w:rsidRDefault="000E3AD5" w:rsidP="000E3AD5">
                            <w:pPr>
                              <w:rPr>
                                <w:sz w:val="12"/>
                              </w:rPr>
                            </w:pPr>
                            <w:r>
                              <w:rPr>
                                <w:sz w:val="12"/>
                              </w:rPr>
                              <w:t>AV</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527F4B4" id="Text Box 11" o:spid="_x0000_s1028" type="#_x0000_t202" style="position:absolute;left:0;text-align:left;margin-left:245.25pt;margin-top:23.8pt;width:27pt;height:2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" stroked="f">
                <v:textbox>
                  <w:txbxContent>
                    <w:p w14:paraId="7F15EADF" w14:textId="77777777" w:rsidR="000E3AD5" w:rsidRDefault="000E3AD5" w:rsidP="000E3AD5">
                      <w:pPr>
                        <w:rPr>
                          <w:sz w:val="12"/>
                        </w:rPr>
                      </w:pPr>
                      <w:r>
                        <w:rPr>
                          <w:sz w:val="12"/>
                        </w:rPr>
                        <w:t>AV</w:t>
                      </w:r>
                    </w:p>
                  </w:txbxContent>
                </v:textbox>
              </v:shape>
            </w:pict>
          </mc:Fallback>
        </mc:AlternateContent>
      </w:r>
      <w:r>
        <w:rPr>
          <w:rFonts w:ascii="Calibri" w:hAnsi="Calibri" w:cs="Arial"/>
          <w:noProof/>
          <w:sz w:val="22"/>
          <w:szCs w:val="22"/>
        </w:rPr>
        <mc:AlternateContent>
          <mc:Choice Requires="wps">
            <w:drawing>
              <wp:anchor distT="0" distB="0" distL="114300" distR="114300" simplePos="0" relativeHeight="251658240" behindDoc="0" locked="0" layoutInCell="1" allowOverlap="1" wp14:anchorId="68E34E3E" wp14:editId="6B8AF82F">
                <wp:simplePos x="0" y="0"/>
                <wp:positionH relativeFrom="column">
                  <wp:posOffset>966470</wp:posOffset>
                </wp:positionH>
                <wp:positionV relativeFrom="paragraph">
                  <wp:posOffset>248285</wp:posOffset>
                </wp:positionV>
                <wp:extent cx="342900" cy="300990"/>
                <wp:effectExtent l="0" t="0" r="0" b="3810"/>
                <wp:wrapNone/>
                <wp:docPr id="10" name="Text Box 10"/>
                <wp:cNvGraphicFramePr/>
                <a:graphic xmlns:a="http://schemas.openxmlformats.org/drawingml/2006/main">
                  <a:graphicData uri="http://schemas.microsoft.com/office/word/2010/wordprocessingShape">
                    <wps:wsp>
                      <wps:cNvSpPr txBox="1"/>
                      <wps:spPr>
                        <a:xfrm>
                          <a:off x="0" y="0"/>
                          <a:ext cx="342900" cy="300990"/>
                        </a:xfrm>
                        <a:prstGeom prst="rect">
                          <a:avLst/>
                        </a:prstGeom>
                        <a:solidFill>
                          <a:srgbClr val="FFFFFF"/>
                        </a:solidFill>
                        <a:ln>
                          <a:noFill/>
                          <a:prstDash/>
                        </a:ln>
                      </wps:spPr>
                      <wps:txbx>
                        <w:txbxContent>
                          <w:p w14:paraId="688EA263" w14:textId="77777777" w:rsidR="000E3AD5" w:rsidRDefault="000E3AD5" w:rsidP="000E3AD5">
                            <w:pPr>
                              <w:rPr>
                                <w:sz w:val="12"/>
                              </w:rPr>
                            </w:pPr>
                            <w:r>
                              <w:rPr>
                                <w:sz w:val="12"/>
                              </w:rPr>
                              <w:t>AV</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68E34E3E" id="Text Box 10" o:spid="_x0000_s1029" type="#_x0000_t202" style="position:absolute;left:0;text-align:left;margin-left:76.1pt;margin-top:19.55pt;width:27pt;height: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" stroked="f">
                <v:textbox>
                  <w:txbxContent>
                    <w:p w14:paraId="688EA263" w14:textId="77777777" w:rsidR="000E3AD5" w:rsidRDefault="000E3AD5" w:rsidP="000E3AD5">
                      <w:pPr>
                        <w:rPr>
                          <w:sz w:val="12"/>
                        </w:rPr>
                      </w:pPr>
                      <w:r>
                        <w:rPr>
                          <w:sz w:val="12"/>
                        </w:rPr>
                        <w:t>AV</w:t>
                      </w:r>
                    </w:p>
                  </w:txbxContent>
                </v:textbox>
              </v:shape>
            </w:pict>
          </mc:Fallback>
        </mc:AlternateContent>
      </w:r>
      <w:r>
        <w:rPr>
          <w:rFonts w:ascii="Garamond" w:hAnsi="Garamond"/>
          <w:i/>
          <w:noProof/>
          <w:lang w:val="fr-FR" w:eastAsia="fr-FR"/>
        </w:rPr>
        <w:drawing>
          <wp:inline distT="0" distB="0" distL="0" distR="0" wp14:anchorId="155648FE" wp14:editId="6CBB3398">
            <wp:extent cx="3401695" cy="74612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1695" cy="746125"/>
                    </a:xfrm>
                    <a:prstGeom prst="rect">
                      <a:avLst/>
                    </a:prstGeom>
                    <a:noFill/>
                    <a:ln>
                      <a:noFill/>
                    </a:ln>
                  </pic:spPr>
                </pic:pic>
              </a:graphicData>
            </a:graphic>
          </wp:inline>
        </w:drawing>
      </w:r>
    </w:p>
    <w:p w14:paraId="6FBED1BA" w14:textId="77777777" w:rsidR="000E3AD5" w:rsidRPr="00417D6B" w:rsidRDefault="000E3AD5" w:rsidP="00417D6B">
      <w:pPr>
        <w:pStyle w:val="Bullet1G"/>
        <w:ind w:hanging="567"/>
        <w:rPr>
          <w:i/>
          <w:iCs/>
        </w:rPr>
      </w:pPr>
      <w:r w:rsidRPr="00417D6B">
        <w:rPr>
          <w:i/>
          <w:iCs/>
        </w:rPr>
        <w:t>La pièce justificative représente l’ensemble des configurations</w:t>
      </w:r>
    </w:p>
    <w:p w14:paraId="0680B600" w14:textId="0C7F72E5" w:rsidR="000E3AD5" w:rsidRDefault="000E3AD5" w:rsidP="000E3AD5">
      <w:pPr>
        <w:suppressAutoHyphens w:val="0"/>
        <w:spacing w:after="120" w:line="240" w:lineRule="auto"/>
        <w:ind w:right="-2"/>
        <w:jc w:val="cente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59264" behindDoc="0" locked="0" layoutInCell="1" allowOverlap="1" wp14:anchorId="733D8AD8" wp14:editId="1D096549">
                <wp:simplePos x="0" y="0"/>
                <wp:positionH relativeFrom="column">
                  <wp:posOffset>3397250</wp:posOffset>
                </wp:positionH>
                <wp:positionV relativeFrom="paragraph">
                  <wp:posOffset>269875</wp:posOffset>
                </wp:positionV>
                <wp:extent cx="342900" cy="30099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342900" cy="300990"/>
                        </a:xfrm>
                        <a:prstGeom prst="rect">
                          <a:avLst/>
                        </a:prstGeom>
                        <a:solidFill>
                          <a:srgbClr val="FFFFFF"/>
                        </a:solidFill>
                        <a:ln>
                          <a:noFill/>
                          <a:prstDash/>
                        </a:ln>
                      </wps:spPr>
                      <wps:txbx>
                        <w:txbxContent>
                          <w:p w14:paraId="55E4FD53" w14:textId="77777777" w:rsidR="000E3AD5" w:rsidRDefault="000E3AD5" w:rsidP="000E3AD5">
                            <w:pPr>
                              <w:rPr>
                                <w:sz w:val="12"/>
                              </w:rPr>
                            </w:pPr>
                            <w:r>
                              <w:rPr>
                                <w:sz w:val="12"/>
                              </w:rPr>
                              <w:t>AR</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33D8AD8" id="Text Box 8" o:spid="_x0000_s1030" type="#_x0000_t202" style="position:absolute;left:0;text-align:left;margin-left:267.5pt;margin-top:21.25pt;width:27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" stroked="f">
                <v:textbox>
                  <w:txbxContent>
                    <w:p w14:paraId="55E4FD53" w14:textId="77777777" w:rsidR="000E3AD5" w:rsidRDefault="000E3AD5" w:rsidP="000E3AD5">
                      <w:pPr>
                        <w:rPr>
                          <w:sz w:val="12"/>
                        </w:rPr>
                      </w:pPr>
                      <w:r>
                        <w:rPr>
                          <w:sz w:val="12"/>
                        </w:rPr>
                        <w:t>AR</w:t>
                      </w:r>
                    </w:p>
                  </w:txbxContent>
                </v:textbox>
              </v:shape>
            </w:pict>
          </mc:Fallback>
        </mc:AlternateContent>
      </w:r>
      <w:r>
        <w:rPr>
          <w:rFonts w:ascii="Calibri" w:hAnsi="Calibri" w:cs="Arial"/>
          <w:noProof/>
          <w:sz w:val="22"/>
          <w:szCs w:val="22"/>
        </w:rPr>
        <mc:AlternateContent>
          <mc:Choice Requires="wps">
            <w:drawing>
              <wp:anchor distT="0" distB="0" distL="114300" distR="114300" simplePos="0" relativeHeight="251660288" behindDoc="0" locked="0" layoutInCell="1" allowOverlap="1" wp14:anchorId="1B047702" wp14:editId="0655128C">
                <wp:simplePos x="0" y="0"/>
                <wp:positionH relativeFrom="column">
                  <wp:posOffset>2002790</wp:posOffset>
                </wp:positionH>
                <wp:positionV relativeFrom="paragraph">
                  <wp:posOffset>269875</wp:posOffset>
                </wp:positionV>
                <wp:extent cx="342900" cy="30099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42900" cy="300990"/>
                        </a:xfrm>
                        <a:prstGeom prst="rect">
                          <a:avLst/>
                        </a:prstGeom>
                        <a:solidFill>
                          <a:srgbClr val="FFFFFF"/>
                        </a:solidFill>
                        <a:ln>
                          <a:noFill/>
                          <a:prstDash/>
                        </a:ln>
                      </wps:spPr>
                      <wps:txbx>
                        <w:txbxContent>
                          <w:p w14:paraId="7639728A" w14:textId="77777777" w:rsidR="000E3AD5" w:rsidRDefault="000E3AD5" w:rsidP="000E3AD5">
                            <w:pPr>
                              <w:rPr>
                                <w:sz w:val="12"/>
                              </w:rPr>
                            </w:pPr>
                            <w:r>
                              <w:rPr>
                                <w:sz w:val="12"/>
                              </w:rPr>
                              <w:t>AV</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B047702" id="Text Box 9" o:spid="_x0000_s1031" type="#_x0000_t202" style="position:absolute;left:0;text-align:left;margin-left:157.7pt;margin-top:21.25pt;width:27pt;height: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" stroked="f">
                <v:textbox>
                  <w:txbxContent>
                    <w:p w14:paraId="7639728A" w14:textId="77777777" w:rsidR="000E3AD5" w:rsidRDefault="000E3AD5" w:rsidP="000E3AD5">
                      <w:pPr>
                        <w:rPr>
                          <w:sz w:val="12"/>
                        </w:rPr>
                      </w:pPr>
                      <w:r>
                        <w:rPr>
                          <w:sz w:val="12"/>
                        </w:rPr>
                        <w:t>AV</w:t>
                      </w:r>
                    </w:p>
                  </w:txbxContent>
                </v:textbox>
              </v:shape>
            </w:pict>
          </mc:Fallback>
        </mc:AlternateContent>
      </w:r>
      <w:r>
        <w:rPr>
          <w:rFonts w:ascii="Garamond" w:hAnsi="Garamond"/>
          <w:i/>
          <w:noProof/>
          <w:lang w:val="fr-FR" w:eastAsia="fr-FR"/>
        </w:rPr>
        <w:drawing>
          <wp:inline distT="0" distB="0" distL="0" distR="0" wp14:anchorId="2A3AF3C5" wp14:editId="2D421DAE">
            <wp:extent cx="1089660" cy="694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9660" cy="694690"/>
                    </a:xfrm>
                    <a:prstGeom prst="rect">
                      <a:avLst/>
                    </a:prstGeom>
                    <a:noFill/>
                    <a:ln>
                      <a:noFill/>
                    </a:ln>
                  </pic:spPr>
                </pic:pic>
              </a:graphicData>
            </a:graphic>
          </wp:inline>
        </w:drawing>
      </w:r>
    </w:p>
    <w:p w14:paraId="12D2C0FF" w14:textId="77777777" w:rsidR="000E3AD5" w:rsidRPr="00D73610" w:rsidRDefault="000E3AD5" w:rsidP="00D73610">
      <w:pPr>
        <w:pStyle w:val="SingleTxtG"/>
        <w:rPr>
          <w:i/>
          <w:iCs/>
        </w:rPr>
      </w:pPr>
      <w:r w:rsidRPr="00D73610">
        <w:rPr>
          <w:i/>
          <w:iCs/>
          <w:lang w:eastAsia="en-US"/>
        </w:rPr>
        <w:t>La numérotation des compartiments est définie à partir du compartiment avant gauche de l’engin. Dans l’exemple ci-dessus, selon cette règle, le numéro du compartiment est différent selon si la cloison longitudinale est reliée à l’avant ou à l’arrière de l’engin. La méthode de dimensionnement ne change toutefois pas.</w:t>
      </w:r>
    </w:p>
    <w:p w14:paraId="298517B8" w14:textId="77777777" w:rsidR="000E3AD5" w:rsidRPr="00D73610" w:rsidRDefault="000E3AD5" w:rsidP="00D73610">
      <w:pPr>
        <w:pStyle w:val="SingleTxtG"/>
        <w:rPr>
          <w:b/>
          <w:bCs/>
          <w:i/>
          <w:iCs/>
          <w:lang w:val="fr-FR" w:eastAsia="fr-FR"/>
        </w:rPr>
      </w:pPr>
      <w:bookmarkStart w:id="5" w:name="_Toc74639438"/>
      <w:bookmarkStart w:id="6" w:name="_Toc74571786"/>
      <w:bookmarkStart w:id="7" w:name="_Toc74571593"/>
      <w:r w:rsidRPr="00D73610">
        <w:rPr>
          <w:b/>
          <w:bCs/>
          <w:i/>
          <w:iCs/>
          <w:lang w:val="fr-FR" w:eastAsia="fr-FR"/>
        </w:rPr>
        <w:t>Cas des engins avec un groupe mono-température et un groupe multi-températures</w:t>
      </w:r>
      <w:bookmarkEnd w:id="5"/>
      <w:bookmarkEnd w:id="6"/>
      <w:bookmarkEnd w:id="7"/>
    </w:p>
    <w:p w14:paraId="71EBB65F" w14:textId="77777777" w:rsidR="000E3AD5" w:rsidRPr="00D73610" w:rsidRDefault="000E3AD5" w:rsidP="00D73610">
      <w:pPr>
        <w:pStyle w:val="SingleTxtG"/>
        <w:rPr>
          <w:i/>
          <w:iCs/>
          <w:kern w:val="3"/>
          <w:lang w:eastAsia="en-US"/>
        </w:rPr>
      </w:pPr>
      <w:r w:rsidRPr="00D73610">
        <w:rPr>
          <w:i/>
          <w:iCs/>
          <w:lang w:eastAsia="en-US"/>
        </w:rPr>
        <w:t>Il convient de fixer la hauteur et largeur du compartiment et d’adapter la longueur paramétrée dans l’outil pour que la surface résultante soit égale à la surface de l’isolation de la caisse.</w:t>
      </w:r>
    </w:p>
    <w:p w14:paraId="7AC0541E" w14:textId="77777777" w:rsidR="000E3AD5" w:rsidRPr="00D73610" w:rsidRDefault="000E3AD5" w:rsidP="00D73610">
      <w:pPr>
        <w:pStyle w:val="SingleTxtG"/>
        <w:rPr>
          <w:i/>
          <w:iCs/>
          <w:lang w:eastAsia="en-US"/>
        </w:rPr>
      </w:pPr>
      <w:r w:rsidRPr="00D73610">
        <w:rPr>
          <w:i/>
          <w:iCs/>
          <w:lang w:eastAsia="en-US"/>
        </w:rPr>
        <w:t>L’engin doit être dimensionné en deux temps. Dans le cas ci-dessous, le compartiment 1 (C1) et le compartiment 2 (C2) disposent d’un dispositif thermique multi-températures. Celui-doit donc bénéficier d’un calcul de dimensionnement avec pièce justificative à l’appui.</w:t>
      </w:r>
    </w:p>
    <w:p w14:paraId="3F67FB9C" w14:textId="77777777" w:rsidR="000E3AD5" w:rsidRPr="00D73610" w:rsidRDefault="000E3AD5" w:rsidP="00D73610">
      <w:pPr>
        <w:pStyle w:val="SingleTxtG"/>
        <w:rPr>
          <w:i/>
          <w:iCs/>
          <w:lang w:eastAsia="en-US"/>
        </w:rPr>
      </w:pPr>
      <w:r w:rsidRPr="00D73610">
        <w:rPr>
          <w:i/>
          <w:iCs/>
          <w:lang w:eastAsia="en-US"/>
        </w:rPr>
        <w:t>Le compartiment 3 (C3) disposant d’un dispositif thermique mono température doit être dissocié pour s’assurer que le volume du compartiment peut être couvert par cette même unité frigorifique.</w:t>
      </w:r>
    </w:p>
    <w:p w14:paraId="132C5B21" w14:textId="0038DEEA" w:rsidR="000E3AD5" w:rsidRDefault="000E3AD5" w:rsidP="000E3AD5">
      <w:pPr>
        <w:spacing w:after="120"/>
        <w:ind w:right="-2"/>
        <w:jc w:val="center"/>
        <w:rPr>
          <w:rFonts w:ascii="Calibri" w:hAnsi="Calibri" w:cs="Arial"/>
          <w:sz w:val="22"/>
          <w:szCs w:val="22"/>
        </w:rPr>
      </w:pPr>
      <w:r>
        <w:rPr>
          <w:i/>
          <w:noProof/>
          <w:lang w:val="fr-FR" w:eastAsia="fr-FR"/>
        </w:rPr>
        <w:drawing>
          <wp:inline distT="0" distB="0" distL="0" distR="0" wp14:anchorId="32A68896" wp14:editId="7C6D17D9">
            <wp:extent cx="5749925" cy="180657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49925" cy="1806575"/>
                    </a:xfrm>
                    <a:prstGeom prst="rect">
                      <a:avLst/>
                    </a:prstGeom>
                    <a:noFill/>
                    <a:ln>
                      <a:noFill/>
                    </a:ln>
                  </pic:spPr>
                </pic:pic>
              </a:graphicData>
            </a:graphic>
          </wp:inline>
        </w:drawing>
      </w:r>
    </w:p>
    <w:p w14:paraId="27B0B118" w14:textId="77777777" w:rsidR="000E3AD5" w:rsidRPr="00D73610" w:rsidRDefault="000E3AD5" w:rsidP="00D73610">
      <w:pPr>
        <w:pStyle w:val="SingleTxtG"/>
        <w:rPr>
          <w:i/>
          <w:iCs/>
          <w:lang w:eastAsia="en-US"/>
        </w:rPr>
      </w:pPr>
      <w:r w:rsidRPr="00D73610">
        <w:rPr>
          <w:i/>
          <w:iCs/>
          <w:lang w:eastAsia="en-US"/>
        </w:rPr>
        <w:t>La surface résultante est ramenée à celle de la surface d’un parallélépipède équivalente.</w:t>
      </w:r>
    </w:p>
    <w:p w14:paraId="6748A0CC" w14:textId="77777777" w:rsidR="000E3AD5" w:rsidRPr="00D73610" w:rsidRDefault="000E3AD5" w:rsidP="00D73610">
      <w:pPr>
        <w:pStyle w:val="SingleTxtG"/>
        <w:rPr>
          <w:b/>
          <w:i/>
          <w:iCs/>
          <w:lang w:val="fr-FR"/>
        </w:rPr>
      </w:pPr>
      <w:r w:rsidRPr="00D73610">
        <w:rPr>
          <w:b/>
          <w:i/>
          <w:iCs/>
          <w:lang w:val="fr-FR"/>
        </w:rPr>
        <w:t>Cas d’un engin avec isolation intégrée (formes de l’isolant non parallélépipédiques), ou cas d’un engin avec caisson intégré</w:t>
      </w:r>
    </w:p>
    <w:p w14:paraId="684DA93E" w14:textId="77777777" w:rsidR="000E3AD5" w:rsidRPr="00D73610" w:rsidRDefault="000E3AD5" w:rsidP="00D73610">
      <w:pPr>
        <w:pStyle w:val="SingleTxtG"/>
        <w:rPr>
          <w:i/>
          <w:iCs/>
        </w:rPr>
      </w:pPr>
      <w:r w:rsidRPr="00D73610">
        <w:rPr>
          <w:i/>
          <w:iCs/>
          <w:lang w:val="fr-FR"/>
        </w:rPr>
        <w:t>Il convient de fixer la largeur et d’adapter la hauteur et la longueur paramétrées dans l’outil pour que la surface résultante soit égale à la surface de l’isolation de la caisse.</w:t>
      </w:r>
    </w:p>
    <w:p w14:paraId="0662A863" w14:textId="082EF16D" w:rsidR="000E3AD5" w:rsidRDefault="000E3AD5" w:rsidP="000E3AD5">
      <w:pPr>
        <w:spacing w:before="120" w:after="120" w:line="240" w:lineRule="auto"/>
        <w:ind w:right="-2"/>
        <w:rPr>
          <w:rFonts w:ascii="Calibri" w:hAnsi="Calibri" w:cs="Arial"/>
          <w:sz w:val="22"/>
          <w:szCs w:val="22"/>
        </w:rPr>
      </w:pPr>
      <w:r>
        <w:rPr>
          <w:i/>
          <w:noProof/>
          <w:lang w:val="fr-FR" w:eastAsia="fr-FR"/>
        </w:rPr>
        <w:lastRenderedPageBreak/>
        <w:drawing>
          <wp:inline distT="0" distB="0" distL="0" distR="0" wp14:anchorId="39D2A8ED" wp14:editId="5D8D136C">
            <wp:extent cx="5969000" cy="2647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9000" cy="2647950"/>
                    </a:xfrm>
                    <a:prstGeom prst="rect">
                      <a:avLst/>
                    </a:prstGeom>
                    <a:noFill/>
                    <a:ln>
                      <a:noFill/>
                    </a:ln>
                  </pic:spPr>
                </pic:pic>
              </a:graphicData>
            </a:graphic>
          </wp:inline>
        </w:drawing>
      </w:r>
    </w:p>
    <w:p w14:paraId="11E290EB" w14:textId="77777777" w:rsidR="000E3AD5" w:rsidRDefault="000E3AD5" w:rsidP="000E3AD5">
      <w:pPr>
        <w:spacing w:before="120" w:after="120" w:line="240" w:lineRule="auto"/>
        <w:ind w:right="-2"/>
        <w:jc w:val="both"/>
        <w:rPr>
          <w:rFonts w:ascii="Garamond" w:hAnsi="Garamond" w:cs="Garamond"/>
          <w:i/>
          <w:lang w:val="fr-FR"/>
        </w:rPr>
      </w:pPr>
    </w:p>
    <w:p w14:paraId="5A7B465C" w14:textId="77777777" w:rsidR="000E3AD5" w:rsidRPr="007A073C" w:rsidRDefault="000E3AD5" w:rsidP="007A073C">
      <w:pPr>
        <w:pStyle w:val="SingleTxtG"/>
        <w:rPr>
          <w:i/>
          <w:iCs/>
          <w:lang w:val="fr-FR"/>
        </w:rPr>
      </w:pPr>
      <w:r w:rsidRPr="007A073C">
        <w:rPr>
          <w:i/>
          <w:iCs/>
          <w:lang w:val="fr-FR"/>
        </w:rPr>
        <w:t>La surface résultante est ramenée à celle de la surface d’un parallélépipède équivalente.</w:t>
      </w:r>
    </w:p>
    <w:p w14:paraId="330B9F5F" w14:textId="77777777" w:rsidR="000E3AD5" w:rsidRPr="007A073C" w:rsidRDefault="000E3AD5" w:rsidP="007A073C">
      <w:pPr>
        <w:pStyle w:val="SingleTxtG"/>
        <w:rPr>
          <w:b/>
          <w:i/>
          <w:iCs/>
          <w:lang w:val="fr-FR" w:eastAsia="fr-FR"/>
        </w:rPr>
      </w:pPr>
      <w:bookmarkStart w:id="8" w:name="_Toc74639440"/>
      <w:bookmarkStart w:id="9" w:name="_Toc74571788"/>
      <w:bookmarkStart w:id="10" w:name="_Toc74571595"/>
      <w:r w:rsidRPr="007A073C">
        <w:rPr>
          <w:b/>
          <w:i/>
          <w:iCs/>
          <w:lang w:val="fr-FR" w:eastAsia="fr-FR"/>
        </w:rPr>
        <w:t xml:space="preserve">Cas des engins non autonomes </w:t>
      </w:r>
      <w:bookmarkEnd w:id="8"/>
      <w:bookmarkEnd w:id="9"/>
      <w:bookmarkEnd w:id="10"/>
    </w:p>
    <w:p w14:paraId="5FEDC245" w14:textId="77777777" w:rsidR="000E3AD5" w:rsidRPr="007A073C" w:rsidRDefault="000E3AD5" w:rsidP="007A073C">
      <w:pPr>
        <w:pStyle w:val="SingleTxtG"/>
        <w:rPr>
          <w:i/>
          <w:iCs/>
          <w:kern w:val="3"/>
          <w:lang w:eastAsia="en-US"/>
        </w:rPr>
      </w:pPr>
      <w:r w:rsidRPr="007A073C">
        <w:rPr>
          <w:i/>
          <w:iCs/>
          <w:lang w:eastAsia="en-US"/>
        </w:rPr>
        <w:t>Dans le cas d’un engin non autonome, il convient d’utiliser la même méthode de dimensionnement que pour un engin autonome.</w:t>
      </w:r>
    </w:p>
    <w:p w14:paraId="3F42CB33" w14:textId="77777777" w:rsidR="000E3AD5" w:rsidRPr="007A073C" w:rsidRDefault="000E3AD5" w:rsidP="007A073C">
      <w:pPr>
        <w:pStyle w:val="SingleTxtG"/>
        <w:rPr>
          <w:i/>
          <w:iCs/>
          <w:lang w:eastAsia="en-US"/>
        </w:rPr>
      </w:pPr>
      <w:r w:rsidRPr="007A073C">
        <w:rPr>
          <w:i/>
          <w:iCs/>
          <w:lang w:eastAsia="en-US"/>
        </w:rPr>
        <w:t>La classe sans l’extension X (ex :FRC) affichée sur la déclaration de conformité sera différente de classe affichée (ex :FRCX) sur l’attestation, mais cet écart ne remet pas en question le dimensionnement de l’engin.</w:t>
      </w:r>
    </w:p>
    <w:p w14:paraId="6CFE4BE7" w14:textId="77777777" w:rsidR="000E3AD5" w:rsidRPr="007A073C" w:rsidRDefault="000E3AD5" w:rsidP="007A073C">
      <w:pPr>
        <w:pStyle w:val="SingleTxtG"/>
        <w:rPr>
          <w:b/>
          <w:i/>
          <w:iCs/>
          <w:lang w:val="fr-FR" w:eastAsia="fr-FR"/>
        </w:rPr>
      </w:pPr>
      <w:bookmarkStart w:id="11" w:name="_Toc74639442"/>
      <w:bookmarkStart w:id="12" w:name="_Toc74571790"/>
      <w:bookmarkStart w:id="13" w:name="_Toc74571597"/>
      <w:r w:rsidRPr="007A073C">
        <w:rPr>
          <w:b/>
          <w:i/>
          <w:iCs/>
          <w:lang w:val="fr-FR" w:eastAsia="fr-FR"/>
        </w:rPr>
        <w:t>Cas des engins mono température multi-compartiments équipés de cloisons fixes non relevables (ex. FRC-IR, FRC-IR-IR)</w:t>
      </w:r>
      <w:bookmarkEnd w:id="11"/>
      <w:bookmarkEnd w:id="12"/>
      <w:bookmarkEnd w:id="13"/>
    </w:p>
    <w:p w14:paraId="72B2D986" w14:textId="77777777" w:rsidR="000E3AD5" w:rsidRPr="007A073C" w:rsidRDefault="000E3AD5" w:rsidP="007A073C">
      <w:pPr>
        <w:pStyle w:val="SingleTxtG"/>
        <w:rPr>
          <w:i/>
          <w:iCs/>
          <w:kern w:val="3"/>
          <w:lang w:val="fr-FR" w:eastAsia="en-US"/>
        </w:rPr>
      </w:pPr>
      <w:r w:rsidRPr="007A073C">
        <w:rPr>
          <w:i/>
          <w:iCs/>
          <w:lang w:val="fr-FR" w:eastAsia="en-US"/>
        </w:rPr>
        <w:t>Il convient de dimensionner le groupe uniquement à la surface intérieure et à l’isothermie du compartiment sous température dirigée dans lequel l’évaporateur est monté. Le coefficient d’isothermie du compartiment est dans ce cas constitué de l’isothermie des panneaux et de la cloison qui délimitent le compartiment.</w:t>
      </w:r>
    </w:p>
    <w:p w14:paraId="524FD1C1" w14:textId="77777777" w:rsidR="000E3AD5" w:rsidRPr="007A073C" w:rsidRDefault="000E3AD5" w:rsidP="007A073C">
      <w:pPr>
        <w:pStyle w:val="SingleTxtG"/>
        <w:rPr>
          <w:i/>
          <w:iCs/>
          <w:lang w:val="fr-FR" w:eastAsia="en-US"/>
        </w:rPr>
      </w:pPr>
      <w:r w:rsidRPr="007A073C">
        <w:rPr>
          <w:i/>
          <w:iCs/>
          <w:lang w:val="fr-FR" w:eastAsia="en-US"/>
        </w:rPr>
        <w:t>Nota : non applicable dans le cas où un groupe multi-températures ne serait utilisé qu’avec un seul évaporateur.</w:t>
      </w:r>
    </w:p>
    <w:p w14:paraId="2B4EB866" w14:textId="1203A90A" w:rsidR="000E3AD5" w:rsidRDefault="007A073C" w:rsidP="007A073C">
      <w:pPr>
        <w:pStyle w:val="HChG"/>
        <w:rPr>
          <w:lang w:val="fr-FR" w:eastAsia="fr-FR"/>
        </w:rPr>
      </w:pPr>
      <w:r>
        <w:rPr>
          <w:lang w:val="fr-FR" w:eastAsia="fr-FR"/>
        </w:rPr>
        <w:tab/>
      </w:r>
      <w:r w:rsidR="00134496">
        <w:rPr>
          <w:lang w:val="fr-FR" w:eastAsia="fr-FR"/>
        </w:rPr>
        <w:t>II.</w:t>
      </w:r>
      <w:r>
        <w:rPr>
          <w:lang w:val="fr-FR" w:eastAsia="fr-FR"/>
        </w:rPr>
        <w:tab/>
      </w:r>
      <w:r w:rsidR="000E3AD5">
        <w:rPr>
          <w:lang w:val="fr-FR" w:eastAsia="fr-FR"/>
        </w:rPr>
        <w:t>Incidences</w:t>
      </w:r>
    </w:p>
    <w:p w14:paraId="526D91A7" w14:textId="59890190" w:rsidR="008319D2" w:rsidRPr="008319D2" w:rsidRDefault="007A073C" w:rsidP="007A073C">
      <w:pPr>
        <w:pStyle w:val="SingleTxtG"/>
        <w:rPr>
          <w:lang w:val="fr-FR"/>
        </w:rPr>
      </w:pPr>
      <w:r>
        <w:t>5.</w:t>
      </w:r>
      <w:r>
        <w:tab/>
      </w:r>
      <w:r w:rsidR="000E3AD5">
        <w:t>Cette modification précise les méthodes de dimensionnement des engins multi-températures.</w:t>
      </w:r>
    </w:p>
    <w:p w14:paraId="76A7FD48" w14:textId="4E5E6D2E" w:rsidR="001D7A3E" w:rsidRPr="00DC3AE9" w:rsidRDefault="00DC3AE9" w:rsidP="00DC3AE9">
      <w:pPr>
        <w:spacing w:before="240"/>
        <w:jc w:val="center"/>
        <w:rPr>
          <w:u w:val="single"/>
          <w:lang w:val="fr-FR"/>
        </w:rPr>
      </w:pPr>
      <w:r>
        <w:rPr>
          <w:u w:val="single"/>
          <w:lang w:val="fr-FR"/>
        </w:rPr>
        <w:tab/>
      </w:r>
      <w:r>
        <w:rPr>
          <w:u w:val="single"/>
          <w:lang w:val="fr-FR"/>
        </w:rPr>
        <w:tab/>
      </w:r>
      <w:r>
        <w:rPr>
          <w:u w:val="single"/>
          <w:lang w:val="fr-FR"/>
        </w:rPr>
        <w:tab/>
      </w:r>
    </w:p>
    <w:sectPr w:rsidR="001D7A3E" w:rsidRPr="00DC3AE9" w:rsidSect="002009EC">
      <w:headerReference w:type="even" r:id="rId15"/>
      <w:headerReference w:type="default" r:id="rId16"/>
      <w:footerReference w:type="even" r:id="rId17"/>
      <w:footerReference w:type="default" r:id="rId18"/>
      <w:footerReference w:type="first" r:id="rId1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23F64" w14:textId="77777777" w:rsidR="004925CA" w:rsidRDefault="004925CA" w:rsidP="00F95C08">
      <w:pPr>
        <w:spacing w:line="240" w:lineRule="auto"/>
      </w:pPr>
    </w:p>
  </w:endnote>
  <w:endnote w:type="continuationSeparator" w:id="0">
    <w:p w14:paraId="4CD932EB" w14:textId="77777777" w:rsidR="004925CA" w:rsidRPr="00AC3823" w:rsidRDefault="004925CA" w:rsidP="00AC3823">
      <w:pPr>
        <w:pStyle w:val="Pieddepage"/>
      </w:pPr>
    </w:p>
  </w:endnote>
  <w:endnote w:type="continuationNotice" w:id="1">
    <w:p w14:paraId="1C2FFC0B" w14:textId="77777777" w:rsidR="004925CA" w:rsidRDefault="004925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48FFC" w14:textId="77777777" w:rsidR="002009EC" w:rsidRPr="002009EC" w:rsidRDefault="002009EC" w:rsidP="002009EC">
    <w:pPr>
      <w:pStyle w:val="Pieddepage"/>
      <w:tabs>
        <w:tab w:val="right" w:pos="9638"/>
      </w:tabs>
      <w:rPr>
        <w:sz w:val="18"/>
      </w:rPr>
    </w:pPr>
    <w:r w:rsidRPr="002009EC">
      <w:rPr>
        <w:b/>
        <w:sz w:val="18"/>
      </w:rPr>
      <w:fldChar w:fldCharType="begin"/>
    </w:r>
    <w:r w:rsidRPr="002009EC">
      <w:rPr>
        <w:b/>
        <w:sz w:val="18"/>
      </w:rPr>
      <w:instrText xml:space="preserve"> PAGE  \* MERGEFORMAT </w:instrText>
    </w:r>
    <w:r w:rsidRPr="002009EC">
      <w:rPr>
        <w:b/>
        <w:sz w:val="18"/>
      </w:rPr>
      <w:fldChar w:fldCharType="separate"/>
    </w:r>
    <w:r w:rsidRPr="002009EC">
      <w:rPr>
        <w:b/>
        <w:noProof/>
        <w:sz w:val="18"/>
      </w:rPr>
      <w:t>2</w:t>
    </w:r>
    <w:r w:rsidRPr="002009E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D68D3" w14:textId="77777777" w:rsidR="002009EC" w:rsidRPr="002009EC" w:rsidRDefault="002009EC" w:rsidP="002009EC">
    <w:pPr>
      <w:pStyle w:val="Pieddepage"/>
      <w:tabs>
        <w:tab w:val="right" w:pos="9638"/>
      </w:tabs>
      <w:rPr>
        <w:b/>
        <w:sz w:val="18"/>
      </w:rPr>
    </w:pPr>
    <w:r>
      <w:tab/>
    </w:r>
    <w:r w:rsidRPr="002009EC">
      <w:rPr>
        <w:b/>
        <w:sz w:val="18"/>
      </w:rPr>
      <w:fldChar w:fldCharType="begin"/>
    </w:r>
    <w:r w:rsidRPr="002009EC">
      <w:rPr>
        <w:b/>
        <w:sz w:val="18"/>
      </w:rPr>
      <w:instrText xml:space="preserve"> PAGE  \* MERGEFORMAT </w:instrText>
    </w:r>
    <w:r w:rsidRPr="002009EC">
      <w:rPr>
        <w:b/>
        <w:sz w:val="18"/>
      </w:rPr>
      <w:fldChar w:fldCharType="separate"/>
    </w:r>
    <w:r w:rsidRPr="002009EC">
      <w:rPr>
        <w:b/>
        <w:noProof/>
        <w:sz w:val="18"/>
      </w:rPr>
      <w:t>3</w:t>
    </w:r>
    <w:r w:rsidRPr="002009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ACAFC" w14:textId="03E3A7E8" w:rsidR="000D3EE9" w:rsidRPr="009D1159" w:rsidRDefault="009D1159" w:rsidP="009D1159">
    <w:pPr>
      <w:pStyle w:val="Pieddepage"/>
      <w:tabs>
        <w:tab w:val="left" w:pos="6520"/>
        <w:tab w:val="right" w:pos="9638"/>
      </w:tabs>
      <w:spacing w:before="120"/>
      <w:rPr>
        <w:sz w:val="20"/>
      </w:rPr>
    </w:pPr>
    <w:r>
      <w:rPr>
        <w:sz w:val="20"/>
      </w:rPr>
      <w:t>GE.21-10965  (F)</w:t>
    </w:r>
    <w:bookmarkStart w:id="14" w:name="_GoBack"/>
    <w:bookmarkEnd w:id="14"/>
    <w:r>
      <w:rPr>
        <w:sz w:val="20"/>
      </w:rPr>
      <w:tab/>
    </w:r>
    <w:r w:rsidRPr="009D1159">
      <w:rPr>
        <w:noProof/>
        <w:sz w:val="20"/>
        <w:lang w:eastAsia="fr-CH"/>
      </w:rPr>
      <w:drawing>
        <wp:inline distT="0" distB="0" distL="0" distR="0" wp14:anchorId="2D195DB1" wp14:editId="412C1C1A">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76FBA605" wp14:editId="12E08AA2">
          <wp:extent cx="633730" cy="63373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730" cy="6337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4D28A" w14:textId="77777777" w:rsidR="004925CA" w:rsidRPr="00AC3823" w:rsidRDefault="004925CA" w:rsidP="00AC3823">
      <w:pPr>
        <w:pStyle w:val="Pieddepage"/>
        <w:tabs>
          <w:tab w:val="right" w:pos="2155"/>
        </w:tabs>
        <w:spacing w:after="80" w:line="240" w:lineRule="atLeast"/>
        <w:ind w:left="680"/>
        <w:rPr>
          <w:u w:val="single"/>
        </w:rPr>
      </w:pPr>
      <w:r>
        <w:rPr>
          <w:u w:val="single"/>
        </w:rPr>
        <w:tab/>
      </w:r>
    </w:p>
  </w:footnote>
  <w:footnote w:type="continuationSeparator" w:id="0">
    <w:p w14:paraId="19D6250C" w14:textId="77777777" w:rsidR="004925CA" w:rsidRPr="00AC3823" w:rsidRDefault="004925CA" w:rsidP="00AC3823">
      <w:pPr>
        <w:pStyle w:val="Pieddepage"/>
        <w:tabs>
          <w:tab w:val="right" w:pos="2155"/>
        </w:tabs>
        <w:spacing w:after="80" w:line="240" w:lineRule="atLeast"/>
        <w:ind w:left="680"/>
        <w:rPr>
          <w:u w:val="single"/>
        </w:rPr>
      </w:pPr>
      <w:r>
        <w:rPr>
          <w:u w:val="single"/>
        </w:rPr>
        <w:tab/>
      </w:r>
    </w:p>
  </w:footnote>
  <w:footnote w:type="continuationNotice" w:id="1">
    <w:p w14:paraId="149C6975" w14:textId="77777777" w:rsidR="004925CA" w:rsidRPr="00AC3823" w:rsidRDefault="004925C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B239E" w14:textId="4CD90263" w:rsidR="002009EC" w:rsidRPr="002009EC" w:rsidRDefault="002009EC">
    <w:pPr>
      <w:pStyle w:val="En-tte"/>
    </w:pPr>
    <w:r>
      <w:t>ECE/TRANS/WP.11/2021/</w:t>
    </w:r>
    <w:r w:rsidR="00E67769">
      <w:t>1</w:t>
    </w:r>
    <w:r w:rsidR="007A073C">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028F" w14:textId="312EDE48" w:rsidR="002009EC" w:rsidRPr="002009EC" w:rsidRDefault="002009EC" w:rsidP="002009EC">
    <w:pPr>
      <w:pStyle w:val="En-tte"/>
      <w:jc w:val="right"/>
    </w:pPr>
    <w:r>
      <w:t>ECE/TRANS/WP.11/2021/</w:t>
    </w:r>
    <w:r w:rsidR="007A073C">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64B38"/>
    <w:multiLevelType w:val="multilevel"/>
    <w:tmpl w:val="D2B628BC"/>
    <w:lvl w:ilvl="0">
      <w:numFmt w:val="bullet"/>
      <w:lvlText w:val="-"/>
      <w:lvlJc w:val="left"/>
      <w:pPr>
        <w:ind w:left="720" w:hanging="360"/>
      </w:pPr>
      <w:rPr>
        <w:rFonts w:ascii="Garamond" w:eastAsia="Times New Roman" w:hAnsi="Garamond"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FD142B1"/>
    <w:multiLevelType w:val="multilevel"/>
    <w:tmpl w:val="72883CD6"/>
    <w:lvl w:ilvl="0">
      <w:numFmt w:val="bullet"/>
      <w:lvlText w:val="•"/>
      <w:lvlJc w:val="left"/>
      <w:pPr>
        <w:ind w:left="1854" w:hanging="360"/>
      </w:pPr>
      <w:rPr>
        <w:rFonts w:ascii="OpenSymbol" w:eastAsia="OpenSymbol" w:hAnsi="OpenSymbol" w:cs="OpenSymbol"/>
      </w:rPr>
    </w:lvl>
    <w:lvl w:ilvl="1">
      <w:numFmt w:val="bullet"/>
      <w:lvlText w:val="◦"/>
      <w:lvlJc w:val="left"/>
      <w:pPr>
        <w:ind w:left="2214" w:hanging="360"/>
      </w:pPr>
      <w:rPr>
        <w:rFonts w:ascii="OpenSymbol" w:eastAsia="OpenSymbol" w:hAnsi="OpenSymbol" w:cs="OpenSymbol"/>
      </w:rPr>
    </w:lvl>
    <w:lvl w:ilvl="2">
      <w:numFmt w:val="bullet"/>
      <w:lvlText w:val="▪"/>
      <w:lvlJc w:val="left"/>
      <w:pPr>
        <w:ind w:left="2574" w:hanging="360"/>
      </w:pPr>
      <w:rPr>
        <w:rFonts w:ascii="OpenSymbol" w:eastAsia="OpenSymbol" w:hAnsi="OpenSymbol" w:cs="OpenSymbol"/>
      </w:rPr>
    </w:lvl>
    <w:lvl w:ilvl="3">
      <w:numFmt w:val="bullet"/>
      <w:lvlText w:val="•"/>
      <w:lvlJc w:val="left"/>
      <w:pPr>
        <w:ind w:left="2934" w:hanging="360"/>
      </w:pPr>
      <w:rPr>
        <w:rFonts w:ascii="OpenSymbol" w:eastAsia="OpenSymbol" w:hAnsi="OpenSymbol" w:cs="OpenSymbol"/>
      </w:rPr>
    </w:lvl>
    <w:lvl w:ilvl="4">
      <w:numFmt w:val="bullet"/>
      <w:lvlText w:val="◦"/>
      <w:lvlJc w:val="left"/>
      <w:pPr>
        <w:ind w:left="3294" w:hanging="360"/>
      </w:pPr>
      <w:rPr>
        <w:rFonts w:ascii="OpenSymbol" w:eastAsia="OpenSymbol" w:hAnsi="OpenSymbol" w:cs="OpenSymbol"/>
      </w:rPr>
    </w:lvl>
    <w:lvl w:ilvl="5">
      <w:numFmt w:val="bullet"/>
      <w:lvlText w:val="▪"/>
      <w:lvlJc w:val="left"/>
      <w:pPr>
        <w:ind w:left="3654" w:hanging="360"/>
      </w:pPr>
      <w:rPr>
        <w:rFonts w:ascii="OpenSymbol" w:eastAsia="OpenSymbol" w:hAnsi="OpenSymbol" w:cs="OpenSymbol"/>
      </w:rPr>
    </w:lvl>
    <w:lvl w:ilvl="6">
      <w:numFmt w:val="bullet"/>
      <w:lvlText w:val="•"/>
      <w:lvlJc w:val="left"/>
      <w:pPr>
        <w:ind w:left="4014" w:hanging="360"/>
      </w:pPr>
      <w:rPr>
        <w:rFonts w:ascii="OpenSymbol" w:eastAsia="OpenSymbol" w:hAnsi="OpenSymbol" w:cs="OpenSymbol"/>
      </w:rPr>
    </w:lvl>
    <w:lvl w:ilvl="7">
      <w:numFmt w:val="bullet"/>
      <w:lvlText w:val="◦"/>
      <w:lvlJc w:val="left"/>
      <w:pPr>
        <w:ind w:left="4374" w:hanging="360"/>
      </w:pPr>
      <w:rPr>
        <w:rFonts w:ascii="OpenSymbol" w:eastAsia="OpenSymbol" w:hAnsi="OpenSymbol" w:cs="OpenSymbol"/>
      </w:rPr>
    </w:lvl>
    <w:lvl w:ilvl="8">
      <w:numFmt w:val="bullet"/>
      <w:lvlText w:val="▪"/>
      <w:lvlJc w:val="left"/>
      <w:pPr>
        <w:ind w:left="4734" w:hanging="360"/>
      </w:pPr>
      <w:rPr>
        <w:rFonts w:ascii="OpenSymbol" w:eastAsia="OpenSymbol" w:hAnsi="OpenSymbol" w:cs="OpenSymbol"/>
      </w:rPr>
    </w:lvl>
  </w:abstractNum>
  <w:abstractNum w:abstractNumId="13" w15:restartNumberingAfterBreak="0">
    <w:nsid w:val="231C332D"/>
    <w:multiLevelType w:val="multilevel"/>
    <w:tmpl w:val="0FEC1992"/>
    <w:lvl w:ilvl="0">
      <w:numFmt w:val="bullet"/>
      <w:lvlText w:val="•"/>
      <w:lvlJc w:val="left"/>
      <w:pPr>
        <w:ind w:left="1854" w:hanging="360"/>
      </w:pPr>
      <w:rPr>
        <w:rFonts w:ascii="OpenSymbol" w:eastAsia="OpenSymbol" w:hAnsi="OpenSymbol" w:cs="OpenSymbol"/>
      </w:rPr>
    </w:lvl>
    <w:lvl w:ilvl="1">
      <w:numFmt w:val="bullet"/>
      <w:lvlText w:val="◦"/>
      <w:lvlJc w:val="left"/>
      <w:pPr>
        <w:ind w:left="2214" w:hanging="360"/>
      </w:pPr>
      <w:rPr>
        <w:rFonts w:ascii="OpenSymbol" w:eastAsia="OpenSymbol" w:hAnsi="OpenSymbol" w:cs="OpenSymbol"/>
      </w:rPr>
    </w:lvl>
    <w:lvl w:ilvl="2">
      <w:numFmt w:val="bullet"/>
      <w:lvlText w:val="▪"/>
      <w:lvlJc w:val="left"/>
      <w:pPr>
        <w:ind w:left="2574" w:hanging="360"/>
      </w:pPr>
      <w:rPr>
        <w:rFonts w:ascii="OpenSymbol" w:eastAsia="OpenSymbol" w:hAnsi="OpenSymbol" w:cs="OpenSymbol"/>
      </w:rPr>
    </w:lvl>
    <w:lvl w:ilvl="3">
      <w:numFmt w:val="bullet"/>
      <w:lvlText w:val="•"/>
      <w:lvlJc w:val="left"/>
      <w:pPr>
        <w:ind w:left="2934" w:hanging="360"/>
      </w:pPr>
      <w:rPr>
        <w:rFonts w:ascii="OpenSymbol" w:eastAsia="OpenSymbol" w:hAnsi="OpenSymbol" w:cs="OpenSymbol"/>
      </w:rPr>
    </w:lvl>
    <w:lvl w:ilvl="4">
      <w:numFmt w:val="bullet"/>
      <w:lvlText w:val="◦"/>
      <w:lvlJc w:val="left"/>
      <w:pPr>
        <w:ind w:left="3294" w:hanging="360"/>
      </w:pPr>
      <w:rPr>
        <w:rFonts w:ascii="OpenSymbol" w:eastAsia="OpenSymbol" w:hAnsi="OpenSymbol" w:cs="OpenSymbol"/>
      </w:rPr>
    </w:lvl>
    <w:lvl w:ilvl="5">
      <w:numFmt w:val="bullet"/>
      <w:lvlText w:val="▪"/>
      <w:lvlJc w:val="left"/>
      <w:pPr>
        <w:ind w:left="3654" w:hanging="360"/>
      </w:pPr>
      <w:rPr>
        <w:rFonts w:ascii="OpenSymbol" w:eastAsia="OpenSymbol" w:hAnsi="OpenSymbol" w:cs="OpenSymbol"/>
      </w:rPr>
    </w:lvl>
    <w:lvl w:ilvl="6">
      <w:numFmt w:val="bullet"/>
      <w:lvlText w:val="•"/>
      <w:lvlJc w:val="left"/>
      <w:pPr>
        <w:ind w:left="4014" w:hanging="360"/>
      </w:pPr>
      <w:rPr>
        <w:rFonts w:ascii="OpenSymbol" w:eastAsia="OpenSymbol" w:hAnsi="OpenSymbol" w:cs="OpenSymbol"/>
      </w:rPr>
    </w:lvl>
    <w:lvl w:ilvl="7">
      <w:numFmt w:val="bullet"/>
      <w:lvlText w:val="◦"/>
      <w:lvlJc w:val="left"/>
      <w:pPr>
        <w:ind w:left="4374" w:hanging="360"/>
      </w:pPr>
      <w:rPr>
        <w:rFonts w:ascii="OpenSymbol" w:eastAsia="OpenSymbol" w:hAnsi="OpenSymbol" w:cs="OpenSymbol"/>
      </w:rPr>
    </w:lvl>
    <w:lvl w:ilvl="8">
      <w:numFmt w:val="bullet"/>
      <w:lvlText w:val="▪"/>
      <w:lvlJc w:val="left"/>
      <w:pPr>
        <w:ind w:left="4734" w:hanging="360"/>
      </w:pPr>
      <w:rPr>
        <w:rFonts w:ascii="OpenSymbol" w:eastAsia="OpenSymbol" w:hAnsi="OpenSymbol" w:cs="OpenSymbol"/>
      </w:rPr>
    </w:lvl>
  </w:abstractNum>
  <w:abstractNum w:abstractNumId="14" w15:restartNumberingAfterBreak="0">
    <w:nsid w:val="25D214D2"/>
    <w:multiLevelType w:val="hybridMultilevel"/>
    <w:tmpl w:val="30ACA1F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2A151AC6"/>
    <w:multiLevelType w:val="multilevel"/>
    <w:tmpl w:val="AA5C06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C96FE0"/>
    <w:multiLevelType w:val="multilevel"/>
    <w:tmpl w:val="5FBC40B2"/>
    <w:styleLink w:val="WWNum17"/>
    <w:lvl w:ilvl="0">
      <w:start w:val="1"/>
      <w:numFmt w:val="decimal"/>
      <w:lvlText w:val="%1."/>
      <w:lvlJc w:val="left"/>
      <w:pPr>
        <w:ind w:left="1689" w:hanging="555"/>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7" w15:restartNumberingAfterBreak="0">
    <w:nsid w:val="2FE5184E"/>
    <w:multiLevelType w:val="multilevel"/>
    <w:tmpl w:val="2B98ADE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D5B1B8B"/>
    <w:multiLevelType w:val="multilevel"/>
    <w:tmpl w:val="C8249A98"/>
    <w:lvl w:ilvl="0">
      <w:numFmt w:val="bullet"/>
      <w:lvlText w:val="•"/>
      <w:lvlJc w:val="left"/>
      <w:pPr>
        <w:ind w:left="1854" w:hanging="360"/>
      </w:pPr>
      <w:rPr>
        <w:rFonts w:ascii="OpenSymbol" w:eastAsia="OpenSymbol" w:hAnsi="OpenSymbol" w:cs="OpenSymbol"/>
      </w:rPr>
    </w:lvl>
    <w:lvl w:ilvl="1">
      <w:numFmt w:val="bullet"/>
      <w:lvlText w:val="◦"/>
      <w:lvlJc w:val="left"/>
      <w:pPr>
        <w:ind w:left="2214" w:hanging="360"/>
      </w:pPr>
      <w:rPr>
        <w:rFonts w:ascii="OpenSymbol" w:eastAsia="OpenSymbol" w:hAnsi="OpenSymbol" w:cs="OpenSymbol"/>
      </w:rPr>
    </w:lvl>
    <w:lvl w:ilvl="2">
      <w:numFmt w:val="bullet"/>
      <w:lvlText w:val="▪"/>
      <w:lvlJc w:val="left"/>
      <w:pPr>
        <w:ind w:left="2574" w:hanging="360"/>
      </w:pPr>
      <w:rPr>
        <w:rFonts w:ascii="OpenSymbol" w:eastAsia="OpenSymbol" w:hAnsi="OpenSymbol" w:cs="OpenSymbol"/>
      </w:rPr>
    </w:lvl>
    <w:lvl w:ilvl="3">
      <w:numFmt w:val="bullet"/>
      <w:lvlText w:val="•"/>
      <w:lvlJc w:val="left"/>
      <w:pPr>
        <w:ind w:left="2934" w:hanging="360"/>
      </w:pPr>
      <w:rPr>
        <w:rFonts w:ascii="OpenSymbol" w:eastAsia="OpenSymbol" w:hAnsi="OpenSymbol" w:cs="OpenSymbol"/>
      </w:rPr>
    </w:lvl>
    <w:lvl w:ilvl="4">
      <w:numFmt w:val="bullet"/>
      <w:lvlText w:val="◦"/>
      <w:lvlJc w:val="left"/>
      <w:pPr>
        <w:ind w:left="3294" w:hanging="360"/>
      </w:pPr>
      <w:rPr>
        <w:rFonts w:ascii="OpenSymbol" w:eastAsia="OpenSymbol" w:hAnsi="OpenSymbol" w:cs="OpenSymbol"/>
      </w:rPr>
    </w:lvl>
    <w:lvl w:ilvl="5">
      <w:numFmt w:val="bullet"/>
      <w:lvlText w:val="▪"/>
      <w:lvlJc w:val="left"/>
      <w:pPr>
        <w:ind w:left="3654" w:hanging="360"/>
      </w:pPr>
      <w:rPr>
        <w:rFonts w:ascii="OpenSymbol" w:eastAsia="OpenSymbol" w:hAnsi="OpenSymbol" w:cs="OpenSymbol"/>
      </w:rPr>
    </w:lvl>
    <w:lvl w:ilvl="6">
      <w:numFmt w:val="bullet"/>
      <w:lvlText w:val="•"/>
      <w:lvlJc w:val="left"/>
      <w:pPr>
        <w:ind w:left="4014" w:hanging="360"/>
      </w:pPr>
      <w:rPr>
        <w:rFonts w:ascii="OpenSymbol" w:eastAsia="OpenSymbol" w:hAnsi="OpenSymbol" w:cs="OpenSymbol"/>
      </w:rPr>
    </w:lvl>
    <w:lvl w:ilvl="7">
      <w:numFmt w:val="bullet"/>
      <w:lvlText w:val="◦"/>
      <w:lvlJc w:val="left"/>
      <w:pPr>
        <w:ind w:left="4374" w:hanging="360"/>
      </w:pPr>
      <w:rPr>
        <w:rFonts w:ascii="OpenSymbol" w:eastAsia="OpenSymbol" w:hAnsi="OpenSymbol" w:cs="OpenSymbol"/>
      </w:rPr>
    </w:lvl>
    <w:lvl w:ilvl="8">
      <w:numFmt w:val="bullet"/>
      <w:lvlText w:val="▪"/>
      <w:lvlJc w:val="left"/>
      <w:pPr>
        <w:ind w:left="4734" w:hanging="360"/>
      </w:pPr>
      <w:rPr>
        <w:rFonts w:ascii="OpenSymbol" w:eastAsia="OpenSymbol" w:hAnsi="OpenSymbol" w:cs="OpenSymbol"/>
      </w:rPr>
    </w:lvl>
  </w:abstractNum>
  <w:abstractNum w:abstractNumId="20" w15:restartNumberingAfterBreak="0">
    <w:nsid w:val="5D875A56"/>
    <w:multiLevelType w:val="multilevel"/>
    <w:tmpl w:val="A74477A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17C307C"/>
    <w:multiLevelType w:val="multilevel"/>
    <w:tmpl w:val="6630B7BC"/>
    <w:styleLink w:val="WWNum19"/>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2" w15:restartNumberingAfterBreak="0">
    <w:nsid w:val="669F2BF7"/>
    <w:multiLevelType w:val="multilevel"/>
    <w:tmpl w:val="C4C2EDDC"/>
    <w:styleLink w:val="WWNum18"/>
    <w:lvl w:ilvl="0">
      <w:numFmt w:val="bullet"/>
      <w:lvlText w:val=""/>
      <w:lvlJc w:val="left"/>
      <w:pPr>
        <w:ind w:left="2415" w:hanging="360"/>
      </w:pPr>
      <w:rPr>
        <w:rFonts w:ascii="Symbol" w:hAnsi="Symbol"/>
      </w:rPr>
    </w:lvl>
    <w:lvl w:ilvl="1">
      <w:numFmt w:val="bullet"/>
      <w:lvlText w:val="o"/>
      <w:lvlJc w:val="left"/>
      <w:pPr>
        <w:ind w:left="3135" w:hanging="360"/>
      </w:pPr>
      <w:rPr>
        <w:rFonts w:ascii="Courier New" w:hAnsi="Courier New" w:cs="Courier New"/>
      </w:rPr>
    </w:lvl>
    <w:lvl w:ilvl="2">
      <w:numFmt w:val="bullet"/>
      <w:lvlText w:val=""/>
      <w:lvlJc w:val="left"/>
      <w:pPr>
        <w:ind w:left="3855" w:hanging="360"/>
      </w:pPr>
      <w:rPr>
        <w:rFonts w:ascii="Wingdings" w:hAnsi="Wingdings"/>
      </w:rPr>
    </w:lvl>
    <w:lvl w:ilvl="3">
      <w:numFmt w:val="bullet"/>
      <w:lvlText w:val=""/>
      <w:lvlJc w:val="left"/>
      <w:pPr>
        <w:ind w:left="4575" w:hanging="360"/>
      </w:pPr>
      <w:rPr>
        <w:rFonts w:ascii="Symbol" w:hAnsi="Symbol"/>
      </w:rPr>
    </w:lvl>
    <w:lvl w:ilvl="4">
      <w:numFmt w:val="bullet"/>
      <w:lvlText w:val="o"/>
      <w:lvlJc w:val="left"/>
      <w:pPr>
        <w:ind w:left="5295" w:hanging="360"/>
      </w:pPr>
      <w:rPr>
        <w:rFonts w:ascii="Courier New" w:hAnsi="Courier New" w:cs="Courier New"/>
      </w:rPr>
    </w:lvl>
    <w:lvl w:ilvl="5">
      <w:numFmt w:val="bullet"/>
      <w:lvlText w:val=""/>
      <w:lvlJc w:val="left"/>
      <w:pPr>
        <w:ind w:left="6015" w:hanging="360"/>
      </w:pPr>
      <w:rPr>
        <w:rFonts w:ascii="Wingdings" w:hAnsi="Wingdings"/>
      </w:rPr>
    </w:lvl>
    <w:lvl w:ilvl="6">
      <w:numFmt w:val="bullet"/>
      <w:lvlText w:val=""/>
      <w:lvlJc w:val="left"/>
      <w:pPr>
        <w:ind w:left="6735" w:hanging="360"/>
      </w:pPr>
      <w:rPr>
        <w:rFonts w:ascii="Symbol" w:hAnsi="Symbol"/>
      </w:rPr>
    </w:lvl>
    <w:lvl w:ilvl="7">
      <w:numFmt w:val="bullet"/>
      <w:lvlText w:val="o"/>
      <w:lvlJc w:val="left"/>
      <w:pPr>
        <w:ind w:left="7455" w:hanging="360"/>
      </w:pPr>
      <w:rPr>
        <w:rFonts w:ascii="Courier New" w:hAnsi="Courier New" w:cs="Courier New"/>
      </w:rPr>
    </w:lvl>
    <w:lvl w:ilvl="8">
      <w:numFmt w:val="bullet"/>
      <w:lvlText w:val=""/>
      <w:lvlJc w:val="left"/>
      <w:pPr>
        <w:ind w:left="8175" w:hanging="360"/>
      </w:pPr>
      <w:rPr>
        <w:rFonts w:ascii="Wingdings" w:hAnsi="Wingdings"/>
      </w:rPr>
    </w:lvl>
  </w:abstractNum>
  <w:abstractNum w:abstractNumId="2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3"/>
  </w:num>
  <w:num w:numId="2">
    <w:abstractNumId w:val="18"/>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9"/>
  </w:num>
  <w:num w:numId="18">
    <w:abstractNumId w:val="2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2009EC"/>
    <w:rsid w:val="0001207F"/>
    <w:rsid w:val="00017F94"/>
    <w:rsid w:val="00023842"/>
    <w:rsid w:val="00032E23"/>
    <w:rsid w:val="000334F9"/>
    <w:rsid w:val="000347B9"/>
    <w:rsid w:val="0004639C"/>
    <w:rsid w:val="0007796D"/>
    <w:rsid w:val="00081100"/>
    <w:rsid w:val="000942EE"/>
    <w:rsid w:val="000A52BF"/>
    <w:rsid w:val="000A7EAE"/>
    <w:rsid w:val="000B7790"/>
    <w:rsid w:val="000C3183"/>
    <w:rsid w:val="000D3EE9"/>
    <w:rsid w:val="000D62F3"/>
    <w:rsid w:val="000E3AD5"/>
    <w:rsid w:val="00111F2F"/>
    <w:rsid w:val="001219AC"/>
    <w:rsid w:val="00134496"/>
    <w:rsid w:val="001433FD"/>
    <w:rsid w:val="0014365E"/>
    <w:rsid w:val="001541D3"/>
    <w:rsid w:val="00156B77"/>
    <w:rsid w:val="00176178"/>
    <w:rsid w:val="00177140"/>
    <w:rsid w:val="001959E9"/>
    <w:rsid w:val="001D400F"/>
    <w:rsid w:val="001D7A3E"/>
    <w:rsid w:val="001F0E5E"/>
    <w:rsid w:val="001F525A"/>
    <w:rsid w:val="002009EC"/>
    <w:rsid w:val="00223272"/>
    <w:rsid w:val="00240333"/>
    <w:rsid w:val="0024779E"/>
    <w:rsid w:val="00253D62"/>
    <w:rsid w:val="00260B65"/>
    <w:rsid w:val="002620E5"/>
    <w:rsid w:val="002832AC"/>
    <w:rsid w:val="0029552B"/>
    <w:rsid w:val="002A6DA4"/>
    <w:rsid w:val="002D7C93"/>
    <w:rsid w:val="002E6E1C"/>
    <w:rsid w:val="00340C26"/>
    <w:rsid w:val="00352C69"/>
    <w:rsid w:val="00355ECB"/>
    <w:rsid w:val="0037241C"/>
    <w:rsid w:val="003819FF"/>
    <w:rsid w:val="003825DE"/>
    <w:rsid w:val="003D6C74"/>
    <w:rsid w:val="003F37F3"/>
    <w:rsid w:val="00417D6B"/>
    <w:rsid w:val="00421FAF"/>
    <w:rsid w:val="00441C3B"/>
    <w:rsid w:val="00446B0A"/>
    <w:rsid w:val="00446FE5"/>
    <w:rsid w:val="00452396"/>
    <w:rsid w:val="00454E57"/>
    <w:rsid w:val="00471288"/>
    <w:rsid w:val="00473426"/>
    <w:rsid w:val="004925CA"/>
    <w:rsid w:val="0049687C"/>
    <w:rsid w:val="004E468C"/>
    <w:rsid w:val="005011BA"/>
    <w:rsid w:val="005316B0"/>
    <w:rsid w:val="00537110"/>
    <w:rsid w:val="005505B7"/>
    <w:rsid w:val="00573BE5"/>
    <w:rsid w:val="00586ED3"/>
    <w:rsid w:val="00596AA9"/>
    <w:rsid w:val="005B4D0F"/>
    <w:rsid w:val="005E5CCF"/>
    <w:rsid w:val="005E7383"/>
    <w:rsid w:val="006531E6"/>
    <w:rsid w:val="006962EC"/>
    <w:rsid w:val="006D1CA1"/>
    <w:rsid w:val="006D590B"/>
    <w:rsid w:val="00703D0F"/>
    <w:rsid w:val="00706363"/>
    <w:rsid w:val="007158BB"/>
    <w:rsid w:val="0071601D"/>
    <w:rsid w:val="0075410D"/>
    <w:rsid w:val="00766028"/>
    <w:rsid w:val="007A073C"/>
    <w:rsid w:val="007A62E6"/>
    <w:rsid w:val="007C3DF7"/>
    <w:rsid w:val="0080684C"/>
    <w:rsid w:val="008204DA"/>
    <w:rsid w:val="008319D2"/>
    <w:rsid w:val="008535AD"/>
    <w:rsid w:val="0085458A"/>
    <w:rsid w:val="00855EE9"/>
    <w:rsid w:val="00871C75"/>
    <w:rsid w:val="008767E8"/>
    <w:rsid w:val="008776DC"/>
    <w:rsid w:val="00883605"/>
    <w:rsid w:val="008E6043"/>
    <w:rsid w:val="00961E7B"/>
    <w:rsid w:val="009705C8"/>
    <w:rsid w:val="009A4280"/>
    <w:rsid w:val="009C1CF4"/>
    <w:rsid w:val="009D1159"/>
    <w:rsid w:val="009F02C9"/>
    <w:rsid w:val="00A078DA"/>
    <w:rsid w:val="00A22DFC"/>
    <w:rsid w:val="00A30353"/>
    <w:rsid w:val="00A62D91"/>
    <w:rsid w:val="00A90D54"/>
    <w:rsid w:val="00AA113A"/>
    <w:rsid w:val="00AB0C8F"/>
    <w:rsid w:val="00AC3823"/>
    <w:rsid w:val="00AE323C"/>
    <w:rsid w:val="00AF667E"/>
    <w:rsid w:val="00AF774C"/>
    <w:rsid w:val="00B00181"/>
    <w:rsid w:val="00B00B0D"/>
    <w:rsid w:val="00B36107"/>
    <w:rsid w:val="00B40927"/>
    <w:rsid w:val="00B50E25"/>
    <w:rsid w:val="00B64918"/>
    <w:rsid w:val="00B765F7"/>
    <w:rsid w:val="00BA0CA9"/>
    <w:rsid w:val="00BF6802"/>
    <w:rsid w:val="00C02897"/>
    <w:rsid w:val="00C1626B"/>
    <w:rsid w:val="00C35BA1"/>
    <w:rsid w:val="00C66A47"/>
    <w:rsid w:val="00C7616F"/>
    <w:rsid w:val="00CB16B5"/>
    <w:rsid w:val="00CC4BFD"/>
    <w:rsid w:val="00CC7BD0"/>
    <w:rsid w:val="00CE0608"/>
    <w:rsid w:val="00CE4DB7"/>
    <w:rsid w:val="00CF79E4"/>
    <w:rsid w:val="00D003CE"/>
    <w:rsid w:val="00D00C99"/>
    <w:rsid w:val="00D12851"/>
    <w:rsid w:val="00D25606"/>
    <w:rsid w:val="00D3439C"/>
    <w:rsid w:val="00D44CF3"/>
    <w:rsid w:val="00D46C8C"/>
    <w:rsid w:val="00D73610"/>
    <w:rsid w:val="00DA2868"/>
    <w:rsid w:val="00DB1831"/>
    <w:rsid w:val="00DC3AE9"/>
    <w:rsid w:val="00DD3BFD"/>
    <w:rsid w:val="00DE1050"/>
    <w:rsid w:val="00DE239D"/>
    <w:rsid w:val="00DF2DA2"/>
    <w:rsid w:val="00DF431C"/>
    <w:rsid w:val="00DF6678"/>
    <w:rsid w:val="00E41641"/>
    <w:rsid w:val="00E428C8"/>
    <w:rsid w:val="00E60DFF"/>
    <w:rsid w:val="00E67769"/>
    <w:rsid w:val="00EF2E22"/>
    <w:rsid w:val="00F0592C"/>
    <w:rsid w:val="00F06ED4"/>
    <w:rsid w:val="00F43289"/>
    <w:rsid w:val="00F446F0"/>
    <w:rsid w:val="00F4604C"/>
    <w:rsid w:val="00F660DF"/>
    <w:rsid w:val="00F7366A"/>
    <w:rsid w:val="00F95C08"/>
    <w:rsid w:val="00FB2685"/>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DA3A46"/>
  <w15:docId w15:val="{F1CE2803-335B-4D01-9D66-BFDFEAC4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uiPriority w:val="39"/>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character" w:customStyle="1" w:styleId="Policepardfaut1">
    <w:name w:val="Police par défaut1"/>
    <w:rsid w:val="00766028"/>
  </w:style>
  <w:style w:type="paragraph" w:customStyle="1" w:styleId="Standard">
    <w:name w:val="Standard"/>
    <w:rsid w:val="00E41641"/>
    <w:pPr>
      <w:suppressAutoHyphens/>
      <w:autoSpaceDN w:val="0"/>
      <w:snapToGrid w:val="0"/>
      <w:spacing w:after="0" w:line="240" w:lineRule="atLeast"/>
    </w:pPr>
    <w:rPr>
      <w:kern w:val="3"/>
    </w:rPr>
  </w:style>
  <w:style w:type="paragraph" w:styleId="Paragraphedeliste">
    <w:name w:val="List Paragraph"/>
    <w:basedOn w:val="Normal"/>
    <w:qFormat/>
    <w:rsid w:val="003825DE"/>
    <w:pPr>
      <w:kinsoku/>
      <w:overflowPunct/>
      <w:autoSpaceDE/>
      <w:adjustRightInd/>
      <w:ind w:left="720"/>
    </w:pPr>
    <w:rPr>
      <w:kern w:val="3"/>
    </w:rPr>
  </w:style>
  <w:style w:type="numbering" w:customStyle="1" w:styleId="WWNum19">
    <w:name w:val="WWNum19"/>
    <w:rsid w:val="003825DE"/>
    <w:pPr>
      <w:numPr>
        <w:numId w:val="18"/>
      </w:numPr>
    </w:pPr>
  </w:style>
  <w:style w:type="character" w:styleId="Marquedecommentaire">
    <w:name w:val="annotation reference"/>
    <w:basedOn w:val="Policepardfaut"/>
    <w:uiPriority w:val="99"/>
    <w:semiHidden/>
    <w:unhideWhenUsed/>
    <w:rsid w:val="00DF2DA2"/>
    <w:rPr>
      <w:sz w:val="16"/>
      <w:szCs w:val="16"/>
    </w:rPr>
  </w:style>
  <w:style w:type="paragraph" w:styleId="Commentaire">
    <w:name w:val="annotation text"/>
    <w:basedOn w:val="Normal"/>
    <w:link w:val="CommentaireCar"/>
    <w:uiPriority w:val="99"/>
    <w:semiHidden/>
    <w:unhideWhenUsed/>
    <w:rsid w:val="00DF2DA2"/>
    <w:pPr>
      <w:spacing w:line="240" w:lineRule="auto"/>
    </w:pPr>
  </w:style>
  <w:style w:type="character" w:customStyle="1" w:styleId="CommentaireCar">
    <w:name w:val="Commentaire Car"/>
    <w:basedOn w:val="Policepardfaut"/>
    <w:link w:val="Commentaire"/>
    <w:uiPriority w:val="99"/>
    <w:semiHidden/>
    <w:rsid w:val="00DF2DA2"/>
  </w:style>
  <w:style w:type="paragraph" w:styleId="Objetducommentaire">
    <w:name w:val="annotation subject"/>
    <w:basedOn w:val="Commentaire"/>
    <w:next w:val="Commentaire"/>
    <w:link w:val="ObjetducommentaireCar"/>
    <w:uiPriority w:val="99"/>
    <w:semiHidden/>
    <w:unhideWhenUsed/>
    <w:rsid w:val="00DF2DA2"/>
    <w:rPr>
      <w:b/>
      <w:bCs/>
    </w:rPr>
  </w:style>
  <w:style w:type="character" w:customStyle="1" w:styleId="ObjetducommentaireCar">
    <w:name w:val="Objet du commentaire Car"/>
    <w:basedOn w:val="CommentaireCar"/>
    <w:link w:val="Objetducommentaire"/>
    <w:uiPriority w:val="99"/>
    <w:semiHidden/>
    <w:rsid w:val="00DF2DA2"/>
    <w:rPr>
      <w:b/>
      <w:bCs/>
    </w:rPr>
  </w:style>
  <w:style w:type="numbering" w:customStyle="1" w:styleId="WWNum18">
    <w:name w:val="WWNum18"/>
    <w:rsid w:val="00BF6802"/>
    <w:pPr>
      <w:numPr>
        <w:numId w:val="21"/>
      </w:numPr>
    </w:pPr>
  </w:style>
  <w:style w:type="numbering" w:customStyle="1" w:styleId="WWNum17">
    <w:name w:val="WWNum17"/>
    <w:rsid w:val="001219AC"/>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431276">
      <w:bodyDiv w:val="1"/>
      <w:marLeft w:val="0"/>
      <w:marRight w:val="0"/>
      <w:marTop w:val="0"/>
      <w:marBottom w:val="0"/>
      <w:divBdr>
        <w:top w:val="none" w:sz="0" w:space="0" w:color="auto"/>
        <w:left w:val="none" w:sz="0" w:space="0" w:color="auto"/>
        <w:bottom w:val="none" w:sz="0" w:space="0" w:color="auto"/>
        <w:right w:val="none" w:sz="0" w:space="0" w:color="auto"/>
      </w:divBdr>
    </w:div>
    <w:div w:id="402794973">
      <w:bodyDiv w:val="1"/>
      <w:marLeft w:val="0"/>
      <w:marRight w:val="0"/>
      <w:marTop w:val="0"/>
      <w:marBottom w:val="0"/>
      <w:divBdr>
        <w:top w:val="none" w:sz="0" w:space="0" w:color="auto"/>
        <w:left w:val="none" w:sz="0" w:space="0" w:color="auto"/>
        <w:bottom w:val="none" w:sz="0" w:space="0" w:color="auto"/>
        <w:right w:val="none" w:sz="0" w:space="0" w:color="auto"/>
      </w:divBdr>
    </w:div>
    <w:div w:id="498927669">
      <w:bodyDiv w:val="1"/>
      <w:marLeft w:val="0"/>
      <w:marRight w:val="0"/>
      <w:marTop w:val="0"/>
      <w:marBottom w:val="0"/>
      <w:divBdr>
        <w:top w:val="none" w:sz="0" w:space="0" w:color="auto"/>
        <w:left w:val="none" w:sz="0" w:space="0" w:color="auto"/>
        <w:bottom w:val="none" w:sz="0" w:space="0" w:color="auto"/>
        <w:right w:val="none" w:sz="0" w:space="0" w:color="auto"/>
      </w:divBdr>
    </w:div>
    <w:div w:id="571624231">
      <w:bodyDiv w:val="1"/>
      <w:marLeft w:val="0"/>
      <w:marRight w:val="0"/>
      <w:marTop w:val="0"/>
      <w:marBottom w:val="0"/>
      <w:divBdr>
        <w:top w:val="none" w:sz="0" w:space="0" w:color="auto"/>
        <w:left w:val="none" w:sz="0" w:space="0" w:color="auto"/>
        <w:bottom w:val="none" w:sz="0" w:space="0" w:color="auto"/>
        <w:right w:val="none" w:sz="0" w:space="0" w:color="auto"/>
      </w:divBdr>
    </w:div>
    <w:div w:id="621884485">
      <w:bodyDiv w:val="1"/>
      <w:marLeft w:val="0"/>
      <w:marRight w:val="0"/>
      <w:marTop w:val="0"/>
      <w:marBottom w:val="0"/>
      <w:divBdr>
        <w:top w:val="none" w:sz="0" w:space="0" w:color="auto"/>
        <w:left w:val="none" w:sz="0" w:space="0" w:color="auto"/>
        <w:bottom w:val="none" w:sz="0" w:space="0" w:color="auto"/>
        <w:right w:val="none" w:sz="0" w:space="0" w:color="auto"/>
      </w:divBdr>
    </w:div>
    <w:div w:id="633753696">
      <w:bodyDiv w:val="1"/>
      <w:marLeft w:val="0"/>
      <w:marRight w:val="0"/>
      <w:marTop w:val="0"/>
      <w:marBottom w:val="0"/>
      <w:divBdr>
        <w:top w:val="none" w:sz="0" w:space="0" w:color="auto"/>
        <w:left w:val="none" w:sz="0" w:space="0" w:color="auto"/>
        <w:bottom w:val="none" w:sz="0" w:space="0" w:color="auto"/>
        <w:right w:val="none" w:sz="0" w:space="0" w:color="auto"/>
      </w:divBdr>
    </w:div>
    <w:div w:id="815955302">
      <w:bodyDiv w:val="1"/>
      <w:marLeft w:val="0"/>
      <w:marRight w:val="0"/>
      <w:marTop w:val="0"/>
      <w:marBottom w:val="0"/>
      <w:divBdr>
        <w:top w:val="none" w:sz="0" w:space="0" w:color="auto"/>
        <w:left w:val="none" w:sz="0" w:space="0" w:color="auto"/>
        <w:bottom w:val="none" w:sz="0" w:space="0" w:color="auto"/>
        <w:right w:val="none" w:sz="0" w:space="0" w:color="auto"/>
      </w:divBdr>
    </w:div>
    <w:div w:id="830952341">
      <w:bodyDiv w:val="1"/>
      <w:marLeft w:val="0"/>
      <w:marRight w:val="0"/>
      <w:marTop w:val="0"/>
      <w:marBottom w:val="0"/>
      <w:divBdr>
        <w:top w:val="none" w:sz="0" w:space="0" w:color="auto"/>
        <w:left w:val="none" w:sz="0" w:space="0" w:color="auto"/>
        <w:bottom w:val="none" w:sz="0" w:space="0" w:color="auto"/>
        <w:right w:val="none" w:sz="0" w:space="0" w:color="auto"/>
      </w:divBdr>
    </w:div>
    <w:div w:id="915435668">
      <w:bodyDiv w:val="1"/>
      <w:marLeft w:val="0"/>
      <w:marRight w:val="0"/>
      <w:marTop w:val="0"/>
      <w:marBottom w:val="0"/>
      <w:divBdr>
        <w:top w:val="none" w:sz="0" w:space="0" w:color="auto"/>
        <w:left w:val="none" w:sz="0" w:space="0" w:color="auto"/>
        <w:bottom w:val="none" w:sz="0" w:space="0" w:color="auto"/>
        <w:right w:val="none" w:sz="0" w:space="0" w:color="auto"/>
      </w:divBdr>
    </w:div>
    <w:div w:id="1011222266">
      <w:bodyDiv w:val="1"/>
      <w:marLeft w:val="0"/>
      <w:marRight w:val="0"/>
      <w:marTop w:val="0"/>
      <w:marBottom w:val="0"/>
      <w:divBdr>
        <w:top w:val="none" w:sz="0" w:space="0" w:color="auto"/>
        <w:left w:val="none" w:sz="0" w:space="0" w:color="auto"/>
        <w:bottom w:val="none" w:sz="0" w:space="0" w:color="auto"/>
        <w:right w:val="none" w:sz="0" w:space="0" w:color="auto"/>
      </w:divBdr>
    </w:div>
    <w:div w:id="1085759767">
      <w:bodyDiv w:val="1"/>
      <w:marLeft w:val="0"/>
      <w:marRight w:val="0"/>
      <w:marTop w:val="0"/>
      <w:marBottom w:val="0"/>
      <w:divBdr>
        <w:top w:val="none" w:sz="0" w:space="0" w:color="auto"/>
        <w:left w:val="none" w:sz="0" w:space="0" w:color="auto"/>
        <w:bottom w:val="none" w:sz="0" w:space="0" w:color="auto"/>
        <w:right w:val="none" w:sz="0" w:space="0" w:color="auto"/>
      </w:divBdr>
    </w:div>
    <w:div w:id="1264805480">
      <w:bodyDiv w:val="1"/>
      <w:marLeft w:val="0"/>
      <w:marRight w:val="0"/>
      <w:marTop w:val="0"/>
      <w:marBottom w:val="0"/>
      <w:divBdr>
        <w:top w:val="none" w:sz="0" w:space="0" w:color="auto"/>
        <w:left w:val="none" w:sz="0" w:space="0" w:color="auto"/>
        <w:bottom w:val="none" w:sz="0" w:space="0" w:color="auto"/>
        <w:right w:val="none" w:sz="0" w:space="0" w:color="auto"/>
      </w:divBdr>
    </w:div>
    <w:div w:id="1279534109">
      <w:bodyDiv w:val="1"/>
      <w:marLeft w:val="0"/>
      <w:marRight w:val="0"/>
      <w:marTop w:val="0"/>
      <w:marBottom w:val="0"/>
      <w:divBdr>
        <w:top w:val="none" w:sz="0" w:space="0" w:color="auto"/>
        <w:left w:val="none" w:sz="0" w:space="0" w:color="auto"/>
        <w:bottom w:val="none" w:sz="0" w:space="0" w:color="auto"/>
        <w:right w:val="none" w:sz="0" w:space="0" w:color="auto"/>
      </w:divBdr>
    </w:div>
    <w:div w:id="1440682229">
      <w:bodyDiv w:val="1"/>
      <w:marLeft w:val="0"/>
      <w:marRight w:val="0"/>
      <w:marTop w:val="0"/>
      <w:marBottom w:val="0"/>
      <w:divBdr>
        <w:top w:val="none" w:sz="0" w:space="0" w:color="auto"/>
        <w:left w:val="none" w:sz="0" w:space="0" w:color="auto"/>
        <w:bottom w:val="none" w:sz="0" w:space="0" w:color="auto"/>
        <w:right w:val="none" w:sz="0" w:space="0" w:color="auto"/>
      </w:divBdr>
    </w:div>
    <w:div w:id="1651523915">
      <w:bodyDiv w:val="1"/>
      <w:marLeft w:val="0"/>
      <w:marRight w:val="0"/>
      <w:marTop w:val="0"/>
      <w:marBottom w:val="0"/>
      <w:divBdr>
        <w:top w:val="none" w:sz="0" w:space="0" w:color="auto"/>
        <w:left w:val="none" w:sz="0" w:space="0" w:color="auto"/>
        <w:bottom w:val="none" w:sz="0" w:space="0" w:color="auto"/>
        <w:right w:val="none" w:sz="0" w:space="0" w:color="auto"/>
      </w:divBdr>
    </w:div>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 w:id="1770589278">
      <w:bodyDiv w:val="1"/>
      <w:marLeft w:val="0"/>
      <w:marRight w:val="0"/>
      <w:marTop w:val="0"/>
      <w:marBottom w:val="0"/>
      <w:divBdr>
        <w:top w:val="none" w:sz="0" w:space="0" w:color="auto"/>
        <w:left w:val="none" w:sz="0" w:space="0" w:color="auto"/>
        <w:bottom w:val="none" w:sz="0" w:space="0" w:color="auto"/>
        <w:right w:val="none" w:sz="0" w:space="0" w:color="auto"/>
      </w:divBdr>
    </w:div>
    <w:div w:id="197205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8D06AD-C1C5-475E-A860-BF7ED93316B8}">
  <ds:schemaRefs>
    <ds:schemaRef ds:uri="http://schemas.microsoft.com/sharepoint/v3/contenttype/forms"/>
  </ds:schemaRefs>
</ds:datastoreItem>
</file>

<file path=customXml/itemProps2.xml><?xml version="1.0" encoding="utf-8"?>
<ds:datastoreItem xmlns:ds="http://schemas.openxmlformats.org/officeDocument/2006/customXml" ds:itemID="{97A90FCD-C8C4-4553-8CC8-AD2224657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E77BE7-3816-469F-8358-6DD3395285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4436</Characters>
  <Application>Microsoft Office Word</Application>
  <DocSecurity>0</DocSecurity>
  <Lines>94</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ECE/TRANS/WP.11/2021/5</vt:lpstr>
      <vt:lpstr>ECE/EX/22</vt:lpstr>
    </vt:vector>
  </TitlesOfParts>
  <Company>DCM</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ECE/TRANS/WP.11/2021/11</dc:title>
  <dc:subject>FINAL</dc:subject>
  <dc:creator>June 2021 amend</dc:creator>
  <cp:keywords/>
  <dc:description/>
  <cp:lastModifiedBy>Sandrine CLERE</cp:lastModifiedBy>
  <cp:revision>2</cp:revision>
  <cp:lastPrinted>2014-05-14T10:59:00Z</cp:lastPrinted>
  <dcterms:created xsi:type="dcterms:W3CDTF">2021-08-10T10:26:00Z</dcterms:created>
  <dcterms:modified xsi:type="dcterms:W3CDTF">2021-08-10T10:26:00Z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