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80025D">
              <w:fldChar w:fldCharType="begin"/>
            </w:r>
            <w:r w:rsidR="0080025D">
              <w:instrText xml:space="preserve"> FILLIN  "Введите символ после ЕCE/"  \* MERGEFORMAT </w:instrText>
            </w:r>
            <w:r w:rsidR="0080025D">
              <w:fldChar w:fldCharType="separate"/>
            </w:r>
            <w:r w:rsidR="005F30C6">
              <w:t>TRANS/WP.29/1124</w:t>
            </w:r>
            <w:r w:rsidR="0080025D">
              <w:fldChar w:fldCharType="end"/>
            </w:r>
            <w:r w:rsidR="005355ED">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GB" w:eastAsia="en-GB"/>
              </w:rPr>
              <w:drawing>
                <wp:inline distT="0" distB="0" distL="0" distR="0" wp14:anchorId="418F2938" wp14:editId="2C2D267B">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80025D">
              <w:fldChar w:fldCharType="separate"/>
            </w:r>
            <w:r w:rsidRPr="00245892">
              <w:fldChar w:fldCharType="end"/>
            </w:r>
            <w:bookmarkEnd w:id="1"/>
          </w:p>
          <w:p w:rsidR="00A658DB" w:rsidRPr="00245892" w:rsidRDefault="005F30C6" w:rsidP="007B199D">
            <w:r>
              <w:rPr>
                <w:lang w:val="en-US"/>
              </w:rPr>
              <w:t>16 August 2016</w:t>
            </w:r>
            <w:r w:rsidR="00A658DB" w:rsidRPr="00245892">
              <w:fldChar w:fldCharType="begin"/>
            </w:r>
            <w:r w:rsidR="00A658DB" w:rsidRPr="00245892">
              <w:instrText xml:space="preserve"> FILLIN  "Введите дату документа" \* MERGEFORMAT </w:instrText>
            </w:r>
            <w:r w:rsidR="00A658DB" w:rsidRPr="00245892">
              <w:fldChar w:fldCharType="end"/>
            </w:r>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80025D">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5F30C6" w:rsidRPr="005F30C6" w:rsidRDefault="005F30C6" w:rsidP="005F30C6">
      <w:pPr>
        <w:spacing w:before="120" w:line="240" w:lineRule="auto"/>
        <w:rPr>
          <w:sz w:val="28"/>
          <w:szCs w:val="28"/>
        </w:rPr>
      </w:pPr>
      <w:r w:rsidRPr="005F30C6">
        <w:rPr>
          <w:sz w:val="28"/>
          <w:szCs w:val="28"/>
        </w:rPr>
        <w:t>Комитет по внутреннему транспорту</w:t>
      </w:r>
    </w:p>
    <w:p w:rsidR="005F30C6" w:rsidRPr="005F30C6" w:rsidRDefault="005F30C6" w:rsidP="005F30C6">
      <w:pPr>
        <w:spacing w:before="120" w:line="240" w:lineRule="auto"/>
        <w:rPr>
          <w:b/>
          <w:sz w:val="24"/>
          <w:szCs w:val="24"/>
        </w:rPr>
      </w:pPr>
      <w:r w:rsidRPr="005F30C6">
        <w:rPr>
          <w:b/>
          <w:sz w:val="24"/>
          <w:szCs w:val="24"/>
        </w:rPr>
        <w:t xml:space="preserve">Всемирный форум для согласования правил </w:t>
      </w:r>
      <w:r w:rsidRPr="005F30C6">
        <w:rPr>
          <w:b/>
          <w:sz w:val="24"/>
          <w:szCs w:val="24"/>
        </w:rPr>
        <w:br/>
        <w:t>в области транспортных средств</w:t>
      </w:r>
    </w:p>
    <w:p w:rsidR="005F30C6" w:rsidRPr="005F30C6" w:rsidRDefault="005F30C6" w:rsidP="005F30C6">
      <w:pPr>
        <w:pStyle w:val="HChGR"/>
      </w:pPr>
      <w:r w:rsidRPr="00670BC1">
        <w:tab/>
      </w:r>
      <w:r w:rsidRPr="00670BC1">
        <w:tab/>
      </w:r>
      <w:r w:rsidRPr="005F30C6">
        <w:rPr>
          <w:lang w:val="en-GB"/>
        </w:rPr>
        <w:t>C</w:t>
      </w:r>
      <w:r w:rsidRPr="005F30C6">
        <w:t>пециальная резолюция № 2 (СпР.2)</w:t>
      </w:r>
    </w:p>
    <w:p w:rsidR="005F30C6" w:rsidRPr="005F30C6" w:rsidRDefault="005F30C6" w:rsidP="005F30C6">
      <w:pPr>
        <w:pStyle w:val="HChGR"/>
      </w:pPr>
      <w:r w:rsidRPr="00670BC1">
        <w:tab/>
      </w:r>
      <w:r w:rsidRPr="00670BC1">
        <w:tab/>
      </w:r>
      <w:r w:rsidRPr="005F30C6">
        <w:t>Совершенствование процесса осуществления Глобального соглашения 1998 года</w:t>
      </w:r>
      <w:r w:rsidRPr="005F30C6">
        <w:rPr>
          <w:rStyle w:val="FootnoteReference"/>
          <w:b w:val="0"/>
          <w:sz w:val="20"/>
          <w:vertAlign w:val="baseline"/>
          <w:lang w:eastAsia="en-US"/>
        </w:rPr>
        <w:footnoteReference w:customMarkFollows="1" w:id="1"/>
        <w:t xml:space="preserve">* </w:t>
      </w:r>
    </w:p>
    <w:p w:rsidR="005355ED" w:rsidRDefault="00E13612" w:rsidP="00E13612">
      <w:pPr>
        <w:pStyle w:val="SingleTxtGR"/>
      </w:pPr>
      <w:r w:rsidRPr="00670BC1">
        <w:rPr>
          <w:lang w:bidi="ru-RU"/>
        </w:rPr>
        <w:tab/>
      </w:r>
      <w:r w:rsidR="005F30C6" w:rsidRPr="005F30C6">
        <w:rPr>
          <w:lang w:bidi="ru-RU"/>
        </w:rPr>
        <w:t>Воспроизведенный ниже текст был принят</w:t>
      </w:r>
      <w:r w:rsidR="005F30C6" w:rsidRPr="005F30C6">
        <w:t xml:space="preserve"> 23 июня 2016 года Исполнительным комитетом (</w:t>
      </w:r>
      <w:r w:rsidR="005F30C6" w:rsidRPr="005F30C6">
        <w:rPr>
          <w:lang w:val="en-GB"/>
        </w:rPr>
        <w:t>AC</w:t>
      </w:r>
      <w:r w:rsidR="005F30C6" w:rsidRPr="005F30C6">
        <w:t xml:space="preserve">.3) Соглашения о введении глобальных технических правил для колесных транспортных средств, предметов оборудования и </w:t>
      </w:r>
      <w:r w:rsidR="006B5831">
        <w:br/>
      </w:r>
      <w:r w:rsidR="005F30C6" w:rsidRPr="005F30C6">
        <w:t>частей, которые могут быть установлены и/или использованы на колесных транспортных средствах (Е</w:t>
      </w:r>
      <w:r w:rsidR="005F30C6" w:rsidRPr="005F30C6">
        <w:rPr>
          <w:lang w:val="en-GB"/>
        </w:rPr>
        <w:t>C</w:t>
      </w:r>
      <w:r w:rsidR="005F30C6" w:rsidRPr="005F30C6">
        <w:t>Е/</w:t>
      </w:r>
      <w:r w:rsidR="005F30C6" w:rsidRPr="005F30C6">
        <w:rPr>
          <w:lang w:val="en-GB"/>
        </w:rPr>
        <w:t>TRANS</w:t>
      </w:r>
      <w:r w:rsidR="005F30C6" w:rsidRPr="005F30C6">
        <w:t xml:space="preserve">/132 и </w:t>
      </w:r>
      <w:r w:rsidR="005F30C6" w:rsidRPr="005F30C6">
        <w:rPr>
          <w:lang w:val="en-GB"/>
        </w:rPr>
        <w:t>Corr</w:t>
      </w:r>
      <w:r w:rsidR="005F30C6" w:rsidRPr="005F30C6">
        <w:t>.1).</w:t>
      </w:r>
      <w:r w:rsidR="005F30C6" w:rsidRPr="005F30C6">
        <w:rPr>
          <w:bCs/>
        </w:rPr>
        <w:t xml:space="preserve"> В его основу положен документ</w:t>
      </w:r>
      <w:r w:rsidR="006B5831">
        <w:rPr>
          <w:bCs/>
        </w:rPr>
        <w:t xml:space="preserve"> </w:t>
      </w:r>
      <w:r w:rsidR="005F30C6" w:rsidRPr="005F30C6">
        <w:rPr>
          <w:bCs/>
          <w:lang w:val="en-GB"/>
        </w:rPr>
        <w:t>ECE</w:t>
      </w:r>
      <w:r w:rsidR="005F30C6" w:rsidRPr="005F30C6">
        <w:rPr>
          <w:bCs/>
        </w:rPr>
        <w:t>/</w:t>
      </w:r>
      <w:r w:rsidR="005F30C6" w:rsidRPr="005F30C6">
        <w:rPr>
          <w:bCs/>
          <w:lang w:val="en-GB"/>
        </w:rPr>
        <w:t>TRANS</w:t>
      </w:r>
      <w:r w:rsidR="005F30C6" w:rsidRPr="005F30C6">
        <w:rPr>
          <w:bCs/>
        </w:rPr>
        <w:t>/</w:t>
      </w:r>
      <w:r w:rsidR="005F30C6" w:rsidRPr="005F30C6">
        <w:rPr>
          <w:bCs/>
          <w:lang w:val="en-GB"/>
        </w:rPr>
        <w:t>WP</w:t>
      </w:r>
      <w:r w:rsidR="005F30C6" w:rsidRPr="005F30C6">
        <w:rPr>
          <w:bCs/>
        </w:rPr>
        <w:t xml:space="preserve">.29/2016/65, принятый без поправок </w:t>
      </w:r>
      <w:r w:rsidR="005F30C6" w:rsidRPr="005F30C6">
        <w:rPr>
          <w:bCs/>
          <w:lang w:val="en-GB"/>
        </w:rPr>
        <w:t>AC</w:t>
      </w:r>
      <w:r w:rsidR="005F30C6" w:rsidRPr="005F30C6">
        <w:rPr>
          <w:bCs/>
        </w:rPr>
        <w:t>.3 на его сорок седьмой сессии (</w:t>
      </w:r>
      <w:r w:rsidR="005F30C6" w:rsidRPr="005F30C6">
        <w:rPr>
          <w:bCs/>
          <w:lang w:val="en-GB"/>
        </w:rPr>
        <w:t>TRANS</w:t>
      </w:r>
      <w:r w:rsidR="005F30C6" w:rsidRPr="005F30C6">
        <w:rPr>
          <w:bCs/>
        </w:rPr>
        <w:t>/</w:t>
      </w:r>
      <w:r w:rsidR="005F30C6" w:rsidRPr="005F30C6">
        <w:rPr>
          <w:bCs/>
          <w:lang w:val="en-GB"/>
        </w:rPr>
        <w:t>WP</w:t>
      </w:r>
      <w:r w:rsidR="005F30C6" w:rsidRPr="005F30C6">
        <w:rPr>
          <w:bCs/>
        </w:rPr>
        <w:t>.29/1123, пункт</w:t>
      </w:r>
      <w:r w:rsidR="005355ED" w:rsidRPr="005355ED">
        <w:rPr>
          <w:bCs/>
        </w:rPr>
        <w:t xml:space="preserve"> </w:t>
      </w:r>
      <w:r w:rsidR="005F30C6" w:rsidRPr="005F30C6">
        <w:rPr>
          <w:bCs/>
        </w:rPr>
        <w:t>109).</w:t>
      </w:r>
    </w:p>
    <w:p w:rsidR="00E13612" w:rsidRPr="005355ED" w:rsidRDefault="005F30C6" w:rsidP="005F30C6">
      <w:pPr>
        <w:spacing w:line="240" w:lineRule="auto"/>
      </w:pPr>
      <w:r w:rsidRPr="005F30C6">
        <w:br w:type="page"/>
      </w:r>
    </w:p>
    <w:p w:rsidR="00E13612" w:rsidRPr="00670BC1" w:rsidRDefault="00E13612" w:rsidP="00E13612">
      <w:pPr>
        <w:suppressAutoHyphens/>
        <w:spacing w:after="120"/>
        <w:rPr>
          <w:sz w:val="28"/>
        </w:rPr>
      </w:pPr>
      <w:r w:rsidRPr="00670BC1">
        <w:rPr>
          <w:sz w:val="28"/>
        </w:rPr>
        <w:lastRenderedPageBreak/>
        <w:t>Содержание</w:t>
      </w:r>
    </w:p>
    <w:p w:rsidR="00E13612" w:rsidRPr="00670BC1" w:rsidRDefault="00E13612" w:rsidP="00E13612">
      <w:pPr>
        <w:tabs>
          <w:tab w:val="right" w:pos="9638"/>
        </w:tabs>
        <w:suppressAutoHyphens/>
        <w:spacing w:after="120"/>
        <w:ind w:left="283"/>
        <w:rPr>
          <w:sz w:val="18"/>
        </w:rPr>
      </w:pPr>
      <w:r w:rsidRPr="00670BC1">
        <w:rPr>
          <w:i/>
          <w:sz w:val="18"/>
        </w:rPr>
        <w:tab/>
        <w:t>Стр.</w:t>
      </w:r>
    </w:p>
    <w:p w:rsidR="005355ED" w:rsidRPr="002D415F" w:rsidRDefault="00EA11D6" w:rsidP="00E13612">
      <w:pPr>
        <w:tabs>
          <w:tab w:val="right" w:pos="850"/>
          <w:tab w:val="left" w:pos="1134"/>
          <w:tab w:val="left" w:pos="1559"/>
          <w:tab w:val="left" w:pos="1984"/>
          <w:tab w:val="left" w:leader="dot" w:pos="8787"/>
          <w:tab w:val="right" w:pos="9638"/>
        </w:tabs>
        <w:suppressAutoHyphens/>
        <w:spacing w:after="120"/>
      </w:pPr>
      <w:r w:rsidRPr="00670BC1">
        <w:tab/>
      </w:r>
      <w:r>
        <w:rPr>
          <w:lang w:val="en-US"/>
        </w:rPr>
        <w:t>I</w:t>
      </w:r>
      <w:r w:rsidRPr="00670BC1">
        <w:t>.</w:t>
      </w:r>
      <w:r w:rsidRPr="00670BC1">
        <w:tab/>
      </w:r>
      <w:r w:rsidR="00274C85" w:rsidRPr="00274C85">
        <w:t>Преамбула</w:t>
      </w:r>
      <w:r w:rsidRPr="00670BC1">
        <w:tab/>
      </w:r>
      <w:r w:rsidRPr="00670BC1">
        <w:tab/>
      </w:r>
      <w:r w:rsidR="002D415F" w:rsidRPr="002D415F">
        <w:t>3</w:t>
      </w:r>
    </w:p>
    <w:p w:rsidR="00274C85" w:rsidRPr="002D415F" w:rsidRDefault="00274C85" w:rsidP="00E13612">
      <w:pPr>
        <w:tabs>
          <w:tab w:val="right" w:pos="850"/>
          <w:tab w:val="left" w:pos="1134"/>
          <w:tab w:val="left" w:pos="1559"/>
          <w:tab w:val="left" w:pos="1984"/>
          <w:tab w:val="left" w:leader="dot" w:pos="8787"/>
          <w:tab w:val="right" w:pos="9638"/>
        </w:tabs>
        <w:suppressAutoHyphens/>
        <w:spacing w:after="120"/>
      </w:pPr>
      <w:r w:rsidRPr="002D415F">
        <w:tab/>
      </w:r>
      <w:r w:rsidR="005F30C6" w:rsidRPr="00274C85">
        <w:rPr>
          <w:lang w:val="en-US"/>
        </w:rPr>
        <w:t>II</w:t>
      </w:r>
      <w:r w:rsidR="005F30C6" w:rsidRPr="00274C85">
        <w:t>.</w:t>
      </w:r>
      <w:r w:rsidR="005F30C6" w:rsidRPr="00274C85">
        <w:tab/>
        <w:t xml:space="preserve">Специальная резолюция № 2 (СпР.2) – Совершенствование процесса </w:t>
      </w:r>
      <w:r w:rsidRPr="00274C85">
        <w:br/>
      </w:r>
      <w:r w:rsidRPr="00274C85">
        <w:tab/>
      </w:r>
      <w:r w:rsidRPr="00274C85">
        <w:tab/>
      </w:r>
      <w:r w:rsidR="005F30C6" w:rsidRPr="00274C85">
        <w:t>осуществления Глобального соглашения 1998 года</w:t>
      </w:r>
      <w:r w:rsidRPr="002D415F">
        <w:tab/>
      </w:r>
      <w:r w:rsidRPr="002D415F">
        <w:tab/>
      </w:r>
      <w:r w:rsidR="002D415F" w:rsidRPr="002D415F">
        <w:t>4</w:t>
      </w:r>
    </w:p>
    <w:p w:rsidR="00274C85" w:rsidRPr="002D415F" w:rsidRDefault="00274C85" w:rsidP="00E13612">
      <w:pPr>
        <w:tabs>
          <w:tab w:val="right" w:pos="850"/>
          <w:tab w:val="left" w:pos="1134"/>
          <w:tab w:val="left" w:pos="1559"/>
          <w:tab w:val="left" w:pos="1984"/>
          <w:tab w:val="left" w:leader="dot" w:pos="8787"/>
          <w:tab w:val="right" w:pos="9638"/>
        </w:tabs>
        <w:suppressAutoHyphens/>
        <w:spacing w:after="120"/>
      </w:pPr>
      <w:r w:rsidRPr="002D415F">
        <w:tab/>
      </w:r>
      <w:r w:rsidRPr="002D415F">
        <w:tab/>
      </w:r>
      <w:r w:rsidR="005F30C6" w:rsidRPr="00274C85">
        <w:t>A.</w:t>
      </w:r>
      <w:r w:rsidR="005F30C6" w:rsidRPr="00274C85">
        <w:tab/>
        <w:t>Введение и резюме</w:t>
      </w:r>
      <w:r w:rsidRPr="002D415F">
        <w:tab/>
      </w:r>
      <w:r w:rsidRPr="002D415F">
        <w:tab/>
      </w:r>
      <w:r w:rsidR="002D415F" w:rsidRPr="002D415F">
        <w:t>4</w:t>
      </w:r>
    </w:p>
    <w:p w:rsidR="005F30C6" w:rsidRPr="002D415F" w:rsidRDefault="00274C85" w:rsidP="00274C85">
      <w:pPr>
        <w:tabs>
          <w:tab w:val="right" w:pos="851"/>
          <w:tab w:val="left" w:pos="1134"/>
          <w:tab w:val="left" w:pos="1559"/>
          <w:tab w:val="left" w:pos="1984"/>
          <w:tab w:val="left" w:leader="dot" w:pos="8787"/>
          <w:tab w:val="right" w:pos="9638"/>
        </w:tabs>
        <w:suppressAutoHyphens/>
        <w:spacing w:after="120"/>
      </w:pPr>
      <w:r w:rsidRPr="002D415F">
        <w:tab/>
      </w:r>
      <w:r w:rsidRPr="002D415F">
        <w:tab/>
      </w:r>
      <w:r w:rsidR="005F30C6" w:rsidRPr="00274C85">
        <w:t>B.</w:t>
      </w:r>
      <w:r w:rsidR="005F30C6" w:rsidRPr="00274C85">
        <w:tab/>
        <w:t>Справочная информация</w:t>
      </w:r>
      <w:r w:rsidRPr="002D415F">
        <w:tab/>
      </w:r>
      <w:r w:rsidRPr="002D415F">
        <w:tab/>
      </w:r>
      <w:r w:rsidR="002D415F" w:rsidRPr="002D415F">
        <w:t>4</w:t>
      </w:r>
    </w:p>
    <w:p w:rsidR="00274C85" w:rsidRPr="002D415F" w:rsidRDefault="00274C85" w:rsidP="00E13612">
      <w:pPr>
        <w:tabs>
          <w:tab w:val="right" w:pos="850"/>
          <w:tab w:val="left" w:pos="1134"/>
          <w:tab w:val="left" w:pos="1559"/>
          <w:tab w:val="left" w:pos="1984"/>
          <w:tab w:val="left" w:leader="dot" w:pos="8787"/>
          <w:tab w:val="right" w:pos="9638"/>
        </w:tabs>
        <w:suppressAutoHyphens/>
        <w:spacing w:after="120"/>
      </w:pPr>
      <w:r w:rsidRPr="002D415F">
        <w:tab/>
      </w:r>
      <w:r w:rsidRPr="002D415F">
        <w:tab/>
      </w:r>
      <w:r w:rsidR="005F30C6" w:rsidRPr="00274C85">
        <w:t>C.</w:t>
      </w:r>
      <w:r w:rsidR="005F30C6" w:rsidRPr="00274C85">
        <w:tab/>
        <w:t>Выдержки из Соглашения 1998 года</w:t>
      </w:r>
      <w:r w:rsidRPr="002D415F">
        <w:tab/>
      </w:r>
      <w:r w:rsidRPr="002D415F">
        <w:tab/>
      </w:r>
      <w:r w:rsidR="002D415F" w:rsidRPr="002D415F">
        <w:t>4</w:t>
      </w:r>
    </w:p>
    <w:p w:rsidR="00274C85" w:rsidRPr="002D415F" w:rsidRDefault="00274C85" w:rsidP="00E13612">
      <w:pPr>
        <w:tabs>
          <w:tab w:val="right" w:pos="850"/>
          <w:tab w:val="left" w:pos="1134"/>
          <w:tab w:val="left" w:pos="1559"/>
          <w:tab w:val="left" w:pos="1984"/>
          <w:tab w:val="left" w:leader="dot" w:pos="8787"/>
          <w:tab w:val="right" w:pos="9638"/>
        </w:tabs>
        <w:suppressAutoHyphens/>
        <w:spacing w:after="120"/>
      </w:pPr>
      <w:r w:rsidRPr="002D415F">
        <w:tab/>
      </w:r>
      <w:r w:rsidRPr="002D415F">
        <w:tab/>
      </w:r>
      <w:r w:rsidR="005F30C6" w:rsidRPr="00274C85">
        <w:t>D.</w:t>
      </w:r>
      <w:r w:rsidR="005F30C6" w:rsidRPr="00274C85">
        <w:tab/>
        <w:t>Совершенствование процесса осуществления Соглашения 1998</w:t>
      </w:r>
      <w:r w:rsidR="005355ED" w:rsidRPr="00274C85">
        <w:t xml:space="preserve"> </w:t>
      </w:r>
      <w:r w:rsidR="005F30C6" w:rsidRPr="00274C85">
        <w:t>года</w:t>
      </w:r>
      <w:r w:rsidRPr="002D415F">
        <w:tab/>
      </w:r>
      <w:r w:rsidRPr="002D415F">
        <w:tab/>
      </w:r>
      <w:r w:rsidR="002D415F" w:rsidRPr="002D415F">
        <w:t>8</w:t>
      </w:r>
    </w:p>
    <w:p w:rsidR="005F30C6" w:rsidRPr="005F30C6" w:rsidRDefault="005F30C6" w:rsidP="005355ED">
      <w:pPr>
        <w:pStyle w:val="HChGR"/>
      </w:pPr>
      <w:r w:rsidRPr="005F30C6">
        <w:br w:type="page"/>
      </w:r>
      <w:r w:rsidRPr="005F30C6">
        <w:lastRenderedPageBreak/>
        <w:tab/>
      </w:r>
      <w:r w:rsidRPr="005F30C6">
        <w:rPr>
          <w:lang w:val="en-US"/>
        </w:rPr>
        <w:t>I</w:t>
      </w:r>
      <w:r w:rsidRPr="005F30C6">
        <w:t>.</w:t>
      </w:r>
      <w:r w:rsidRPr="005F30C6">
        <w:tab/>
      </w:r>
      <w:r w:rsidRPr="005F30C6">
        <w:rPr>
          <w:lang w:bidi="ru-RU"/>
        </w:rPr>
        <w:t>Преамбула</w:t>
      </w:r>
    </w:p>
    <w:p w:rsidR="005F30C6" w:rsidRPr="005F30C6" w:rsidRDefault="005F30C6" w:rsidP="005355ED">
      <w:pPr>
        <w:pStyle w:val="SingleTxtGR"/>
        <w:rPr>
          <w:lang w:bidi="ru-RU"/>
        </w:rPr>
      </w:pPr>
      <w:r w:rsidRPr="005F30C6">
        <w:rPr>
          <w:lang w:bidi="ru-RU"/>
        </w:rPr>
        <w:t>1.</w:t>
      </w:r>
      <w:r w:rsidRPr="005F30C6">
        <w:rPr>
          <w:lang w:bidi="ru-RU"/>
        </w:rPr>
        <w:tab/>
        <w:t>Исполнительный комитет Соглашения 1998 года (АС.3),</w:t>
      </w:r>
    </w:p>
    <w:p w:rsidR="005F30C6" w:rsidRPr="005F30C6" w:rsidRDefault="005F30C6" w:rsidP="005355ED">
      <w:pPr>
        <w:pStyle w:val="SingleTxtGR"/>
        <w:rPr>
          <w:lang w:bidi="ru-RU"/>
        </w:rPr>
      </w:pPr>
      <w:r w:rsidRPr="005F30C6">
        <w:rPr>
          <w:lang w:bidi="ru-RU"/>
        </w:rPr>
        <w:t>2.</w:t>
      </w:r>
      <w:r w:rsidRPr="005F30C6">
        <w:rPr>
          <w:lang w:bidi="ru-RU"/>
        </w:rPr>
        <w:tab/>
        <w:t>ЖЕЛАЯ ввести глобальные технические правила, обеспечивающие высокие уровни рабочих характеристик колесных транспортных средств, предметов оборудования и частей, которые могут быть установлены и/или использованы на колесных транспортных средствах, в области безопасности, охраны окружающей среды, эффективности использования энергии и защиты от угона,</w:t>
      </w:r>
    </w:p>
    <w:p w:rsidR="005F30C6" w:rsidRPr="005F30C6" w:rsidRDefault="005F30C6" w:rsidP="005355ED">
      <w:pPr>
        <w:pStyle w:val="SingleTxtGR"/>
      </w:pPr>
      <w:r w:rsidRPr="005F30C6">
        <w:rPr>
          <w:lang w:bidi="ru-RU"/>
        </w:rPr>
        <w:t>3.</w:t>
      </w:r>
      <w:r w:rsidRPr="005F30C6">
        <w:rPr>
          <w:lang w:bidi="ru-RU"/>
        </w:rPr>
        <w:tab/>
        <w:t xml:space="preserve">ПРИНИМАЯ ВО ВНИМАНИЕ, что Соглашение 1998 года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было открыто для подписания в Женеве 25 июня 1998 года, </w:t>
      </w:r>
    </w:p>
    <w:p w:rsidR="005F30C6" w:rsidRPr="005F30C6" w:rsidRDefault="005F30C6" w:rsidP="005355ED">
      <w:pPr>
        <w:pStyle w:val="SingleTxtGR"/>
        <w:rPr>
          <w:lang w:bidi="ru-RU"/>
        </w:rPr>
      </w:pPr>
      <w:r w:rsidRPr="005F30C6">
        <w:rPr>
          <w:lang w:bidi="ru-RU"/>
        </w:rPr>
        <w:t>4.</w:t>
      </w:r>
      <w:r w:rsidRPr="005F30C6">
        <w:rPr>
          <w:lang w:bidi="ru-RU"/>
        </w:rPr>
        <w:tab/>
        <w:t>ПРИНИМАЯ ВО ВНИМАНИЕ, что это Соглашение способствует облегчению торговли между Договаривающимися сторонами колесными транспортными средствами, предметами оборудования и частями, отвечающими высоким уровням безопасности и охраны окружающей среды,</w:t>
      </w:r>
    </w:p>
    <w:p w:rsidR="005F30C6" w:rsidRPr="005F30C6" w:rsidRDefault="005F30C6" w:rsidP="005355ED">
      <w:pPr>
        <w:pStyle w:val="SingleTxtGR"/>
      </w:pPr>
      <w:r w:rsidRPr="005F30C6">
        <w:rPr>
          <w:lang w:bidi="ru-RU"/>
        </w:rPr>
        <w:t>5.</w:t>
      </w:r>
      <w:r w:rsidRPr="005F30C6">
        <w:rPr>
          <w:lang w:bidi="ru-RU"/>
        </w:rPr>
        <w:tab/>
        <w:t>ПРИНИМАЯ ВО ВНИМАНИЕ решение, принятое на его сорок седьмой сессии, обеспечить в этой Специальной резолюции № 2 (СпР.2) рамки, в которых представители Всемирного форума для согласования правил в области транспортных средств (</w:t>
      </w:r>
      <w:r w:rsidRPr="005F30C6">
        <w:rPr>
          <w:lang w:val="fr-CH"/>
        </w:rPr>
        <w:t>WP</w:t>
      </w:r>
      <w:r w:rsidRPr="005F30C6">
        <w:rPr>
          <w:lang w:bidi="ru-RU"/>
        </w:rPr>
        <w:t>.29) и другие заинтересованные стороны могли бы изучить опыт, накопленный в контексте Глобального соглашения 1998 года, и достичь договоренности относительно принципов и стратегий усовершенствования процесса его осуществления,</w:t>
      </w:r>
    </w:p>
    <w:p w:rsidR="005F30C6" w:rsidRPr="005F30C6" w:rsidRDefault="005F30C6" w:rsidP="005355ED">
      <w:pPr>
        <w:pStyle w:val="SingleTxtGR"/>
        <w:rPr>
          <w:lang w:bidi="ru-RU"/>
        </w:rPr>
      </w:pPr>
      <w:r w:rsidRPr="005F30C6">
        <w:rPr>
          <w:lang w:bidi="ru-RU"/>
        </w:rPr>
        <w:t>6.</w:t>
      </w:r>
      <w:r w:rsidRPr="005F30C6">
        <w:rPr>
          <w:lang w:bidi="ru-RU"/>
        </w:rPr>
        <w:tab/>
        <w:t>ПРИНИМАЯ ВО ВНИМАНИЕ то, что цель предлагаемой Специальной резолюции состоит в усовершенствовании процесса осуществления Соглашения 1998 года, а не во внесении в него поправок,</w:t>
      </w:r>
    </w:p>
    <w:p w:rsidR="005F30C6" w:rsidRPr="005F30C6" w:rsidRDefault="005F30C6" w:rsidP="005355ED">
      <w:pPr>
        <w:pStyle w:val="SingleTxtGR"/>
        <w:rPr>
          <w:lang w:bidi="ru-RU"/>
        </w:rPr>
      </w:pPr>
      <w:r w:rsidRPr="005F30C6">
        <w:rPr>
          <w:lang w:bidi="ru-RU"/>
        </w:rPr>
        <w:t>7.</w:t>
      </w:r>
      <w:r w:rsidRPr="005F30C6">
        <w:rPr>
          <w:lang w:bidi="ru-RU"/>
        </w:rPr>
        <w:tab/>
        <w:t>ПРИНИМАЯ ВО ВНИМАНИЕ, что настоящая Специальная резолюция не изменяет правила Договаривающихся сторон, если она не будет принята Договаривающимися сторонами с этой целью,</w:t>
      </w:r>
    </w:p>
    <w:p w:rsidR="005F30C6" w:rsidRPr="005F30C6" w:rsidRDefault="005F30C6" w:rsidP="005355ED">
      <w:pPr>
        <w:pStyle w:val="SingleTxtGR"/>
        <w:rPr>
          <w:bCs/>
          <w:lang w:bidi="ru-RU"/>
        </w:rPr>
      </w:pPr>
      <w:r w:rsidRPr="005F30C6">
        <w:rPr>
          <w:lang w:bidi="ru-RU"/>
        </w:rPr>
        <w:t>8.</w:t>
      </w:r>
      <w:r w:rsidRPr="005F30C6">
        <w:rPr>
          <w:lang w:bidi="ru-RU"/>
        </w:rPr>
        <w:tab/>
        <w:t>ПРИНИМАЯ ВО ВНИМАНИЕ, что настоящая Специальная резолюция не имеет нормативного статуса в Договаривающихся сторонах,</w:t>
      </w:r>
    </w:p>
    <w:p w:rsidR="005355ED" w:rsidRDefault="005F30C6" w:rsidP="005355ED">
      <w:pPr>
        <w:pStyle w:val="SingleTxtGR"/>
      </w:pPr>
      <w:r w:rsidRPr="005F30C6">
        <w:rPr>
          <w:lang w:bidi="ru-RU"/>
        </w:rPr>
        <w:t>9.</w:t>
      </w:r>
      <w:r w:rsidRPr="005F30C6">
        <w:rPr>
          <w:lang w:bidi="ru-RU"/>
        </w:rPr>
        <w:tab/>
        <w:t>РЕКОМЕНДУЕТ Договаривающимся сторонам и заинтересованным сторонам ссылаться на настоящую Резолюцию в своей работе по совершенствованию процесса осуществления Соглашения 1998 года посредством: 1.</w:t>
      </w:r>
      <w:r w:rsidR="005355ED" w:rsidRPr="005355ED">
        <w:t xml:space="preserve"> </w:t>
      </w:r>
      <w:r w:rsidRPr="005F30C6">
        <w:rPr>
          <w:lang w:bidi="ru-RU"/>
        </w:rPr>
        <w:t>совершенствования стратегии отбора проектов для включения в программу работы; 2.</w:t>
      </w:r>
      <w:r w:rsidR="002D415F">
        <w:rPr>
          <w:lang w:val="en-US"/>
        </w:rPr>
        <w:t> </w:t>
      </w:r>
      <w:r w:rsidRPr="005F30C6">
        <w:rPr>
          <w:lang w:bidi="ru-RU"/>
        </w:rPr>
        <w:t>совершенствования механизма управления процессом разработки ГТП</w:t>
      </w:r>
      <w:r w:rsidR="002D415F">
        <w:rPr>
          <w:lang w:bidi="ru-RU"/>
        </w:rPr>
        <w:t>;</w:t>
      </w:r>
      <w:r w:rsidR="005355ED">
        <w:rPr>
          <w:lang w:bidi="ru-RU"/>
        </w:rPr>
        <w:t xml:space="preserve"> </w:t>
      </w:r>
      <w:r w:rsidRPr="005F30C6">
        <w:rPr>
          <w:lang w:bidi="ru-RU"/>
        </w:rPr>
        <w:t>3.</w:t>
      </w:r>
      <w:r w:rsidR="005355ED" w:rsidRPr="005355ED">
        <w:t xml:space="preserve"> </w:t>
      </w:r>
      <w:r w:rsidRPr="005F30C6">
        <w:rPr>
          <w:lang w:bidi="ru-RU"/>
        </w:rPr>
        <w:t>совершенствования процесса принятия ГТП на национальном/региональном уровне.</w:t>
      </w:r>
    </w:p>
    <w:p w:rsidR="005F30C6" w:rsidRPr="005F30C6" w:rsidRDefault="005F30C6" w:rsidP="005355ED">
      <w:pPr>
        <w:pStyle w:val="HChGR"/>
        <w:rPr>
          <w:lang w:bidi="ru-RU"/>
        </w:rPr>
      </w:pPr>
      <w:r w:rsidRPr="005F30C6">
        <w:tab/>
      </w:r>
      <w:r w:rsidRPr="005F30C6">
        <w:rPr>
          <w:lang w:val="en-US"/>
        </w:rPr>
        <w:t>II</w:t>
      </w:r>
      <w:r w:rsidRPr="005F30C6">
        <w:t>.</w:t>
      </w:r>
      <w:r w:rsidRPr="005F30C6">
        <w:tab/>
      </w:r>
      <w:r w:rsidRPr="005F30C6">
        <w:rPr>
          <w:lang w:bidi="ru-RU"/>
        </w:rPr>
        <w:t>Специальная резолюция № 2 (СпР.2) – Совершенствование процесса осуществления Глобального соглашения 1998 года</w:t>
      </w:r>
    </w:p>
    <w:p w:rsidR="005F30C6" w:rsidRPr="005F30C6" w:rsidRDefault="005F30C6" w:rsidP="005355ED">
      <w:pPr>
        <w:pStyle w:val="H1GR"/>
      </w:pPr>
      <w:r w:rsidRPr="005F30C6">
        <w:rPr>
          <w:lang w:bidi="ru-RU"/>
        </w:rPr>
        <w:tab/>
      </w:r>
      <w:r w:rsidRPr="005F30C6">
        <w:rPr>
          <w:lang w:val="fr-CH"/>
        </w:rPr>
        <w:t>A</w:t>
      </w:r>
      <w:r w:rsidRPr="005F30C6">
        <w:rPr>
          <w:lang w:bidi="ru-RU"/>
        </w:rPr>
        <w:t>.</w:t>
      </w:r>
      <w:r w:rsidRPr="005F30C6">
        <w:rPr>
          <w:lang w:bidi="ru-RU"/>
        </w:rPr>
        <w:tab/>
        <w:t>Введение и резюме</w:t>
      </w:r>
    </w:p>
    <w:p w:rsidR="005F30C6" w:rsidRPr="005F30C6" w:rsidRDefault="005F30C6" w:rsidP="005355ED">
      <w:pPr>
        <w:pStyle w:val="SingleTxtGR"/>
        <w:rPr>
          <w:lang w:bidi="ru-RU"/>
        </w:rPr>
      </w:pPr>
      <w:r w:rsidRPr="005F30C6">
        <w:rPr>
          <w:lang w:bidi="ru-RU"/>
        </w:rPr>
        <w:t>1.</w:t>
      </w:r>
      <w:r w:rsidRPr="005F30C6">
        <w:rPr>
          <w:lang w:bidi="ru-RU"/>
        </w:rPr>
        <w:tab/>
        <w:t xml:space="preserve">Цель настоящей Специальной резолюции состоит в создании основы, с помощью которой представители Всемирного форума для согласования правил в области транспортных средств (WP.29) и другие заинтересованные стороны смогут работать для усовершенствования процесса осуществления Глобального соглашения 1998 года. </w:t>
      </w:r>
    </w:p>
    <w:p w:rsidR="005F30C6" w:rsidRPr="005F30C6" w:rsidRDefault="005F30C6" w:rsidP="005355ED">
      <w:pPr>
        <w:pStyle w:val="SingleTxtGR"/>
        <w:rPr>
          <w:lang w:bidi="ru-RU"/>
        </w:rPr>
      </w:pPr>
      <w:r w:rsidRPr="005F30C6">
        <w:rPr>
          <w:lang w:bidi="ru-RU"/>
        </w:rPr>
        <w:t>2.</w:t>
      </w:r>
      <w:r w:rsidRPr="005F30C6">
        <w:rPr>
          <w:lang w:bidi="ru-RU"/>
        </w:rPr>
        <w:tab/>
        <w:t>Настоящая Специальная резолюция была представлена в качестве неофициального документа на сессии WP.29 в июне 2015 года (первоначально как «Трехсторонняя Белая книга»). С учетом итогов дискуссии и замечаний, представленных большим числом заинтересованных сторон, Административный комитет по координации работы (АС.2) и Ис</w:t>
      </w:r>
      <w:r w:rsidR="002D415F">
        <w:rPr>
          <w:lang w:bidi="ru-RU"/>
        </w:rPr>
        <w:t>полнительный комитет Соглашения </w:t>
      </w:r>
      <w:r w:rsidRPr="005F30C6">
        <w:rPr>
          <w:lang w:bidi="ru-RU"/>
        </w:rPr>
        <w:t>1998 года (АС.3) одобрили согласованные рекомендации.</w:t>
      </w:r>
    </w:p>
    <w:p w:rsidR="005F30C6" w:rsidRPr="005F30C6" w:rsidRDefault="005F30C6" w:rsidP="005355ED">
      <w:pPr>
        <w:pStyle w:val="H1GR"/>
        <w:rPr>
          <w:lang w:bidi="ru-RU"/>
        </w:rPr>
      </w:pPr>
      <w:r w:rsidRPr="005F30C6">
        <w:rPr>
          <w:lang w:bidi="ru-RU"/>
        </w:rPr>
        <w:tab/>
        <w:t>B.</w:t>
      </w:r>
      <w:r w:rsidRPr="005F30C6">
        <w:rPr>
          <w:lang w:bidi="ru-RU"/>
        </w:rPr>
        <w:tab/>
        <w:t>Справочная информация</w:t>
      </w:r>
    </w:p>
    <w:p w:rsidR="005F30C6" w:rsidRPr="005F30C6" w:rsidRDefault="005F30C6" w:rsidP="005355ED">
      <w:pPr>
        <w:pStyle w:val="SingleTxtGR"/>
        <w:rPr>
          <w:lang w:bidi="ru-RU"/>
        </w:rPr>
      </w:pPr>
      <w:r w:rsidRPr="005F30C6">
        <w:rPr>
          <w:lang w:bidi="ru-RU"/>
        </w:rPr>
        <w:t>3.</w:t>
      </w:r>
      <w:r w:rsidRPr="005F30C6">
        <w:rPr>
          <w:lang w:bidi="ru-RU"/>
        </w:rPr>
        <w:tab/>
        <w:t xml:space="preserve">Глобальное соглашение 1998 года, относящееся к ведению Всемирного форума для согласования правил в области транспортных средств (WP.29), призвано служить двум основным целям. Как указано в преамбуле Соглашения, первая цель состоит в содействии разработке и введению глобальных технических правил (ГТП ), которые могут служить основой для установления согласованных национальных правил, обеспечивающих высокие уровни в области безопасности транспортных средств, защиты от угона, охраны окружающей среды и эффективного использования энергии. Вторая цель </w:t>
      </w:r>
      <w:r w:rsidR="00605101" w:rsidRPr="00670BC1">
        <w:rPr>
          <w:lang w:bidi="ru-RU"/>
        </w:rPr>
        <w:t>–</w:t>
      </w:r>
      <w:r w:rsidRPr="005F30C6">
        <w:rPr>
          <w:lang w:bidi="ru-RU"/>
        </w:rPr>
        <w:t xml:space="preserve"> это стимулирование процесса согласования существующих технических правил. Помимо обеспечения и даже усиления защиты интересов потребителей, согласование в рамках Соглашения сулит также экономические выгоды за счет сокращения связанных с соблюдением нормативных требований издержек и излишне обременительных процедур сертификации.</w:t>
      </w:r>
    </w:p>
    <w:p w:rsidR="005F30C6" w:rsidRPr="005F30C6" w:rsidRDefault="005F30C6" w:rsidP="005355ED">
      <w:pPr>
        <w:pStyle w:val="H1GR"/>
        <w:rPr>
          <w:lang w:bidi="ru-RU"/>
        </w:rPr>
      </w:pPr>
      <w:r w:rsidRPr="005F30C6">
        <w:tab/>
      </w:r>
      <w:r w:rsidRPr="005F30C6">
        <w:rPr>
          <w:lang w:bidi="ru-RU"/>
        </w:rPr>
        <w:t>C.</w:t>
      </w:r>
      <w:r w:rsidRPr="005F30C6">
        <w:rPr>
          <w:lang w:bidi="ru-RU"/>
        </w:rPr>
        <w:tab/>
        <w:t>Выдержки из Соглашения 1998 года</w:t>
      </w:r>
    </w:p>
    <w:p w:rsidR="005F30C6" w:rsidRPr="003165AC" w:rsidRDefault="005F30C6" w:rsidP="005355ED">
      <w:pPr>
        <w:pStyle w:val="SingleTxtGR"/>
        <w:ind w:left="1701"/>
        <w:rPr>
          <w:i/>
          <w:lang w:bidi="ru-RU"/>
        </w:rPr>
      </w:pPr>
      <w:r w:rsidRPr="005F30C6">
        <w:rPr>
          <w:lang w:bidi="ru-RU"/>
        </w:rPr>
        <w:t>«</w:t>
      </w:r>
      <w:r w:rsidRPr="003165AC">
        <w:rPr>
          <w:i/>
          <w:lang w:bidi="ru-RU"/>
        </w:rPr>
        <w:t>Преамбула</w:t>
      </w:r>
    </w:p>
    <w:p w:rsidR="005F30C6" w:rsidRPr="005F30C6" w:rsidRDefault="002D415F" w:rsidP="005355ED">
      <w:pPr>
        <w:pStyle w:val="SingleTxtGR"/>
        <w:ind w:left="1701"/>
        <w:rPr>
          <w:lang w:bidi="ru-RU"/>
        </w:rPr>
      </w:pPr>
      <w:r>
        <w:rPr>
          <w:lang w:bidi="ru-RU"/>
        </w:rPr>
        <w:tab/>
      </w:r>
      <w:r w:rsidR="005F30C6" w:rsidRPr="005F30C6">
        <w:rPr>
          <w:lang w:bidi="ru-RU"/>
        </w:rPr>
        <w:t>Договаривающиеся стороны,</w:t>
      </w:r>
    </w:p>
    <w:p w:rsidR="005F30C6" w:rsidRPr="005F30C6" w:rsidRDefault="002D415F" w:rsidP="005355ED">
      <w:pPr>
        <w:pStyle w:val="SingleTxtGR"/>
        <w:ind w:left="1701"/>
        <w:rPr>
          <w:lang w:bidi="ru-RU"/>
        </w:rPr>
      </w:pPr>
      <w:r>
        <w:rPr>
          <w:lang w:bidi="ru-RU"/>
        </w:rPr>
        <w:tab/>
      </w:r>
      <w:r w:rsidR="005F30C6" w:rsidRPr="005F30C6">
        <w:rPr>
          <w:lang w:bidi="ru-RU"/>
        </w:rPr>
        <w:t>решив принять Соглашение с целью инициировать процесс стимулирования разработки глобальных технических правил, обеспечивающих высокие уровни рабочих характеристик колесных транспортных средств, предметов оборудования и частей, которые могут быть установлены и/или использованы на колесных транспортных средствах, в области безопасности, охраны окружающей среды, эффективного использования энергии и защиты от угона;</w:t>
      </w:r>
    </w:p>
    <w:p w:rsidR="005F30C6" w:rsidRPr="005F30C6" w:rsidRDefault="002D415F" w:rsidP="005355ED">
      <w:pPr>
        <w:pStyle w:val="SingleTxtGR"/>
        <w:ind w:left="1701"/>
        <w:rPr>
          <w:lang w:bidi="ru-RU"/>
        </w:rPr>
      </w:pPr>
      <w:r>
        <w:rPr>
          <w:lang w:bidi="ru-RU"/>
        </w:rPr>
        <w:tab/>
      </w:r>
      <w:r w:rsidR="005F30C6" w:rsidRPr="005F30C6">
        <w:rPr>
          <w:lang w:bidi="ru-RU"/>
        </w:rPr>
        <w:t>решив, что такой процесс должен также способствовать согласованию существующих технических правил, признавая право наднациональных, национальных и региональных органов власти принимать и обновлять технические правила в области охраны здоровья, безопасности, окружающей среды, эффективного использования энергии и защиты от угона, которые имеют более жесткий характер, чем правила, введенные на глобальном уровне;</w:t>
      </w:r>
    </w:p>
    <w:p w:rsidR="005F30C6" w:rsidRPr="005F30C6" w:rsidRDefault="005F30C6" w:rsidP="005355ED">
      <w:pPr>
        <w:pStyle w:val="SingleTxtGR"/>
        <w:rPr>
          <w:lang w:bidi="ru-RU"/>
        </w:rPr>
      </w:pPr>
      <w:r w:rsidRPr="005F30C6">
        <w:rPr>
          <w:lang w:bidi="ru-RU"/>
        </w:rPr>
        <w:tab/>
        <w:t>…</w:t>
      </w:r>
    </w:p>
    <w:p w:rsidR="005F30C6" w:rsidRPr="005F30C6" w:rsidRDefault="005F30C6" w:rsidP="005355ED">
      <w:pPr>
        <w:pStyle w:val="SingleTxtGR"/>
        <w:rPr>
          <w:i/>
          <w:lang w:bidi="ru-RU"/>
        </w:rPr>
      </w:pPr>
      <w:r w:rsidRPr="005F30C6">
        <w:rPr>
          <w:i/>
          <w:lang w:bidi="ru-RU"/>
        </w:rPr>
        <w:tab/>
        <w:t>Статья 1. Цель</w:t>
      </w:r>
    </w:p>
    <w:p w:rsidR="005F30C6" w:rsidRPr="005F30C6" w:rsidRDefault="005F30C6" w:rsidP="005355ED">
      <w:pPr>
        <w:pStyle w:val="SingleTxtGR"/>
        <w:rPr>
          <w:lang w:bidi="ru-RU"/>
        </w:rPr>
      </w:pPr>
      <w:r w:rsidRPr="005F30C6">
        <w:rPr>
          <w:lang w:bidi="ru-RU"/>
        </w:rPr>
        <w:tab/>
        <w:t>1.1</w:t>
      </w:r>
      <w:r w:rsidRPr="005F30C6">
        <w:rPr>
          <w:lang w:bidi="ru-RU"/>
        </w:rPr>
        <w:tab/>
        <w:t>Цель настоящего Соглашения состоит в:</w:t>
      </w:r>
    </w:p>
    <w:p w:rsidR="005F30C6" w:rsidRPr="005F30C6" w:rsidRDefault="005F30C6" w:rsidP="00AB5CE2">
      <w:pPr>
        <w:pStyle w:val="SingleTxtGR"/>
        <w:ind w:left="1701"/>
        <w:rPr>
          <w:lang w:bidi="ru-RU"/>
        </w:rPr>
      </w:pPr>
      <w:r w:rsidRPr="005F30C6">
        <w:rPr>
          <w:lang w:bidi="ru-RU"/>
        </w:rPr>
        <w:t>1.1.1</w:t>
      </w:r>
      <w:r w:rsidRPr="005F30C6">
        <w:rPr>
          <w:lang w:bidi="ru-RU"/>
        </w:rPr>
        <w:tab/>
        <w:t>обеспечении глобального процесса, в рамках которого Договаривающиеся стороны из всех регионов мира могли бы совместно разрабатывать глобальные технические правила, касающиеся рабочих характеристик колесных транспортных средств, предметов оборудования и частей, которые могут быть установлены и/или использованы на колесных транспортных средствах, в области безопасности, охраны окружающей среды, эффективного использования энергии и защиты от угона;</w:t>
      </w:r>
    </w:p>
    <w:p w:rsidR="005F30C6" w:rsidRPr="005F30C6" w:rsidRDefault="005F30C6" w:rsidP="00AB5CE2">
      <w:pPr>
        <w:pStyle w:val="SingleTxtGR"/>
        <w:ind w:left="1701"/>
        <w:rPr>
          <w:lang w:bidi="ru-RU"/>
        </w:rPr>
      </w:pPr>
      <w:r w:rsidRPr="005F30C6">
        <w:rPr>
          <w:lang w:bidi="ru-RU"/>
        </w:rPr>
        <w:t>1.1.2</w:t>
      </w:r>
      <w:r w:rsidRPr="005F30C6">
        <w:rPr>
          <w:lang w:bidi="ru-RU"/>
        </w:rPr>
        <w:tab/>
        <w:t>обеспечении при разработке глобальных технических правил надлежащего и объективного учета существующих технических правил, применяемых Договаривающимися сторонами, а также правил ЕЭК ООН;</w:t>
      </w:r>
    </w:p>
    <w:p w:rsidR="005F30C6" w:rsidRPr="005F30C6" w:rsidRDefault="005F30C6" w:rsidP="00AB5CE2">
      <w:pPr>
        <w:pStyle w:val="SingleTxtGR"/>
        <w:ind w:left="1701"/>
        <w:rPr>
          <w:lang w:bidi="ru-RU"/>
        </w:rPr>
      </w:pPr>
      <w:r w:rsidRPr="005F30C6">
        <w:rPr>
          <w:lang w:bidi="ru-RU"/>
        </w:rPr>
        <w:t>1.1.3</w:t>
      </w:r>
      <w:r w:rsidRPr="005F30C6">
        <w:rPr>
          <w:lang w:bidi="ru-RU"/>
        </w:rPr>
        <w:tab/>
        <w:t>обеспечении, в соответствующих случаях, при разработке глобальных технических правил объективного учета оценки наилучшей имеющейся технологии, относительных преимуществ и эффективности затрат;</w:t>
      </w:r>
    </w:p>
    <w:p w:rsidR="005F30C6" w:rsidRPr="005F30C6" w:rsidRDefault="005F30C6" w:rsidP="00AB5CE2">
      <w:pPr>
        <w:pStyle w:val="SingleTxtGR"/>
        <w:ind w:left="1701"/>
        <w:rPr>
          <w:lang w:bidi="ru-RU"/>
        </w:rPr>
      </w:pPr>
      <w:r w:rsidRPr="005F30C6">
        <w:rPr>
          <w:lang w:bidi="ru-RU"/>
        </w:rPr>
        <w:t>1.1.4</w:t>
      </w:r>
      <w:r w:rsidRPr="005F30C6">
        <w:rPr>
          <w:lang w:bidi="ru-RU"/>
        </w:rPr>
        <w:tab/>
        <w:t>обеспечении транспарентности процедур, используемых при разработке глобальных технических правил;</w:t>
      </w:r>
    </w:p>
    <w:p w:rsidR="005F30C6" w:rsidRPr="005F30C6" w:rsidRDefault="005F30C6" w:rsidP="00AB5CE2">
      <w:pPr>
        <w:pStyle w:val="SingleTxtGR"/>
        <w:ind w:left="1701"/>
        <w:rPr>
          <w:lang w:bidi="ru-RU"/>
        </w:rPr>
      </w:pPr>
      <w:r w:rsidRPr="005F30C6">
        <w:rPr>
          <w:lang w:bidi="ru-RU"/>
        </w:rPr>
        <w:t>1.1.5</w:t>
      </w:r>
      <w:r w:rsidRPr="005F30C6">
        <w:rPr>
          <w:lang w:bidi="ru-RU"/>
        </w:rPr>
        <w:tab/>
        <w:t>достижении высоких уровней рабочих характеристик в области безопасности, охраны окружающей среды, эффективного использования энергии и защиты от угона в рамках мирового сообщества и обеспечении того, чтобы меры, принимаемые в соответствии с настоящим Соглашением, не стимулировали либо не влекли за собой снижения этих уровней в рамках юрисдикции Договаривающихся сторон, в том числе на наднациональном уровне;</w:t>
      </w:r>
    </w:p>
    <w:p w:rsidR="005F30C6" w:rsidRPr="005F30C6" w:rsidRDefault="005F30C6" w:rsidP="00AB5CE2">
      <w:pPr>
        <w:pStyle w:val="SingleTxtGR"/>
        <w:ind w:left="1701"/>
        <w:rPr>
          <w:lang w:bidi="ru-RU"/>
        </w:rPr>
      </w:pPr>
      <w:r w:rsidRPr="005F30C6">
        <w:rPr>
          <w:lang w:bidi="ru-RU"/>
        </w:rPr>
        <w:t>1.1.6</w:t>
      </w:r>
      <w:r w:rsidRPr="005F30C6">
        <w:rPr>
          <w:lang w:bidi="ru-RU"/>
        </w:rPr>
        <w:tab/>
        <w:t>снижении технических барьеров в международной торговле посредством согласования существующих технических правил, применяемых Договаривающимися сторонами, и правил ЕЭК ООН и разработки новых глобальных технических правил, регулирующих рабочие характеристики колесных транспортных средств, предметов оборудования и частей, которые могут быть установлены и/или использованы на колесных транспортных средствах, в области безопасности, охраны окружающей среды, эффективного использования энергии и защиты от угона и отвечающих целям достижения высоких уровней безопасности и охраны окружающей среды, а также другим перечисленным выше целям; и</w:t>
      </w:r>
    </w:p>
    <w:p w:rsidR="005F30C6" w:rsidRPr="005F30C6" w:rsidRDefault="005F30C6" w:rsidP="00AB5CE2">
      <w:pPr>
        <w:pStyle w:val="SingleTxtGR"/>
        <w:ind w:left="1701"/>
        <w:rPr>
          <w:lang w:bidi="ru-RU"/>
        </w:rPr>
      </w:pPr>
      <w:r w:rsidRPr="005F30C6">
        <w:rPr>
          <w:lang w:bidi="ru-RU"/>
        </w:rPr>
        <w:t>1.1.7</w:t>
      </w:r>
      <w:r w:rsidRPr="005F30C6">
        <w:rPr>
          <w:lang w:bidi="ru-RU"/>
        </w:rPr>
        <w:tab/>
        <w:t>обеспечении в тех случаях, когда для облегчения нормативной деятельности некоторых стран необходимы альтернативные уровни обязательных требований, учета таких потребностей при разработке и введении глобальных технических правил».</w:t>
      </w:r>
    </w:p>
    <w:p w:rsidR="005F30C6" w:rsidRPr="005F30C6" w:rsidRDefault="005F30C6" w:rsidP="005355ED">
      <w:pPr>
        <w:pStyle w:val="SingleTxtGR"/>
        <w:rPr>
          <w:lang w:bidi="ru-RU"/>
        </w:rPr>
      </w:pPr>
      <w:r w:rsidRPr="005F30C6">
        <w:rPr>
          <w:lang w:bidi="ru-RU"/>
        </w:rPr>
        <w:t>4.</w:t>
      </w:r>
      <w:r w:rsidRPr="005F30C6">
        <w:rPr>
          <w:lang w:bidi="ru-RU"/>
        </w:rPr>
        <w:tab/>
        <w:t xml:space="preserve">Вскоре после вступления Соглашения в силу Исполнительный комитет Соглашения 1998 года (АС.3) утвердил </w:t>
      </w:r>
      <w:r w:rsidR="002D415F">
        <w:rPr>
          <w:lang w:bidi="ru-RU"/>
        </w:rPr>
        <w:t>первоначальную программу работы </w:t>
      </w:r>
      <w:r w:rsidRPr="005F30C6">
        <w:rPr>
          <w:lang w:bidi="ru-RU"/>
        </w:rPr>
        <w:t xml:space="preserve">(ПР), охватывающую существующие национальные правила, добиться согласования которых представлялось несложным. К их числу относятся, например, правила по безопасности транспортных средств, касающиеся дверных замков, освещения, стекловых материалов и торможения. Выбор этих правил был продиктован главным образом стремлением предоставить Договаривающимся сторонам (ДС) возможность накопить определенный практический опыт задействования процедур в рамках нового Соглашения, диктующего необходимость использования – при разработке и введении правил – подхода на базе процесса, основанного на полученных данных и подкрепленного результатами анализа. </w:t>
      </w:r>
    </w:p>
    <w:p w:rsidR="005F30C6" w:rsidRPr="005F30C6" w:rsidRDefault="005F30C6" w:rsidP="005355ED">
      <w:pPr>
        <w:pStyle w:val="SingleTxtGR"/>
        <w:rPr>
          <w:lang w:bidi="ru-RU"/>
        </w:rPr>
      </w:pPr>
      <w:r w:rsidRPr="005F30C6">
        <w:rPr>
          <w:lang w:bidi="ru-RU"/>
        </w:rPr>
        <w:t>5.</w:t>
      </w:r>
      <w:r w:rsidRPr="005F30C6">
        <w:rPr>
          <w:lang w:bidi="ru-RU"/>
        </w:rPr>
        <w:tab/>
        <w:t>К 2014 году многие из этих правил были успешно согласованы. Однако со временем возник ряд непредвиденных затруднений. В основе многих предложений, фигурировавших в первоначальной ПР, лежали уже давно действующие национальные правила, предписания которых и предусматриваемые процедуры испытаний было трудно изменить затратоэффективным образом. В других же случаях соответствующие предложения не были сочтены актуальными или особо значимыми в плане их приоритетности для ДС, а посему они не встретили надлежащей поддержки и на их проработку не было выделено достаточных ресурсов. По указанным причинам либо некоторые из пунктов были изъяты, либо на завершение процесса их согласования понадобилось намного больше лет, чем это планировалось изначально. Ниже приводится соответствующий перечень.</w:t>
      </w:r>
    </w:p>
    <w:p w:rsidR="005F30C6" w:rsidRPr="005F30C6" w:rsidRDefault="005F30C6" w:rsidP="005355ED">
      <w:pPr>
        <w:pStyle w:val="SingleTxtGR"/>
        <w:rPr>
          <w:b/>
          <w:lang w:bidi="ru-RU"/>
        </w:rPr>
      </w:pPr>
      <w:r w:rsidRPr="005F30C6">
        <w:rPr>
          <w:b/>
          <w:lang w:bidi="ru-RU"/>
        </w:rPr>
        <w:t>Рабочая группа по вопросам освещения и световой сигнализации (GRE)</w:t>
      </w:r>
    </w:p>
    <w:p w:rsidR="005F30C6" w:rsidRPr="005F30C6" w:rsidRDefault="005F30C6" w:rsidP="005355ED">
      <w:pPr>
        <w:pStyle w:val="SingleTxtGR"/>
        <w:rPr>
          <w:lang w:bidi="ru-RU"/>
        </w:rPr>
      </w:pPr>
      <w:r w:rsidRPr="005F30C6">
        <w:rPr>
          <w:lang w:bidi="ru-RU"/>
        </w:rPr>
        <w:t>Установка устройств освещения и световой сигнализации – (изъят из ПР)</w:t>
      </w:r>
    </w:p>
    <w:p w:rsidR="005F30C6" w:rsidRPr="005F30C6" w:rsidRDefault="005F30C6" w:rsidP="005355ED">
      <w:pPr>
        <w:pStyle w:val="SingleTxtGR"/>
        <w:rPr>
          <w:b/>
          <w:lang w:bidi="ru-RU"/>
        </w:rPr>
      </w:pPr>
      <w:r w:rsidRPr="005F30C6">
        <w:rPr>
          <w:b/>
          <w:lang w:bidi="ru-RU"/>
        </w:rPr>
        <w:t>Рабочая группа по вопросам торможения и ходовой части (GRRF)</w:t>
      </w:r>
    </w:p>
    <w:p w:rsidR="005F30C6" w:rsidRPr="005F30C6" w:rsidRDefault="005F30C6" w:rsidP="005355ED">
      <w:pPr>
        <w:pStyle w:val="SingleTxtGR"/>
        <w:rPr>
          <w:lang w:bidi="ru-RU"/>
        </w:rPr>
      </w:pPr>
      <w:r w:rsidRPr="005F30C6">
        <w:rPr>
          <w:lang w:bidi="ru-RU"/>
        </w:rPr>
        <w:t>Тормозные системы мотоциклов – согласование завершено в ноябре 2006 года</w:t>
      </w:r>
    </w:p>
    <w:p w:rsidR="005F30C6" w:rsidRPr="005F30C6" w:rsidRDefault="005F30C6" w:rsidP="005355ED">
      <w:pPr>
        <w:pStyle w:val="SingleTxtGR"/>
        <w:rPr>
          <w:lang w:bidi="ru-RU"/>
        </w:rPr>
      </w:pPr>
      <w:r w:rsidRPr="005F30C6">
        <w:rPr>
          <w:lang w:bidi="ru-RU"/>
        </w:rPr>
        <w:t>Тормозные системы пассажирских транспортных средств – (изъят из ПР)</w:t>
      </w:r>
    </w:p>
    <w:p w:rsidR="005F30C6" w:rsidRPr="005F30C6" w:rsidRDefault="005F30C6" w:rsidP="005355ED">
      <w:pPr>
        <w:pStyle w:val="SingleTxtGR"/>
        <w:rPr>
          <w:b/>
          <w:lang w:bidi="ru-RU"/>
        </w:rPr>
      </w:pPr>
      <w:r w:rsidRPr="005F30C6">
        <w:rPr>
          <w:b/>
          <w:lang w:bidi="ru-RU"/>
        </w:rPr>
        <w:t>Рабочая группа по пассивной безопасности (GRSG)</w:t>
      </w:r>
    </w:p>
    <w:p w:rsidR="005F30C6" w:rsidRPr="005F30C6" w:rsidRDefault="005F30C6" w:rsidP="005355ED">
      <w:pPr>
        <w:pStyle w:val="SingleTxtGR"/>
        <w:rPr>
          <w:lang w:bidi="ru-RU"/>
        </w:rPr>
      </w:pPr>
      <w:r w:rsidRPr="005F30C6">
        <w:rPr>
          <w:lang w:bidi="ru-RU"/>
        </w:rPr>
        <w:t>Безопасные стекловые материалы – март 2008 года</w:t>
      </w:r>
    </w:p>
    <w:p w:rsidR="005F30C6" w:rsidRPr="005F30C6" w:rsidRDefault="005F30C6" w:rsidP="005355ED">
      <w:pPr>
        <w:pStyle w:val="SingleTxtGR"/>
        <w:rPr>
          <w:lang w:bidi="ru-RU"/>
        </w:rPr>
      </w:pPr>
      <w:r w:rsidRPr="005F30C6">
        <w:rPr>
          <w:lang w:bidi="ru-RU"/>
        </w:rPr>
        <w:t>Органы управления и индикаторы – (изъят из ПР)</w:t>
      </w:r>
    </w:p>
    <w:p w:rsidR="005F30C6" w:rsidRPr="005F30C6" w:rsidRDefault="005F30C6" w:rsidP="005355ED">
      <w:pPr>
        <w:pStyle w:val="SingleTxtGR"/>
        <w:rPr>
          <w:lang w:bidi="ru-RU"/>
        </w:rPr>
      </w:pPr>
      <w:r w:rsidRPr="005F30C6">
        <w:rPr>
          <w:lang w:bidi="ru-RU"/>
        </w:rPr>
        <w:t>Классификация транспортных средств, массы и размеры – июнь 2005 года</w:t>
      </w:r>
    </w:p>
    <w:p w:rsidR="005F30C6" w:rsidRPr="005F30C6" w:rsidRDefault="005F30C6" w:rsidP="005355ED">
      <w:pPr>
        <w:pStyle w:val="SingleTxtGR"/>
        <w:rPr>
          <w:b/>
          <w:lang w:bidi="ru-RU"/>
        </w:rPr>
      </w:pPr>
      <w:r w:rsidRPr="005F30C6">
        <w:rPr>
          <w:b/>
          <w:lang w:bidi="ru-RU"/>
        </w:rPr>
        <w:t>Рабочая группа по пассивной безопасности (GRSP)</w:t>
      </w:r>
    </w:p>
    <w:p w:rsidR="005F30C6" w:rsidRPr="005F30C6" w:rsidRDefault="005F30C6" w:rsidP="005355ED">
      <w:pPr>
        <w:pStyle w:val="SingleTxtGR"/>
        <w:rPr>
          <w:lang w:bidi="ru-RU"/>
        </w:rPr>
      </w:pPr>
      <w:r w:rsidRPr="005F30C6">
        <w:rPr>
          <w:lang w:bidi="ru-RU"/>
        </w:rPr>
        <w:t>Безопасность пешеходов – ноябрь 2008 года</w:t>
      </w:r>
    </w:p>
    <w:p w:rsidR="005F30C6" w:rsidRPr="005F30C6" w:rsidRDefault="005F30C6" w:rsidP="00426077">
      <w:pPr>
        <w:pStyle w:val="SingleTxtGR"/>
        <w:jc w:val="left"/>
        <w:rPr>
          <w:lang w:bidi="ru-RU"/>
        </w:rPr>
      </w:pPr>
      <w:r w:rsidRPr="005F30C6">
        <w:rPr>
          <w:lang w:bidi="ru-RU"/>
        </w:rPr>
        <w:t>Нижние крепления и ремни для детских удерживающих сидений</w:t>
      </w:r>
      <w:r w:rsidR="00426077">
        <w:rPr>
          <w:lang w:bidi="ru-RU"/>
        </w:rPr>
        <w:t xml:space="preserve"> </w:t>
      </w:r>
      <w:r w:rsidRPr="005F30C6">
        <w:rPr>
          <w:lang w:bidi="ru-RU"/>
        </w:rPr>
        <w:t>–</w:t>
      </w:r>
      <w:r w:rsidR="00426077">
        <w:rPr>
          <w:lang w:bidi="ru-RU"/>
        </w:rPr>
        <w:t xml:space="preserve"> </w:t>
      </w:r>
      <w:r w:rsidR="00426077">
        <w:rPr>
          <w:lang w:bidi="ru-RU"/>
        </w:rPr>
        <w:br/>
      </w:r>
      <w:r w:rsidRPr="005F30C6">
        <w:rPr>
          <w:lang w:bidi="ru-RU"/>
        </w:rPr>
        <w:t>(изъят из</w:t>
      </w:r>
      <w:r w:rsidR="003165AC">
        <w:rPr>
          <w:lang w:val="en-US" w:bidi="ru-RU"/>
        </w:rPr>
        <w:t> </w:t>
      </w:r>
      <w:r w:rsidRPr="005F30C6">
        <w:rPr>
          <w:lang w:bidi="ru-RU"/>
        </w:rPr>
        <w:t>ПР)</w:t>
      </w:r>
    </w:p>
    <w:p w:rsidR="005F30C6" w:rsidRPr="005F30C6" w:rsidRDefault="005F30C6" w:rsidP="005355ED">
      <w:pPr>
        <w:pStyle w:val="SingleTxtGR"/>
        <w:rPr>
          <w:lang w:bidi="ru-RU"/>
        </w:rPr>
      </w:pPr>
      <w:r w:rsidRPr="005F30C6">
        <w:rPr>
          <w:lang w:bidi="ru-RU"/>
        </w:rPr>
        <w:t>Элементы крепления дверей – ноябрь 2004 года</w:t>
      </w:r>
    </w:p>
    <w:p w:rsidR="005F30C6" w:rsidRPr="005F30C6" w:rsidRDefault="005F30C6" w:rsidP="005355ED">
      <w:pPr>
        <w:pStyle w:val="SingleTxtGR"/>
        <w:rPr>
          <w:lang w:bidi="ru-RU"/>
        </w:rPr>
      </w:pPr>
      <w:r w:rsidRPr="005F30C6">
        <w:rPr>
          <w:lang w:bidi="ru-RU"/>
        </w:rPr>
        <w:t>Подголовники – март 2008 года</w:t>
      </w:r>
    </w:p>
    <w:p w:rsidR="005F30C6" w:rsidRPr="005F30C6" w:rsidRDefault="005F30C6" w:rsidP="005355ED">
      <w:pPr>
        <w:pStyle w:val="SingleTxtGR"/>
        <w:rPr>
          <w:b/>
          <w:lang w:bidi="ru-RU"/>
        </w:rPr>
      </w:pPr>
      <w:r w:rsidRPr="005F30C6">
        <w:rPr>
          <w:b/>
          <w:lang w:bidi="ru-RU"/>
        </w:rPr>
        <w:t>Рабочая группа по проблемам энергии и загрязнения окружающей среды (GRPE)</w:t>
      </w:r>
    </w:p>
    <w:p w:rsidR="005F30C6" w:rsidRPr="005F30C6" w:rsidRDefault="005F30C6" w:rsidP="005355ED">
      <w:pPr>
        <w:pStyle w:val="SingleTxtGR"/>
        <w:rPr>
          <w:lang w:bidi="ru-RU"/>
        </w:rPr>
      </w:pPr>
      <w:r w:rsidRPr="005F30C6">
        <w:rPr>
          <w:lang w:bidi="ru-RU"/>
        </w:rPr>
        <w:t>Всемирная процедура сертификации двигателей большой мощности (ВСДБ) – ноябрь 2006 года</w:t>
      </w:r>
    </w:p>
    <w:p w:rsidR="005F30C6" w:rsidRPr="005F30C6" w:rsidRDefault="005F30C6" w:rsidP="005355ED">
      <w:pPr>
        <w:pStyle w:val="SingleTxtGR"/>
        <w:rPr>
          <w:lang w:bidi="ru-RU"/>
        </w:rPr>
      </w:pPr>
      <w:r w:rsidRPr="005F30C6">
        <w:rPr>
          <w:lang w:bidi="ru-RU"/>
        </w:rPr>
        <w:t>Всемирный цикл испытаний мотоциклов на выбросы загрязняющих веществ (ВЦИМ) – июнь 2005 года</w:t>
      </w:r>
    </w:p>
    <w:p w:rsidR="005F30C6" w:rsidRPr="005F30C6" w:rsidRDefault="005F30C6" w:rsidP="005355ED">
      <w:pPr>
        <w:pStyle w:val="SingleTxtGR"/>
        <w:rPr>
          <w:lang w:bidi="ru-RU"/>
        </w:rPr>
      </w:pPr>
      <w:r w:rsidRPr="005F30C6">
        <w:rPr>
          <w:lang w:bidi="ru-RU"/>
        </w:rPr>
        <w:t>БД (двигатели большой мощности) – ноябрь 2006 года</w:t>
      </w:r>
    </w:p>
    <w:p w:rsidR="005F30C6" w:rsidRPr="005F30C6" w:rsidRDefault="005F30C6" w:rsidP="005355ED">
      <w:pPr>
        <w:pStyle w:val="SingleTxtGR"/>
        <w:rPr>
          <w:lang w:bidi="ru-RU"/>
        </w:rPr>
      </w:pPr>
      <w:r w:rsidRPr="005F30C6">
        <w:rPr>
          <w:lang w:bidi="ru-RU"/>
        </w:rPr>
        <w:t>Выбросы вне цикла испытаний – июнь 2009 года</w:t>
      </w:r>
    </w:p>
    <w:p w:rsidR="005F30C6" w:rsidRPr="005F30C6" w:rsidRDefault="005F30C6" w:rsidP="00426077">
      <w:pPr>
        <w:pStyle w:val="SingleTxtGR"/>
        <w:jc w:val="left"/>
        <w:rPr>
          <w:lang w:bidi="ru-RU"/>
        </w:rPr>
      </w:pPr>
      <w:r w:rsidRPr="005F30C6">
        <w:rPr>
          <w:lang w:bidi="ru-RU"/>
        </w:rPr>
        <w:t xml:space="preserve">Внедорожная подвижная техника (испытание на выбросы ТЧ) – </w:t>
      </w:r>
      <w:r w:rsidR="00426077">
        <w:rPr>
          <w:lang w:bidi="ru-RU"/>
        </w:rPr>
        <w:br/>
      </w:r>
      <w:r w:rsidRPr="005F30C6">
        <w:rPr>
          <w:lang w:bidi="ru-RU"/>
        </w:rPr>
        <w:t>ноябрь 2009 года</w:t>
      </w:r>
    </w:p>
    <w:p w:rsidR="005F30C6" w:rsidRPr="005F30C6" w:rsidRDefault="00AB5CE2" w:rsidP="005355ED">
      <w:pPr>
        <w:pStyle w:val="SingleTxtGR"/>
        <w:rPr>
          <w:lang w:bidi="ru-RU"/>
        </w:rPr>
      </w:pPr>
      <w:r w:rsidRPr="00426077">
        <w:rPr>
          <w:lang w:bidi="ru-RU"/>
        </w:rPr>
        <w:tab/>
      </w:r>
      <w:r w:rsidR="005F30C6" w:rsidRPr="005F30C6">
        <w:rPr>
          <w:lang w:bidi="ru-RU"/>
        </w:rPr>
        <w:t>Примерно в 2007 году WP.29, опираясь на опыт рассмотрения пунктов, отобранных для включения в первоначальную программу работы, и движимый стремлением избежать аналогичных трудностей и обеспечить более полный учет текущих приоритетов ДС в области нормативных положений, приступил к добавлению в ПР новых пунктов. Эти пункты перечислены ниже.</w:t>
      </w:r>
    </w:p>
    <w:p w:rsidR="005F30C6" w:rsidRPr="005F30C6" w:rsidRDefault="005F30C6" w:rsidP="005355ED">
      <w:pPr>
        <w:pStyle w:val="SingleTxtGR"/>
        <w:rPr>
          <w:b/>
          <w:lang w:bidi="ru-RU"/>
        </w:rPr>
      </w:pPr>
      <w:r w:rsidRPr="005F30C6">
        <w:rPr>
          <w:b/>
          <w:lang w:bidi="ru-RU"/>
        </w:rPr>
        <w:t>GRRF</w:t>
      </w:r>
    </w:p>
    <w:p w:rsidR="005F30C6" w:rsidRPr="005F30C6" w:rsidRDefault="005F30C6" w:rsidP="005355ED">
      <w:pPr>
        <w:pStyle w:val="SingleTxtGR"/>
        <w:rPr>
          <w:lang w:bidi="ru-RU"/>
        </w:rPr>
      </w:pPr>
      <w:r w:rsidRPr="005F30C6">
        <w:rPr>
          <w:lang w:bidi="ru-RU"/>
        </w:rPr>
        <w:t>Электронный контроль устойчивости – добавлен в 2007 году; утвержден в июне 2008 года</w:t>
      </w:r>
    </w:p>
    <w:p w:rsidR="005F30C6" w:rsidRPr="005F30C6" w:rsidRDefault="005F30C6" w:rsidP="005355ED">
      <w:pPr>
        <w:pStyle w:val="SingleTxtGR"/>
        <w:rPr>
          <w:lang w:bidi="ru-RU"/>
        </w:rPr>
      </w:pPr>
      <w:r w:rsidRPr="005F30C6">
        <w:rPr>
          <w:lang w:bidi="ru-RU"/>
        </w:rPr>
        <w:t>Органы управления и индикаторы для мотоциклов – добавлен в 2009 году; утвержден в ноябре 2011 года</w:t>
      </w:r>
    </w:p>
    <w:p w:rsidR="005F30C6" w:rsidRPr="005F30C6" w:rsidRDefault="005F30C6" w:rsidP="005355ED">
      <w:pPr>
        <w:pStyle w:val="SingleTxtGR"/>
        <w:rPr>
          <w:b/>
          <w:lang w:bidi="ru-RU"/>
        </w:rPr>
      </w:pPr>
      <w:r w:rsidRPr="005F30C6">
        <w:rPr>
          <w:b/>
          <w:lang w:bidi="ru-RU"/>
        </w:rPr>
        <w:t>GRSP</w:t>
      </w:r>
    </w:p>
    <w:p w:rsidR="005F30C6" w:rsidRPr="005F30C6" w:rsidRDefault="005F30C6" w:rsidP="005355ED">
      <w:pPr>
        <w:pStyle w:val="SingleTxtGR"/>
        <w:rPr>
          <w:lang w:bidi="ru-RU"/>
        </w:rPr>
      </w:pPr>
      <w:r w:rsidRPr="005F30C6">
        <w:rPr>
          <w:lang w:bidi="ru-RU"/>
        </w:rPr>
        <w:t>Водородные транспортные средства – добавлен в 2004 году; согласование завершено в июне 2013 года</w:t>
      </w:r>
    </w:p>
    <w:p w:rsidR="005F30C6" w:rsidRPr="005F30C6" w:rsidRDefault="005F30C6" w:rsidP="005355ED">
      <w:pPr>
        <w:pStyle w:val="SingleTxtGR"/>
        <w:rPr>
          <w:lang w:bidi="ru-RU"/>
        </w:rPr>
      </w:pPr>
      <w:r w:rsidRPr="005F30C6">
        <w:rPr>
          <w:lang w:bidi="ru-RU"/>
        </w:rPr>
        <w:t>Боковой удар о столб – добавлен в 2010 году; согласование завершено в ноябре 2013 года</w:t>
      </w:r>
    </w:p>
    <w:p w:rsidR="005F30C6" w:rsidRPr="005F30C6" w:rsidRDefault="005F30C6" w:rsidP="005355ED">
      <w:pPr>
        <w:pStyle w:val="SingleTxtGR"/>
        <w:rPr>
          <w:lang w:bidi="ru-RU"/>
        </w:rPr>
      </w:pPr>
      <w:r w:rsidRPr="005F30C6">
        <w:rPr>
          <w:lang w:bidi="ru-RU"/>
        </w:rPr>
        <w:t xml:space="preserve">Электромобили – добавлен в 2013 году; в настоящее время ведется работа </w:t>
      </w:r>
    </w:p>
    <w:p w:rsidR="005F30C6" w:rsidRPr="005F30C6" w:rsidRDefault="005F30C6" w:rsidP="005355ED">
      <w:pPr>
        <w:pStyle w:val="SingleTxtGR"/>
        <w:rPr>
          <w:lang w:bidi="ru-RU"/>
        </w:rPr>
      </w:pPr>
      <w:r w:rsidRPr="005F30C6">
        <w:rPr>
          <w:lang w:bidi="ru-RU"/>
        </w:rPr>
        <w:t>Подголовники, этап 2 – в настоящее время ведется работа</w:t>
      </w:r>
    </w:p>
    <w:p w:rsidR="005F30C6" w:rsidRPr="005F30C6" w:rsidRDefault="005F30C6" w:rsidP="005355ED">
      <w:pPr>
        <w:pStyle w:val="SingleTxtGR"/>
        <w:rPr>
          <w:lang w:bidi="ru-RU"/>
        </w:rPr>
      </w:pPr>
      <w:r w:rsidRPr="005F30C6">
        <w:rPr>
          <w:lang w:bidi="ru-RU"/>
        </w:rPr>
        <w:t>Безопасность пешеходов, этап 2 – в настоящее время ведется работа</w:t>
      </w:r>
    </w:p>
    <w:p w:rsidR="005F30C6" w:rsidRPr="005F30C6" w:rsidRDefault="005F30C6" w:rsidP="005355ED">
      <w:pPr>
        <w:pStyle w:val="SingleTxtGR"/>
        <w:rPr>
          <w:b/>
          <w:lang w:bidi="ru-RU"/>
        </w:rPr>
      </w:pPr>
      <w:r w:rsidRPr="005F30C6">
        <w:rPr>
          <w:b/>
          <w:lang w:bidi="ru-RU"/>
        </w:rPr>
        <w:t>GRPE</w:t>
      </w:r>
    </w:p>
    <w:p w:rsidR="005F30C6" w:rsidRPr="005F30C6" w:rsidRDefault="005F30C6" w:rsidP="005355ED">
      <w:pPr>
        <w:pStyle w:val="SingleTxtGR"/>
        <w:rPr>
          <w:lang w:bidi="ru-RU"/>
        </w:rPr>
      </w:pPr>
      <w:r w:rsidRPr="005F30C6">
        <w:rPr>
          <w:lang w:bidi="ru-RU"/>
        </w:rPr>
        <w:t>Всемирные согласованные процедуры испытания транспортных средств малой грузоподъемности – добавлен в 2007 году; согласование завершено в марте 2014 года</w:t>
      </w:r>
    </w:p>
    <w:p w:rsidR="005F30C6" w:rsidRPr="005F30C6" w:rsidRDefault="005F30C6" w:rsidP="005355ED">
      <w:pPr>
        <w:pStyle w:val="SingleTxtGR"/>
        <w:rPr>
          <w:lang w:bidi="ru-RU"/>
        </w:rPr>
      </w:pPr>
      <w:r w:rsidRPr="005F30C6">
        <w:rPr>
          <w:lang w:bidi="ru-RU"/>
        </w:rPr>
        <w:t>Электромобили (экологические факторы) – в настоящее время ведется работа</w:t>
      </w:r>
    </w:p>
    <w:p w:rsidR="005F30C6" w:rsidRPr="005F30C6" w:rsidRDefault="005F30C6" w:rsidP="005355ED">
      <w:pPr>
        <w:pStyle w:val="SingleTxtGR"/>
        <w:rPr>
          <w:lang w:bidi="ru-RU"/>
        </w:rPr>
      </w:pPr>
      <w:r w:rsidRPr="005F30C6">
        <w:rPr>
          <w:lang w:bidi="ru-RU"/>
        </w:rPr>
        <w:t>Три поправки к существующим ГТП, касающимся экологических аспектов</w:t>
      </w:r>
      <w:r w:rsidR="00426077">
        <w:rPr>
          <w:lang w:bidi="ru-RU"/>
        </w:rPr>
        <w:t>,</w:t>
      </w:r>
      <w:r w:rsidRPr="005F30C6">
        <w:rPr>
          <w:lang w:bidi="ru-RU"/>
        </w:rPr>
        <w:t xml:space="preserve"> – в</w:t>
      </w:r>
      <w:r w:rsidR="00E614BD">
        <w:rPr>
          <w:lang w:bidi="ru-RU"/>
        </w:rPr>
        <w:t> </w:t>
      </w:r>
      <w:r w:rsidRPr="005F30C6">
        <w:rPr>
          <w:lang w:bidi="ru-RU"/>
        </w:rPr>
        <w:t>настоящее время ведется работа</w:t>
      </w:r>
    </w:p>
    <w:p w:rsidR="005F30C6" w:rsidRPr="005F30C6" w:rsidRDefault="005F30C6" w:rsidP="005355ED">
      <w:pPr>
        <w:pStyle w:val="SingleTxtGR"/>
        <w:rPr>
          <w:b/>
          <w:lang w:bidi="ru-RU"/>
        </w:rPr>
      </w:pPr>
      <w:r w:rsidRPr="005F30C6">
        <w:rPr>
          <w:b/>
          <w:lang w:bidi="ru-RU"/>
        </w:rPr>
        <w:t>Рабочая группа по вопросам шума (GRB)</w:t>
      </w:r>
    </w:p>
    <w:p w:rsidR="005F30C6" w:rsidRPr="005F30C6" w:rsidRDefault="005F30C6" w:rsidP="005355ED">
      <w:pPr>
        <w:pStyle w:val="SingleTxtGR"/>
        <w:rPr>
          <w:lang w:bidi="ru-RU"/>
        </w:rPr>
      </w:pPr>
      <w:r w:rsidRPr="005F30C6">
        <w:rPr>
          <w:lang w:bidi="ru-RU"/>
        </w:rPr>
        <w:t>Бесшумные транспортные средства – добавлен в 2013 году; в настоящее время ведется работа</w:t>
      </w:r>
    </w:p>
    <w:p w:rsidR="005F30C6" w:rsidRPr="005F30C6" w:rsidRDefault="005F30C6" w:rsidP="005355ED">
      <w:pPr>
        <w:pStyle w:val="SingleTxtGR"/>
        <w:rPr>
          <w:lang w:bidi="ru-RU"/>
        </w:rPr>
      </w:pPr>
      <w:r w:rsidRPr="005F30C6">
        <w:rPr>
          <w:lang w:bidi="ru-RU"/>
        </w:rPr>
        <w:t>6.</w:t>
      </w:r>
      <w:r w:rsidRPr="005F30C6">
        <w:rPr>
          <w:lang w:bidi="ru-RU"/>
        </w:rPr>
        <w:tab/>
        <w:t>Несмотря на ускорение – после добавл</w:t>
      </w:r>
      <w:r w:rsidR="003165AC">
        <w:rPr>
          <w:lang w:bidi="ru-RU"/>
        </w:rPr>
        <w:t>ения отобранных для включения в</w:t>
      </w:r>
      <w:r w:rsidR="003165AC">
        <w:rPr>
          <w:lang w:val="en-US" w:bidi="ru-RU"/>
        </w:rPr>
        <w:t> </w:t>
      </w:r>
      <w:r w:rsidRPr="005F30C6">
        <w:rPr>
          <w:lang w:bidi="ru-RU"/>
        </w:rPr>
        <w:t>ПР новых пунктов – темпов разработки ГТП, все же необходим дальнейший прогресс. На сегодняшний день, более чем через 15 лет после принятия Соглашения 1998 года, были введены лишь 16 ГТП . Кроме того, как было признано на сессии WP.29 в марте 2014 года, значительное большинство ДС Соглашения не выполняет своих обязательств по уведомлению о включении ГТП в свое национальное законодательство. Это свидетельствует о том, что на самом деле ГТП, как правило, не включаются в национальное законодательство всех Договаривающихся сторон Соглашения.</w:t>
      </w:r>
    </w:p>
    <w:p w:rsidR="005F30C6" w:rsidRPr="005F30C6" w:rsidRDefault="005F30C6" w:rsidP="005355ED">
      <w:pPr>
        <w:pStyle w:val="SingleTxtGR"/>
        <w:rPr>
          <w:lang w:bidi="ru-RU"/>
        </w:rPr>
      </w:pPr>
      <w:r w:rsidRPr="005F30C6">
        <w:rPr>
          <w:lang w:bidi="ru-RU"/>
        </w:rPr>
        <w:t>7.</w:t>
      </w:r>
      <w:r w:rsidRPr="005F30C6">
        <w:rPr>
          <w:lang w:bidi="ru-RU"/>
        </w:rPr>
        <w:tab/>
        <w:t>В настоящей Специальной резолюции излагаются соображения Соединенных Штатов Америки, Японии и Европейского союза относительно стимулирования дискуссии и истребования отдачи от всех заинтересованных сторон в интересах достижения более значительного прогресса в деле осуществления Глобального соглашения 1998 года.</w:t>
      </w:r>
    </w:p>
    <w:p w:rsidR="005F30C6" w:rsidRPr="005F30C6" w:rsidRDefault="005F30C6" w:rsidP="00AB5CE2">
      <w:pPr>
        <w:pStyle w:val="H1GR"/>
        <w:rPr>
          <w:lang w:bidi="ru-RU"/>
        </w:rPr>
      </w:pPr>
      <w:r w:rsidRPr="005F30C6">
        <w:rPr>
          <w:lang w:bidi="ru-RU"/>
        </w:rPr>
        <w:tab/>
        <w:t>D.</w:t>
      </w:r>
      <w:r w:rsidRPr="005F30C6">
        <w:rPr>
          <w:lang w:bidi="ru-RU"/>
        </w:rPr>
        <w:tab/>
        <w:t>Совершенствование процесса осуществления Соглашения 1998</w:t>
      </w:r>
      <w:r w:rsidR="00781557">
        <w:rPr>
          <w:lang w:bidi="ru-RU"/>
        </w:rPr>
        <w:t> </w:t>
      </w:r>
      <w:r w:rsidRPr="005F30C6">
        <w:rPr>
          <w:lang w:bidi="ru-RU"/>
        </w:rPr>
        <w:t>года</w:t>
      </w:r>
    </w:p>
    <w:p w:rsidR="005F30C6" w:rsidRPr="005F30C6" w:rsidRDefault="005F30C6" w:rsidP="005355ED">
      <w:pPr>
        <w:pStyle w:val="SingleTxtGR"/>
        <w:rPr>
          <w:lang w:bidi="ru-RU"/>
        </w:rPr>
      </w:pPr>
      <w:r w:rsidRPr="005F30C6">
        <w:rPr>
          <w:lang w:bidi="ru-RU"/>
        </w:rPr>
        <w:t>8.</w:t>
      </w:r>
      <w:r w:rsidRPr="005F30C6">
        <w:rPr>
          <w:lang w:bidi="ru-RU"/>
        </w:rPr>
        <w:tab/>
        <w:t>Темпы разработки ГТП являются удручающими, а отдельные ДС не в состоянии обеспечить быстрое принятие ГТП на национальном уровне. Вместе с тем ДС сталкиваются с существенным дефицитом ресурсов в плане наличия персонала для работы над ГТП и фондов путевых расходов, необходимых для обслуживания соответствующих поездок. Одним из ключевых аспектов, как представляется, является обеспечение увязки ПР WP.29 с приоритетами ДС и испытываемым ими дефицитом ресурсов, а также более тесная смычка между национальным механизмом введения нормативных положений и процессом принятия ГТП. В контексте работы по усовершенствованию важно помнить, что Соглашение ориентировано на «достижение высоких уровней рабочих характеристик в области безопасности, охраны окружающей среды, эффективного использования энергии и защиты от угона в рамках мирового сообщества». Кроме того, необходимо признать, что условия, существующие в некоторых ДС, вынуждают их отдавать приоритет тем ГТП, которые сулят ощутимые отечественные преимущества в плане безопасности и охраны окружающей среды, равно как и потенциальные экономические выгоды от согласования. Обеспечение баланса между этими приоритетами и наличными ресурсами может потребовать достижения договоренности относительно сокращения ПР с исключением из нее ряда нынешних направлений деятельности в ответ на усиление акцента на небольшом круге важных областей.</w:t>
      </w:r>
    </w:p>
    <w:p w:rsidR="005F30C6" w:rsidRPr="005F30C6" w:rsidRDefault="005F30C6" w:rsidP="005355ED">
      <w:pPr>
        <w:pStyle w:val="SingleTxtGR"/>
        <w:rPr>
          <w:lang w:bidi="ru-RU"/>
        </w:rPr>
      </w:pPr>
      <w:r w:rsidRPr="005F30C6">
        <w:rPr>
          <w:lang w:bidi="ru-RU"/>
        </w:rPr>
        <w:t>9.</w:t>
      </w:r>
      <w:r w:rsidRPr="005F30C6">
        <w:rPr>
          <w:lang w:bidi="ru-RU"/>
        </w:rPr>
        <w:tab/>
        <w:t xml:space="preserve">Были выявлены три области, которые особо нуждаются в усовершенствовании. Эти области – с указанием возможных решений – перечислены и охарактеризованы ниже. </w:t>
      </w:r>
    </w:p>
    <w:p w:rsidR="005F30C6" w:rsidRPr="005F30C6" w:rsidRDefault="005F30C6" w:rsidP="00AB5CE2">
      <w:pPr>
        <w:pStyle w:val="H23GR"/>
        <w:rPr>
          <w:lang w:bidi="ru-RU"/>
        </w:rPr>
      </w:pPr>
      <w:r w:rsidRPr="005F30C6">
        <w:rPr>
          <w:lang w:bidi="ru-RU"/>
        </w:rPr>
        <w:tab/>
        <w:t>1.</w:t>
      </w:r>
      <w:r w:rsidRPr="005F30C6">
        <w:rPr>
          <w:lang w:bidi="ru-RU"/>
        </w:rPr>
        <w:tab/>
        <w:t>Совершенствование стратегии</w:t>
      </w:r>
      <w:r w:rsidR="00781557">
        <w:rPr>
          <w:lang w:bidi="ru-RU"/>
        </w:rPr>
        <w:t xml:space="preserve"> отбора проектов для целей ПР</w:t>
      </w:r>
      <w:r w:rsidR="00670BC1">
        <w:rPr>
          <w:lang w:bidi="ru-RU"/>
        </w:rPr>
        <w:t>:</w:t>
      </w:r>
    </w:p>
    <w:p w:rsidR="005F30C6" w:rsidRPr="005F30C6" w:rsidRDefault="005F30C6" w:rsidP="005355ED">
      <w:pPr>
        <w:pStyle w:val="SingleTxtGR"/>
        <w:rPr>
          <w:lang w:bidi="ru-RU"/>
        </w:rPr>
      </w:pPr>
      <w:r w:rsidRPr="005F30C6">
        <w:rPr>
          <w:lang w:bidi="ru-RU"/>
        </w:rPr>
        <w:tab/>
        <w:t>a)</w:t>
      </w:r>
      <w:r w:rsidRPr="005F30C6">
        <w:rPr>
          <w:lang w:bidi="ru-RU"/>
        </w:rPr>
        <w:tab/>
        <w:t xml:space="preserve">при добавлении в ПР новых пунктов делать акцент на тех из них, которые являются высокоприоритетными для ДС, исходя главным образом из объема потенциальных преимуществ в плане обеспечения безопасности и охраны окружающей среды; </w:t>
      </w:r>
    </w:p>
    <w:p w:rsidR="005F30C6" w:rsidRPr="005F30C6" w:rsidRDefault="005F30C6" w:rsidP="005355ED">
      <w:pPr>
        <w:pStyle w:val="SingleTxtGR"/>
        <w:rPr>
          <w:lang w:bidi="ru-RU"/>
        </w:rPr>
      </w:pPr>
      <w:r w:rsidRPr="005F30C6">
        <w:rPr>
          <w:lang w:bidi="ru-RU"/>
        </w:rPr>
        <w:tab/>
        <w:t>b)</w:t>
      </w:r>
      <w:r w:rsidRPr="005F30C6">
        <w:rPr>
          <w:lang w:bidi="ru-RU"/>
        </w:rPr>
        <w:tab/>
        <w:t>обмениваться информацией между ДС относительно соответствующего планирования на национальном уровне деятельности по составлению программ нормотворческой и исследовательской работы для выявления общих черт;</w:t>
      </w:r>
    </w:p>
    <w:p w:rsidR="005F30C6" w:rsidRPr="005F30C6" w:rsidRDefault="005F30C6" w:rsidP="005355ED">
      <w:pPr>
        <w:pStyle w:val="SingleTxtGR"/>
        <w:rPr>
          <w:lang w:bidi="ru-RU"/>
        </w:rPr>
      </w:pPr>
      <w:r w:rsidRPr="005F30C6">
        <w:rPr>
          <w:lang w:bidi="ru-RU"/>
        </w:rPr>
        <w:tab/>
        <w:t>c)</w:t>
      </w:r>
      <w:r w:rsidRPr="005F30C6">
        <w:rPr>
          <w:lang w:bidi="ru-RU"/>
        </w:rPr>
        <w:tab/>
        <w:t>ежегодно организовывать в рамках одной из сессий WP.29 обстоятельное обсуждение с участием всех соответствующих заинтересованных сторон с особым упором на выявление среднесрочных и долгосрочных приоритетов;</w:t>
      </w:r>
    </w:p>
    <w:p w:rsidR="005F30C6" w:rsidRPr="005F30C6" w:rsidRDefault="005F30C6" w:rsidP="005355ED">
      <w:pPr>
        <w:pStyle w:val="SingleTxtGR"/>
        <w:rPr>
          <w:lang w:bidi="ru-RU"/>
        </w:rPr>
      </w:pPr>
      <w:r w:rsidRPr="005F30C6">
        <w:rPr>
          <w:lang w:bidi="ru-RU"/>
        </w:rPr>
        <w:tab/>
        <w:t>d)</w:t>
      </w:r>
      <w:r w:rsidRPr="005F30C6">
        <w:rPr>
          <w:lang w:bidi="ru-RU"/>
        </w:rPr>
        <w:tab/>
        <w:t>добавлять пункты, относящиеся к новым областям работы, особенно в контексте новейших технологий обеспечения безопасности и охраны окружающей среды;</w:t>
      </w:r>
    </w:p>
    <w:p w:rsidR="005F30C6" w:rsidRPr="005F30C6" w:rsidRDefault="005F30C6" w:rsidP="005355ED">
      <w:pPr>
        <w:pStyle w:val="SingleTxtGR"/>
        <w:rPr>
          <w:lang w:bidi="ru-RU"/>
        </w:rPr>
      </w:pPr>
      <w:r w:rsidRPr="005F30C6">
        <w:rPr>
          <w:lang w:bidi="ru-RU"/>
        </w:rPr>
        <w:tab/>
        <w:t>e)</w:t>
      </w:r>
      <w:r w:rsidRPr="005F30C6">
        <w:rPr>
          <w:lang w:bidi="ru-RU"/>
        </w:rPr>
        <w:tab/>
        <w:t>обеспечивать выявление и учет базовых потребностей в научно-исследовательской работе и завершать исследования до начала разработки нормативного текста (часть В) любых ГТП;</w:t>
      </w:r>
    </w:p>
    <w:p w:rsidR="005F30C6" w:rsidRPr="005F30C6" w:rsidRDefault="005F30C6" w:rsidP="005355ED">
      <w:pPr>
        <w:pStyle w:val="SingleTxtGR"/>
        <w:rPr>
          <w:lang w:bidi="ru-RU"/>
        </w:rPr>
      </w:pPr>
      <w:r w:rsidRPr="005F30C6">
        <w:rPr>
          <w:lang w:bidi="ru-RU"/>
        </w:rPr>
        <w:tab/>
        <w:t>f)</w:t>
      </w:r>
      <w:r w:rsidRPr="005F30C6">
        <w:rPr>
          <w:lang w:bidi="ru-RU"/>
        </w:rPr>
        <w:tab/>
        <w:t>в целом избегать инициирования работы над такими ГТП, которые сулят лишь незначительные преимущества или могут считаться низкоприоритетными, которые могут не встретить подде</w:t>
      </w:r>
      <w:r w:rsidR="00781557">
        <w:rPr>
          <w:lang w:bidi="ru-RU"/>
        </w:rPr>
        <w:t>ржки со стороны одной или более </w:t>
      </w:r>
      <w:r w:rsidRPr="005F30C6">
        <w:rPr>
          <w:lang w:bidi="ru-RU"/>
        </w:rPr>
        <w:t>ДС ввиду ограниченности ресурсов либо которые способны утратить актуальность в краткосрочной перспективе;</w:t>
      </w:r>
    </w:p>
    <w:p w:rsidR="005F30C6" w:rsidRPr="005F30C6" w:rsidRDefault="005F30C6" w:rsidP="005355ED">
      <w:pPr>
        <w:pStyle w:val="SingleTxtGR"/>
        <w:rPr>
          <w:lang w:bidi="ru-RU"/>
        </w:rPr>
      </w:pPr>
      <w:r w:rsidRPr="005F30C6">
        <w:rPr>
          <w:lang w:bidi="ru-RU"/>
        </w:rPr>
        <w:tab/>
        <w:t>g)</w:t>
      </w:r>
      <w:r w:rsidRPr="005F30C6">
        <w:rPr>
          <w:lang w:bidi="ru-RU"/>
        </w:rPr>
        <w:tab/>
        <w:t>независимо от вышесказанного, признать необходимость поддержки и участия в работе, которая представляется низкоприоритетной для некоторых ДС, но имеет большую значимость для других.</w:t>
      </w:r>
    </w:p>
    <w:p w:rsidR="005F30C6" w:rsidRPr="00670BC1" w:rsidRDefault="005F30C6" w:rsidP="00AB5CE2">
      <w:pPr>
        <w:pStyle w:val="H23GR"/>
        <w:rPr>
          <w:lang w:bidi="ru-RU"/>
        </w:rPr>
      </w:pPr>
      <w:r w:rsidRPr="005F30C6">
        <w:rPr>
          <w:lang w:bidi="ru-RU"/>
        </w:rPr>
        <w:tab/>
        <w:t>2.</w:t>
      </w:r>
      <w:r w:rsidRPr="005F30C6">
        <w:rPr>
          <w:lang w:bidi="ru-RU"/>
        </w:rPr>
        <w:tab/>
        <w:t>Совершенствование механизма управления процессом разработки ГТП</w:t>
      </w:r>
      <w:r w:rsidR="00670BC1">
        <w:rPr>
          <w:lang w:bidi="ru-RU"/>
        </w:rPr>
        <w:t>:</w:t>
      </w:r>
    </w:p>
    <w:p w:rsidR="005F30C6" w:rsidRPr="005F30C6" w:rsidRDefault="005F30C6" w:rsidP="005355ED">
      <w:pPr>
        <w:pStyle w:val="SingleTxtGR"/>
        <w:rPr>
          <w:lang w:bidi="ru-RU"/>
        </w:rPr>
      </w:pPr>
      <w:r w:rsidRPr="005F30C6">
        <w:rPr>
          <w:lang w:bidi="ru-RU"/>
        </w:rPr>
        <w:tab/>
        <w:t>a)</w:t>
      </w:r>
      <w:r w:rsidRPr="005F30C6">
        <w:rPr>
          <w:lang w:bidi="ru-RU"/>
        </w:rPr>
        <w:tab/>
        <w:t>устанавливать четкие и предварительно согласованные положения о круге ведения (КВ), сроки и намечаемые результаты;</w:t>
      </w:r>
    </w:p>
    <w:p w:rsidR="005F30C6" w:rsidRPr="005F30C6" w:rsidRDefault="005F30C6" w:rsidP="005355ED">
      <w:pPr>
        <w:pStyle w:val="SingleTxtGR"/>
        <w:rPr>
          <w:lang w:bidi="ru-RU"/>
        </w:rPr>
      </w:pPr>
      <w:r w:rsidRPr="005F30C6">
        <w:rPr>
          <w:lang w:bidi="ru-RU"/>
        </w:rPr>
        <w:tab/>
        <w:t>b)</w:t>
      </w:r>
      <w:r w:rsidRPr="005F30C6">
        <w:rPr>
          <w:lang w:bidi="ru-RU"/>
        </w:rPr>
        <w:tab/>
        <w:t>обеспечивать выделение достаточных ресурсов, необходимых для завершения работы;</w:t>
      </w:r>
    </w:p>
    <w:p w:rsidR="005F30C6" w:rsidRPr="005F30C6" w:rsidRDefault="005F30C6" w:rsidP="005355ED">
      <w:pPr>
        <w:pStyle w:val="SingleTxtGR"/>
        <w:rPr>
          <w:lang w:bidi="ru-RU"/>
        </w:rPr>
      </w:pPr>
      <w:r w:rsidRPr="005F30C6">
        <w:rPr>
          <w:lang w:bidi="ru-RU"/>
        </w:rPr>
        <w:tab/>
        <w:t>c)</w:t>
      </w:r>
      <w:r w:rsidRPr="005F30C6">
        <w:rPr>
          <w:lang w:bidi="ru-RU"/>
        </w:rPr>
        <w:tab/>
        <w:t>учитывать и согласовывать законодательные ограничения, в том что касается стратегии и/или сроков;</w:t>
      </w:r>
    </w:p>
    <w:p w:rsidR="005F30C6" w:rsidRPr="005F30C6" w:rsidRDefault="005F30C6" w:rsidP="005355ED">
      <w:pPr>
        <w:pStyle w:val="SingleTxtGR"/>
        <w:rPr>
          <w:lang w:bidi="ru-RU"/>
        </w:rPr>
      </w:pPr>
      <w:r w:rsidRPr="005F30C6">
        <w:rPr>
          <w:lang w:bidi="ru-RU"/>
        </w:rPr>
        <w:tab/>
        <w:t>d)</w:t>
      </w:r>
      <w:r w:rsidRPr="005F30C6">
        <w:rPr>
          <w:lang w:bidi="ru-RU"/>
        </w:rPr>
        <w:tab/>
        <w:t>регулярно проводить совещания высокого уровня для оценки достигнутого прогресса и решения возникающих проблем;</w:t>
      </w:r>
    </w:p>
    <w:p w:rsidR="005F30C6" w:rsidRPr="005F30C6" w:rsidRDefault="005F30C6" w:rsidP="005355ED">
      <w:pPr>
        <w:pStyle w:val="SingleTxtGR"/>
        <w:rPr>
          <w:lang w:bidi="ru-RU"/>
        </w:rPr>
      </w:pPr>
      <w:r w:rsidRPr="005F30C6">
        <w:rPr>
          <w:lang w:bidi="ru-RU"/>
        </w:rPr>
        <w:tab/>
        <w:t>e)</w:t>
      </w:r>
      <w:r w:rsidRPr="005F30C6">
        <w:rPr>
          <w:lang w:bidi="ru-RU"/>
        </w:rPr>
        <w:tab/>
        <w:t>обеспечивать соблюдение предусмотренных Соглашением 1998 года требований в отношении основанных на полученных данных и подкрепленных результатами анализа преамбул, надежных вспомогательных данных/исследований и анализов эффективности затрат (признав при этом, что, поскольку для более новых технологий таковые могут отсутствовать, может возникнуть потребность в разработке альтернативных обоснований);</w:t>
      </w:r>
    </w:p>
    <w:p w:rsidR="005F30C6" w:rsidRPr="005F30C6" w:rsidRDefault="005F30C6" w:rsidP="005355ED">
      <w:pPr>
        <w:pStyle w:val="SingleTxtGR"/>
        <w:rPr>
          <w:lang w:bidi="ru-RU"/>
        </w:rPr>
      </w:pPr>
      <w:r w:rsidRPr="005F30C6">
        <w:rPr>
          <w:lang w:bidi="ru-RU"/>
        </w:rPr>
        <w:tab/>
        <w:t>f)</w:t>
      </w:r>
      <w:r w:rsidRPr="005F30C6">
        <w:rPr>
          <w:lang w:bidi="ru-RU"/>
        </w:rPr>
        <w:tab/>
        <w:t>прилагать особые усилия по содействию проведению совещаний рабочей группы и экспертов за счет обеспечения видеоконференционной связи в целях сокращения путевых расходов и времени проезда, а также ускорения процесса решения возникающих проблем;</w:t>
      </w:r>
    </w:p>
    <w:p w:rsidR="005F30C6" w:rsidRPr="005F30C6" w:rsidRDefault="005F30C6" w:rsidP="005355ED">
      <w:pPr>
        <w:pStyle w:val="SingleTxtGR"/>
        <w:rPr>
          <w:lang w:bidi="ru-RU"/>
        </w:rPr>
      </w:pPr>
      <w:r w:rsidRPr="005F30C6">
        <w:rPr>
          <w:lang w:bidi="ru-RU"/>
        </w:rPr>
        <w:tab/>
        <w:t>g)</w:t>
      </w:r>
      <w:r w:rsidRPr="005F30C6">
        <w:rPr>
          <w:lang w:bidi="ru-RU"/>
        </w:rPr>
        <w:tab/>
        <w:t>добиваться достижения договоренности относительно приостановления работы над такими ГТП, которые стали низкоприоритетными и менее значимыми либо которые могут не встретить поддержки со стороны ДС ввиду ограниченности ресурсов;</w:t>
      </w:r>
    </w:p>
    <w:p w:rsidR="005F30C6" w:rsidRPr="005F30C6" w:rsidRDefault="005F30C6" w:rsidP="005355ED">
      <w:pPr>
        <w:pStyle w:val="SingleTxtGR"/>
        <w:rPr>
          <w:lang w:bidi="ru-RU"/>
        </w:rPr>
      </w:pPr>
      <w:r w:rsidRPr="005F30C6">
        <w:rPr>
          <w:lang w:bidi="ru-RU"/>
        </w:rPr>
        <w:tab/>
        <w:t>h)</w:t>
      </w:r>
      <w:r w:rsidRPr="005F30C6">
        <w:rPr>
          <w:lang w:bidi="ru-RU"/>
        </w:rPr>
        <w:tab/>
        <w:t xml:space="preserve">добиваться сведения использования вариантов и/или модулей в ГТП к минимуму с целью ограничения, по возможности, вариантов соблюдения, не исключая, однако, их необходимости в весьма ограниченном числе случаев, включая учет различий в испытательном оборудовании или наличии испытательных объектов; </w:t>
      </w:r>
      <w:r w:rsidR="00781557" w:rsidRPr="005F30C6">
        <w:rPr>
          <w:lang w:bidi="ru-RU"/>
        </w:rPr>
        <w:t>т</w:t>
      </w:r>
      <w:r w:rsidRPr="005F30C6">
        <w:rPr>
          <w:lang w:bidi="ru-RU"/>
        </w:rPr>
        <w:t>ермин «вариант» в целом относится к альтернативным процедурам испытаний для того же нормативного требования. «Модули» в целом относятся к дополнительным нормативным требованиям, помимо согласованной основной группы, которые могут быть приняты ДС.</w:t>
      </w:r>
      <w:r w:rsidR="005355ED">
        <w:rPr>
          <w:lang w:bidi="ru-RU"/>
        </w:rPr>
        <w:t xml:space="preserve"> </w:t>
      </w:r>
      <w:r w:rsidRPr="005F30C6">
        <w:rPr>
          <w:lang w:bidi="ru-RU"/>
        </w:rPr>
        <w:t>В случае возникновения других толкований или ситуаций, связанных с использованием вариантов или модулей, они будут рассмотрены в том же духе, как это изложено в настоящем пункте, или на основе дальнейшей гармонизации;</w:t>
      </w:r>
    </w:p>
    <w:p w:rsidR="005F30C6" w:rsidRPr="005F30C6" w:rsidRDefault="005F30C6" w:rsidP="005355ED">
      <w:pPr>
        <w:pStyle w:val="SingleTxtGR"/>
        <w:rPr>
          <w:lang w:bidi="ru-RU"/>
        </w:rPr>
      </w:pPr>
      <w:r w:rsidRPr="005F30C6">
        <w:rPr>
          <w:lang w:bidi="ru-RU"/>
        </w:rPr>
        <w:tab/>
        <w:t>i)</w:t>
      </w:r>
      <w:r w:rsidRPr="005F30C6">
        <w:rPr>
          <w:lang w:bidi="ru-RU"/>
        </w:rPr>
        <w:tab/>
        <w:t>признать необходимость введения альтернативных уровней жесткости.</w:t>
      </w:r>
    </w:p>
    <w:p w:rsidR="005F30C6" w:rsidRPr="005F30C6" w:rsidRDefault="005F30C6" w:rsidP="00AB5CE2">
      <w:pPr>
        <w:pStyle w:val="H23GR"/>
        <w:rPr>
          <w:lang w:bidi="ru-RU"/>
        </w:rPr>
      </w:pPr>
      <w:r w:rsidRPr="005F30C6">
        <w:rPr>
          <w:lang w:bidi="ru-RU"/>
        </w:rPr>
        <w:tab/>
        <w:t>3.</w:t>
      </w:r>
      <w:r w:rsidRPr="005F30C6">
        <w:rPr>
          <w:lang w:bidi="ru-RU"/>
        </w:rPr>
        <w:tab/>
        <w:t>Совершенствование процесса принятия ГТП на национальном/</w:t>
      </w:r>
      <w:r w:rsidR="00D36909" w:rsidRPr="00D36909">
        <w:rPr>
          <w:lang w:bidi="ru-RU"/>
        </w:rPr>
        <w:br/>
      </w:r>
      <w:r w:rsidRPr="005F30C6">
        <w:rPr>
          <w:lang w:bidi="ru-RU"/>
        </w:rPr>
        <w:t>региональном уровне</w:t>
      </w:r>
      <w:r w:rsidR="00670BC1">
        <w:rPr>
          <w:lang w:bidi="ru-RU"/>
        </w:rPr>
        <w:t>:</w:t>
      </w:r>
    </w:p>
    <w:p w:rsidR="005F30C6" w:rsidRPr="005F30C6" w:rsidRDefault="005F30C6" w:rsidP="005355ED">
      <w:pPr>
        <w:pStyle w:val="SingleTxtGR"/>
        <w:rPr>
          <w:lang w:bidi="ru-RU"/>
        </w:rPr>
      </w:pPr>
      <w:r w:rsidRPr="005F30C6">
        <w:rPr>
          <w:lang w:bidi="ru-RU"/>
        </w:rPr>
        <w:tab/>
        <w:t>a)</w:t>
      </w:r>
      <w:r w:rsidRPr="005F30C6">
        <w:rPr>
          <w:lang w:bidi="ru-RU"/>
        </w:rPr>
        <w:tab/>
        <w:t>привлекать к процессу разработки ГТП на всех этапах все заинтересованные стороны (включая общественность);</w:t>
      </w:r>
    </w:p>
    <w:p w:rsidR="005F30C6" w:rsidRPr="005F30C6" w:rsidRDefault="005F30C6" w:rsidP="005355ED">
      <w:pPr>
        <w:pStyle w:val="SingleTxtGR"/>
        <w:rPr>
          <w:lang w:bidi="ru-RU"/>
        </w:rPr>
      </w:pPr>
      <w:r w:rsidRPr="005F30C6">
        <w:rPr>
          <w:lang w:bidi="ru-RU"/>
        </w:rPr>
        <w:tab/>
        <w:t>b)</w:t>
      </w:r>
      <w:r w:rsidRPr="005F30C6">
        <w:rPr>
          <w:lang w:bidi="ru-RU"/>
        </w:rPr>
        <w:tab/>
        <w:t>обеспечивать выделение достаточных ресурсов, необходимых для завершения процесса принятия;</w:t>
      </w:r>
    </w:p>
    <w:p w:rsidR="005F30C6" w:rsidRPr="005F30C6" w:rsidRDefault="005F30C6" w:rsidP="005355ED">
      <w:pPr>
        <w:pStyle w:val="SingleTxtGR"/>
        <w:rPr>
          <w:lang w:bidi="ru-RU"/>
        </w:rPr>
      </w:pPr>
      <w:r w:rsidRPr="005F30C6">
        <w:rPr>
          <w:lang w:bidi="ru-RU"/>
        </w:rPr>
        <w:tab/>
        <w:t>c)</w:t>
      </w:r>
      <w:r w:rsidRPr="005F30C6">
        <w:rPr>
          <w:lang w:bidi="ru-RU"/>
        </w:rPr>
        <w:tab/>
        <w:t>своевременно представлять годовые доклады о ходе работы, включая описание принятых мер по включению ГТП в национальное законодательство;</w:t>
      </w:r>
    </w:p>
    <w:p w:rsidR="005F30C6" w:rsidRPr="005F30C6" w:rsidRDefault="005F30C6" w:rsidP="005355ED">
      <w:pPr>
        <w:pStyle w:val="SingleTxtGR"/>
        <w:rPr>
          <w:lang w:bidi="ru-RU"/>
        </w:rPr>
      </w:pPr>
      <w:r w:rsidRPr="005F30C6">
        <w:rPr>
          <w:lang w:bidi="ru-RU"/>
        </w:rPr>
        <w:tab/>
        <w:t>d)</w:t>
      </w:r>
      <w:r w:rsidRPr="005F30C6">
        <w:rPr>
          <w:lang w:bidi="ru-RU"/>
        </w:rPr>
        <w:tab/>
        <w:t>согласовать общую цель обеспечения максимального уровня включения ГТП и твердо придерживаться этой цели;</w:t>
      </w:r>
    </w:p>
    <w:p w:rsidR="005F30C6" w:rsidRPr="005F30C6" w:rsidRDefault="005F30C6" w:rsidP="005355ED">
      <w:pPr>
        <w:pStyle w:val="SingleTxtGR"/>
        <w:rPr>
          <w:lang w:bidi="ru-RU"/>
        </w:rPr>
      </w:pPr>
      <w:r w:rsidRPr="005F30C6">
        <w:rPr>
          <w:lang w:bidi="ru-RU"/>
        </w:rPr>
        <w:tab/>
        <w:t>e)</w:t>
      </w:r>
      <w:r w:rsidRPr="005F30C6">
        <w:rPr>
          <w:lang w:bidi="ru-RU"/>
        </w:rPr>
        <w:tab/>
        <w:t>проанализировать меры по обеспечению более тесной привязки национального механизма введения нормативных положений к достижению вышеупомянутой цели;</w:t>
      </w:r>
    </w:p>
    <w:p w:rsidR="005F30C6" w:rsidRPr="005F30C6" w:rsidRDefault="005F30C6" w:rsidP="005355ED">
      <w:pPr>
        <w:pStyle w:val="SingleTxtGR"/>
        <w:rPr>
          <w:lang w:bidi="ru-RU"/>
        </w:rPr>
      </w:pPr>
      <w:r w:rsidRPr="005F30C6">
        <w:rPr>
          <w:lang w:bidi="ru-RU"/>
        </w:rPr>
        <w:tab/>
        <w:t>f)</w:t>
      </w:r>
      <w:r w:rsidRPr="005F30C6">
        <w:rPr>
          <w:lang w:bidi="ru-RU"/>
        </w:rPr>
        <w:tab/>
        <w:t>признать необходимость введения альтернативных уровней жесткости применительно к национальному законодательству;</w:t>
      </w:r>
    </w:p>
    <w:p w:rsidR="00A658DB" w:rsidRPr="00670BC1" w:rsidRDefault="005F30C6" w:rsidP="005355ED">
      <w:pPr>
        <w:pStyle w:val="SingleTxtGR"/>
      </w:pPr>
      <w:r w:rsidRPr="005F30C6">
        <w:tab/>
      </w:r>
      <w:r w:rsidRPr="005F30C6">
        <w:rPr>
          <w:lang w:val="fr-CH"/>
        </w:rPr>
        <w:t>g</w:t>
      </w:r>
      <w:r w:rsidRPr="005F30C6">
        <w:t>)</w:t>
      </w:r>
      <w:r w:rsidRPr="005F30C6">
        <w:tab/>
        <w:t>периодически пересматривать статус национального осуществления ГТП, с тем чтобы в конечном итоге увеличить, насколько это возможно, масштабы их принятия.</w:t>
      </w:r>
    </w:p>
    <w:p w:rsidR="005355ED" w:rsidRPr="00670BC1" w:rsidRDefault="005355ED" w:rsidP="005355ED">
      <w:pPr>
        <w:spacing w:before="240"/>
        <w:jc w:val="center"/>
        <w:rPr>
          <w:u w:val="single"/>
        </w:rPr>
      </w:pPr>
      <w:r w:rsidRPr="00670BC1">
        <w:rPr>
          <w:u w:val="single"/>
        </w:rPr>
        <w:tab/>
      </w:r>
      <w:r w:rsidRPr="00670BC1">
        <w:rPr>
          <w:u w:val="single"/>
        </w:rPr>
        <w:tab/>
      </w:r>
      <w:r w:rsidRPr="00670BC1">
        <w:rPr>
          <w:u w:val="single"/>
        </w:rPr>
        <w:tab/>
      </w:r>
    </w:p>
    <w:sectPr w:rsidR="005355ED" w:rsidRPr="00670BC1"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C6" w:rsidRDefault="005F30C6" w:rsidP="00B471C5">
      <w:r>
        <w:separator/>
      </w:r>
    </w:p>
  </w:endnote>
  <w:endnote w:type="continuationSeparator" w:id="0">
    <w:p w:rsidR="005F30C6" w:rsidRDefault="005F30C6"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80025D">
      <w:rPr>
        <w:b/>
        <w:noProof/>
        <w:sz w:val="18"/>
        <w:szCs w:val="18"/>
      </w:rPr>
      <w:t>2</w:t>
    </w:r>
    <w:r w:rsidRPr="00BA2D2B">
      <w:rPr>
        <w:b/>
        <w:sz w:val="18"/>
        <w:szCs w:val="18"/>
      </w:rPr>
      <w:fldChar w:fldCharType="end"/>
    </w:r>
    <w:r>
      <w:rPr>
        <w:b/>
        <w:sz w:val="18"/>
        <w:szCs w:val="18"/>
      </w:rPr>
      <w:tab/>
    </w:r>
    <w:r>
      <w:rPr>
        <w:lang w:val="en-US"/>
      </w:rPr>
      <w:t>GE.16-</w:t>
    </w:r>
    <w:r w:rsidR="005355ED">
      <w:rPr>
        <w:lang w:val="en-US"/>
      </w:rPr>
      <w:t>14121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sidR="00D36909">
      <w:rPr>
        <w:lang w:val="en-US"/>
      </w:rPr>
      <w:t>14121</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80025D">
      <w:rPr>
        <w:b/>
        <w:noProof/>
        <w:sz w:val="18"/>
        <w:szCs w:val="18"/>
      </w:rPr>
      <w:t>9</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2C37E4">
          <w:pPr>
            <w:spacing w:after="40"/>
            <w:rPr>
              <w:rFonts w:ascii="C39T30Lfz" w:hAnsi="C39T30Lfz"/>
              <w:spacing w:val="0"/>
              <w:w w:val="100"/>
              <w:kern w:val="0"/>
              <w:lang w:val="en-US" w:eastAsia="ru-RU"/>
            </w:rPr>
          </w:pPr>
          <w:r w:rsidRPr="001C3ABC">
            <w:rPr>
              <w:lang w:val="en-US"/>
            </w:rPr>
            <w:t>GE.16-</w:t>
          </w:r>
          <w:r w:rsidR="00E13612">
            <w:rPr>
              <w:lang w:val="en-US"/>
            </w:rPr>
            <w:t>14121</w:t>
          </w:r>
          <w:r w:rsidRPr="001C3ABC">
            <w:rPr>
              <w:lang w:val="en-US"/>
            </w:rPr>
            <w:t xml:space="preserve"> (R)</w:t>
          </w:r>
          <w:r w:rsidR="002C37E4">
            <w:rPr>
              <w:lang w:val="en-US"/>
            </w:rPr>
            <w:t xml:space="preserve">  270916  30</w:t>
          </w:r>
          <w:r w:rsidR="00E13612">
            <w:rPr>
              <w:lang w:val="en-US"/>
            </w:rPr>
            <w:t>0916</w:t>
          </w:r>
        </w:p>
      </w:tc>
      <w:tc>
        <w:tcPr>
          <w:tcW w:w="5056" w:type="dxa"/>
          <w:vMerge w:val="restart"/>
          <w:tcMar>
            <w:left w:w="57" w:type="dxa"/>
            <w:right w:w="57" w:type="dxa"/>
          </w:tcMar>
          <w:vAlign w:val="bottom"/>
        </w:tcPr>
        <w:p w:rsidR="00A9606E" w:rsidRDefault="00A9606E" w:rsidP="007B199D">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E13612" w:rsidP="007B199D">
          <w:pPr>
            <w:jc w:val="right"/>
          </w:pPr>
          <w:r>
            <w:rPr>
              <w:noProof/>
              <w:lang w:val="en-GB" w:eastAsia="en-GB"/>
            </w:rPr>
            <w:drawing>
              <wp:inline distT="0" distB="0" distL="0" distR="0">
                <wp:extent cx="584200" cy="584200"/>
                <wp:effectExtent l="0" t="0" r="6350" b="6350"/>
                <wp:docPr id="3" name="Рисунок 3" descr="http://undocs.org/m2/QRCode.ashx?DS=ECE/TRANS/WP.29/112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2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E13612" w:rsidRDefault="00E13612" w:rsidP="007B199D">
          <w:pPr>
            <w:spacing w:after="40"/>
            <w:rPr>
              <w:rFonts w:ascii="C39T30Lfz" w:hAnsi="C39T30Lfz"/>
              <w:spacing w:val="0"/>
              <w:w w:val="100"/>
              <w:kern w:val="0"/>
              <w:sz w:val="56"/>
              <w:szCs w:val="56"/>
              <w:lang w:val="en-US" w:eastAsia="ru-RU"/>
            </w:rPr>
          </w:pPr>
          <w:r w:rsidRPr="00E13612">
            <w:rPr>
              <w:rFonts w:ascii="C39T30Lfz" w:hAnsi="C39T30Lfz"/>
              <w:spacing w:val="0"/>
              <w:w w:val="100"/>
              <w:kern w:val="0"/>
              <w:sz w:val="56"/>
              <w:szCs w:val="56"/>
              <w:lang w:val="en-US" w:eastAsia="ru-RU"/>
            </w:rPr>
            <w:t></w:t>
          </w:r>
          <w:r w:rsidRPr="00E13612">
            <w:rPr>
              <w:rFonts w:ascii="C39T30Lfz" w:hAnsi="C39T30Lfz"/>
              <w:spacing w:val="0"/>
              <w:w w:val="100"/>
              <w:kern w:val="0"/>
              <w:sz w:val="56"/>
              <w:szCs w:val="56"/>
              <w:lang w:val="en-US" w:eastAsia="ru-RU"/>
            </w:rPr>
            <w:t></w:t>
          </w:r>
          <w:r w:rsidRPr="00E13612">
            <w:rPr>
              <w:rFonts w:ascii="C39T30Lfz" w:hAnsi="C39T30Lfz"/>
              <w:spacing w:val="0"/>
              <w:w w:val="100"/>
              <w:kern w:val="0"/>
              <w:sz w:val="56"/>
              <w:szCs w:val="56"/>
              <w:lang w:val="en-US" w:eastAsia="ru-RU"/>
            </w:rPr>
            <w:t></w:t>
          </w:r>
          <w:r w:rsidRPr="00E13612">
            <w:rPr>
              <w:rFonts w:ascii="C39T30Lfz" w:hAnsi="C39T30Lfz"/>
              <w:spacing w:val="0"/>
              <w:w w:val="100"/>
              <w:kern w:val="0"/>
              <w:sz w:val="56"/>
              <w:szCs w:val="56"/>
              <w:lang w:val="en-US" w:eastAsia="ru-RU"/>
            </w:rPr>
            <w:t></w:t>
          </w:r>
          <w:r w:rsidRPr="00E13612">
            <w:rPr>
              <w:rFonts w:ascii="C39T30Lfz" w:hAnsi="C39T30Lfz"/>
              <w:spacing w:val="0"/>
              <w:w w:val="100"/>
              <w:kern w:val="0"/>
              <w:sz w:val="56"/>
              <w:szCs w:val="56"/>
              <w:lang w:val="en-US" w:eastAsia="ru-RU"/>
            </w:rPr>
            <w:t></w:t>
          </w:r>
          <w:r w:rsidRPr="00E13612">
            <w:rPr>
              <w:rFonts w:ascii="C39T30Lfz" w:hAnsi="C39T30Lfz"/>
              <w:spacing w:val="0"/>
              <w:w w:val="100"/>
              <w:kern w:val="0"/>
              <w:sz w:val="56"/>
              <w:szCs w:val="56"/>
              <w:lang w:val="en-US" w:eastAsia="ru-RU"/>
            </w:rPr>
            <w:t></w:t>
          </w:r>
          <w:r w:rsidRPr="00E13612">
            <w:rPr>
              <w:rFonts w:ascii="C39T30Lfz" w:hAnsi="C39T30Lfz"/>
              <w:spacing w:val="0"/>
              <w:w w:val="100"/>
              <w:kern w:val="0"/>
              <w:sz w:val="56"/>
              <w:szCs w:val="56"/>
              <w:lang w:val="en-US" w:eastAsia="ru-RU"/>
            </w:rPr>
            <w:t></w:t>
          </w:r>
          <w:r w:rsidRPr="00E13612">
            <w:rPr>
              <w:rFonts w:ascii="C39T30Lfz" w:hAnsi="C39T30Lfz"/>
              <w:spacing w:val="0"/>
              <w:w w:val="100"/>
              <w:kern w:val="0"/>
              <w:sz w:val="56"/>
              <w:szCs w:val="56"/>
              <w:lang w:val="en-US" w:eastAsia="ru-RU"/>
            </w:rPr>
            <w:t></w:t>
          </w:r>
          <w:r w:rsidRPr="00E13612">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C6" w:rsidRPr="009141DC" w:rsidRDefault="005F30C6" w:rsidP="00D1261C">
      <w:pPr>
        <w:tabs>
          <w:tab w:val="left" w:pos="2268"/>
        </w:tabs>
        <w:spacing w:after="80"/>
        <w:ind w:left="680"/>
        <w:rPr>
          <w:u w:val="single"/>
          <w:lang w:val="en-US"/>
        </w:rPr>
      </w:pPr>
      <w:r>
        <w:rPr>
          <w:u w:val="single"/>
          <w:lang w:val="en-US"/>
        </w:rPr>
        <w:tab/>
      </w:r>
    </w:p>
  </w:footnote>
  <w:footnote w:type="continuationSeparator" w:id="0">
    <w:p w:rsidR="005F30C6" w:rsidRPr="00D1261C" w:rsidRDefault="005F30C6" w:rsidP="00D1261C">
      <w:pPr>
        <w:tabs>
          <w:tab w:val="left" w:pos="2268"/>
        </w:tabs>
        <w:spacing w:after="80"/>
        <w:rPr>
          <w:u w:val="single"/>
          <w:lang w:val="en-US"/>
        </w:rPr>
      </w:pPr>
      <w:r>
        <w:rPr>
          <w:u w:val="single"/>
          <w:lang w:val="en-US"/>
        </w:rPr>
        <w:tab/>
      </w:r>
    </w:p>
  </w:footnote>
  <w:footnote w:id="1">
    <w:p w:rsidR="005F30C6" w:rsidRPr="00E13612" w:rsidRDefault="005F30C6">
      <w:pPr>
        <w:pStyle w:val="FootnoteText"/>
        <w:rPr>
          <w:lang w:val="ru-RU"/>
        </w:rPr>
      </w:pPr>
      <w:r>
        <w:tab/>
      </w:r>
      <w:r w:rsidRPr="005F30C6">
        <w:rPr>
          <w:rStyle w:val="FootnoteReference"/>
          <w:sz w:val="20"/>
          <w:vertAlign w:val="baseline"/>
          <w:lang w:val="ru-RU"/>
        </w:rPr>
        <w:t>*</w:t>
      </w:r>
      <w:r w:rsidRPr="005F30C6">
        <w:rPr>
          <w:lang w:val="ru-RU"/>
        </w:rPr>
        <w:t xml:space="preserve"> </w:t>
      </w:r>
      <w:r w:rsidRPr="005F30C6">
        <w:rPr>
          <w:lang w:val="ru-RU"/>
        </w:rPr>
        <w:tab/>
      </w:r>
      <w:r w:rsidR="00E13612" w:rsidRPr="00E13612">
        <w:rPr>
          <w:lang w:val="ru-RU"/>
        </w:rPr>
        <w:t xml:space="preserve">В соответствии с программой работы Комитета по внутреннему транспорту </w:t>
      </w:r>
      <w:r w:rsidR="00E13612" w:rsidRPr="00E13612">
        <w:rPr>
          <w:lang w:val="ru-RU"/>
        </w:rPr>
        <w:br/>
        <w:t>на 2016–2017 годы (</w:t>
      </w:r>
      <w:r w:rsidR="00E13612" w:rsidRPr="00E13612">
        <w:rPr>
          <w:lang w:val="fr-CH"/>
        </w:rPr>
        <w:t>ECE</w:t>
      </w:r>
      <w:r w:rsidR="00E13612" w:rsidRPr="00E13612">
        <w:rPr>
          <w:lang w:val="ru-RU"/>
        </w:rPr>
        <w:t>/</w:t>
      </w:r>
      <w:r w:rsidR="00E13612" w:rsidRPr="00E13612">
        <w:rPr>
          <w:lang w:val="fr-CH"/>
        </w:rPr>
        <w:t>TRANS</w:t>
      </w:r>
      <w:r w:rsidR="00E13612" w:rsidRPr="00E13612">
        <w:rPr>
          <w:lang w:val="ru-RU"/>
        </w:rPr>
        <w:t xml:space="preserve">/254, пункт 159, и </w:t>
      </w:r>
      <w:r w:rsidR="00E13612" w:rsidRPr="00E13612">
        <w:rPr>
          <w:lang w:val="fr-CH"/>
        </w:rPr>
        <w:t>ECE</w:t>
      </w:r>
      <w:r w:rsidR="00E13612" w:rsidRPr="00E13612">
        <w:rPr>
          <w:lang w:val="ru-RU"/>
        </w:rPr>
        <w:t>/</w:t>
      </w:r>
      <w:r w:rsidR="00E13612" w:rsidRPr="00E13612">
        <w:rPr>
          <w:lang w:val="fr-CH"/>
        </w:rPr>
        <w:t>TRANS</w:t>
      </w:r>
      <w:r w:rsidR="00E13612" w:rsidRPr="00E13612">
        <w:rPr>
          <w:lang w:val="ru-RU"/>
        </w:rPr>
        <w:t>/2016/28/</w:t>
      </w:r>
      <w:r w:rsidR="00E13612" w:rsidRPr="00E13612">
        <w:rPr>
          <w:lang w:val="fr-CH"/>
        </w:rPr>
        <w:t>Add</w:t>
      </w:r>
      <w:r w:rsidR="00E13612" w:rsidRPr="00E13612">
        <w:rPr>
          <w:lang w:val="ru-RU"/>
        </w:rPr>
        <w:t>.1, направление работы 3.1) Всемирный форум будет</w:t>
      </w:r>
      <w:r w:rsidR="00E13612">
        <w:rPr>
          <w:lang w:val="ru-RU"/>
        </w:rPr>
        <w:t xml:space="preserve"> разрабатывать, согласовывать и</w:t>
      </w:r>
      <w:r w:rsidR="00E13612">
        <w:rPr>
          <w:lang w:val="en-US"/>
        </w:rPr>
        <w:t> </w:t>
      </w:r>
      <w:r w:rsidR="00E13612" w:rsidRPr="00E13612">
        <w:rPr>
          <w:lang w:val="ru-RU"/>
        </w:rPr>
        <w:t>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7005EE">
    <w:pPr>
      <w:pStyle w:val="Header"/>
      <w:rPr>
        <w:lang w:val="en-US"/>
      </w:rPr>
    </w:pPr>
    <w:r>
      <w:rPr>
        <w:lang w:val="en-US"/>
      </w:rPr>
      <w:t>ECE/</w:t>
    </w:r>
    <w:r w:rsidR="00E13612" w:rsidRPr="00E13612">
      <w:rPr>
        <w:lang w:val="en-US"/>
      </w:rPr>
      <w:t>TRANS/WP.29/1124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Header"/>
      <w:jc w:val="right"/>
      <w:rPr>
        <w:lang w:val="en-US"/>
      </w:rPr>
    </w:pPr>
    <w:r>
      <w:rPr>
        <w:lang w:val="en-US"/>
      </w:rPr>
      <w:t>ECE/</w:t>
    </w:r>
    <w:r w:rsidR="005355ED" w:rsidRPr="00E13612">
      <w:rPr>
        <w:lang w:val="en-US"/>
      </w:rPr>
      <w:t>TRANS/WP.29/1124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C6"/>
    <w:rsid w:val="000450D1"/>
    <w:rsid w:val="00064C04"/>
    <w:rsid w:val="000B1FD5"/>
    <w:rsid w:val="000F2A4F"/>
    <w:rsid w:val="00203F84"/>
    <w:rsid w:val="00274C85"/>
    <w:rsid w:val="00275188"/>
    <w:rsid w:val="0028687D"/>
    <w:rsid w:val="002B091C"/>
    <w:rsid w:val="002B3D40"/>
    <w:rsid w:val="002C37E4"/>
    <w:rsid w:val="002D0CCB"/>
    <w:rsid w:val="002D415F"/>
    <w:rsid w:val="003165AC"/>
    <w:rsid w:val="00345C79"/>
    <w:rsid w:val="00366A39"/>
    <w:rsid w:val="00426077"/>
    <w:rsid w:val="0048005C"/>
    <w:rsid w:val="004D639B"/>
    <w:rsid w:val="004E242B"/>
    <w:rsid w:val="005355ED"/>
    <w:rsid w:val="00544379"/>
    <w:rsid w:val="00566944"/>
    <w:rsid w:val="005D56BF"/>
    <w:rsid w:val="005F30C6"/>
    <w:rsid w:val="00605101"/>
    <w:rsid w:val="0062027E"/>
    <w:rsid w:val="00643644"/>
    <w:rsid w:val="00665D8D"/>
    <w:rsid w:val="00670BC1"/>
    <w:rsid w:val="006A7A3B"/>
    <w:rsid w:val="006B5831"/>
    <w:rsid w:val="006B6B57"/>
    <w:rsid w:val="006F49F1"/>
    <w:rsid w:val="007005EE"/>
    <w:rsid w:val="00705394"/>
    <w:rsid w:val="00743F62"/>
    <w:rsid w:val="00744EA4"/>
    <w:rsid w:val="00760D3A"/>
    <w:rsid w:val="00773BA8"/>
    <w:rsid w:val="00781557"/>
    <w:rsid w:val="007A1F42"/>
    <w:rsid w:val="007D76DD"/>
    <w:rsid w:val="0080025D"/>
    <w:rsid w:val="008717E8"/>
    <w:rsid w:val="008D01AE"/>
    <w:rsid w:val="008E0423"/>
    <w:rsid w:val="009141DC"/>
    <w:rsid w:val="009174A1"/>
    <w:rsid w:val="0098674D"/>
    <w:rsid w:val="00997ACA"/>
    <w:rsid w:val="00A03FB7"/>
    <w:rsid w:val="00A55C56"/>
    <w:rsid w:val="00A658DB"/>
    <w:rsid w:val="00A75A11"/>
    <w:rsid w:val="00A9606E"/>
    <w:rsid w:val="00AB5CE2"/>
    <w:rsid w:val="00AD7EAD"/>
    <w:rsid w:val="00B038B8"/>
    <w:rsid w:val="00B23C75"/>
    <w:rsid w:val="00B35A32"/>
    <w:rsid w:val="00B432C6"/>
    <w:rsid w:val="00B471C5"/>
    <w:rsid w:val="00B6474A"/>
    <w:rsid w:val="00BE1742"/>
    <w:rsid w:val="00D1261C"/>
    <w:rsid w:val="00D26030"/>
    <w:rsid w:val="00D36909"/>
    <w:rsid w:val="00D75DCE"/>
    <w:rsid w:val="00DD35AC"/>
    <w:rsid w:val="00DD479F"/>
    <w:rsid w:val="00E13612"/>
    <w:rsid w:val="00E15E48"/>
    <w:rsid w:val="00E614BD"/>
    <w:rsid w:val="00EA11D6"/>
    <w:rsid w:val="00EB0723"/>
    <w:rsid w:val="00EB2957"/>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67CF24-ADD1-4E17-9A1E-45C028DE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696B-6686-415F-BB14-0EDECC9C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2997</Words>
  <Characters>17084</Characters>
  <Application>Microsoft Office Word</Application>
  <DocSecurity>0</DocSecurity>
  <Lines>142</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Izotova Elena</dc:creator>
  <cp:lastModifiedBy>Caillot</cp:lastModifiedBy>
  <cp:revision>2</cp:revision>
  <cp:lastPrinted>2016-09-29T11:21:00Z</cp:lastPrinted>
  <dcterms:created xsi:type="dcterms:W3CDTF">2016-11-09T16:16:00Z</dcterms:created>
  <dcterms:modified xsi:type="dcterms:W3CDTF">2016-11-09T16:16:00Z</dcterms:modified>
</cp:coreProperties>
</file>