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F9805D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2C06BF1" w14:textId="77777777" w:rsidR="002D5AAC" w:rsidRDefault="002D5AAC" w:rsidP="000052C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AF9C45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AEDCB2C" w14:textId="77777777" w:rsidR="002D5AAC" w:rsidRDefault="000052C5" w:rsidP="000052C5">
            <w:pPr>
              <w:jc w:val="right"/>
            </w:pPr>
            <w:r w:rsidRPr="000052C5">
              <w:rPr>
                <w:sz w:val="40"/>
              </w:rPr>
              <w:t>ECE</w:t>
            </w:r>
            <w:r>
              <w:t>/TRANS/WP.29/GRVA/2020/12</w:t>
            </w:r>
          </w:p>
        </w:tc>
      </w:tr>
      <w:tr w:rsidR="002D5AAC" w:rsidRPr="000052C5" w14:paraId="0FD791D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23EA8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34EA827" wp14:editId="4B95972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EA3C4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7183355" w14:textId="77777777" w:rsidR="002D5AAC" w:rsidRDefault="000052C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6762A28" w14:textId="77777777" w:rsidR="000052C5" w:rsidRDefault="000052C5" w:rsidP="000052C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November 2019</w:t>
            </w:r>
          </w:p>
          <w:p w14:paraId="0E3C180D" w14:textId="77777777" w:rsidR="000052C5" w:rsidRDefault="000052C5" w:rsidP="000052C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2736432" w14:textId="77777777" w:rsidR="000052C5" w:rsidRPr="008D53B6" w:rsidRDefault="000052C5" w:rsidP="000052C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C03412B" w14:textId="77777777" w:rsidR="000052C5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3E7FAD2" w14:textId="77777777" w:rsidR="000052C5" w:rsidRPr="000117D1" w:rsidRDefault="000052C5" w:rsidP="000052C5">
      <w:pPr>
        <w:spacing w:before="120"/>
        <w:rPr>
          <w:sz w:val="28"/>
          <w:szCs w:val="28"/>
        </w:rPr>
      </w:pPr>
      <w:r w:rsidRPr="000117D1">
        <w:rPr>
          <w:sz w:val="28"/>
          <w:szCs w:val="28"/>
        </w:rPr>
        <w:t>Комитет по внутреннему транспорту</w:t>
      </w:r>
    </w:p>
    <w:p w14:paraId="758E08DA" w14:textId="77777777" w:rsidR="000052C5" w:rsidRPr="000117D1" w:rsidRDefault="000052C5" w:rsidP="000052C5">
      <w:pPr>
        <w:spacing w:before="120"/>
        <w:rPr>
          <w:b/>
          <w:sz w:val="24"/>
          <w:szCs w:val="24"/>
        </w:rPr>
      </w:pPr>
      <w:r w:rsidRPr="000117D1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0117D1">
        <w:rPr>
          <w:b/>
          <w:bCs/>
          <w:sz w:val="24"/>
          <w:szCs w:val="24"/>
        </w:rPr>
        <w:t>в области транспортных средств</w:t>
      </w:r>
    </w:p>
    <w:p w14:paraId="64F686BC" w14:textId="77777777" w:rsidR="000052C5" w:rsidRPr="000052C5" w:rsidRDefault="000052C5" w:rsidP="000052C5">
      <w:pPr>
        <w:spacing w:before="120"/>
        <w:rPr>
          <w:b/>
          <w:szCs w:val="20"/>
        </w:rPr>
      </w:pPr>
      <w:bookmarkStart w:id="0" w:name="_Hlk518466992"/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</w:r>
      <w:r>
        <w:rPr>
          <w:b/>
          <w:bCs/>
        </w:rPr>
        <w:t>и подключенным транспортным средствам</w:t>
      </w:r>
      <w:r w:rsidRPr="000052C5">
        <w:rPr>
          <w:rStyle w:val="aa"/>
          <w:sz w:val="20"/>
          <w:szCs w:val="20"/>
          <w:vertAlign w:val="baseline"/>
        </w:rPr>
        <w:footnoteReference w:customMarkFollows="1" w:id="1"/>
        <w:t>*</w:t>
      </w:r>
      <w:bookmarkEnd w:id="0"/>
    </w:p>
    <w:p w14:paraId="609BB7BB" w14:textId="77777777" w:rsidR="000052C5" w:rsidRPr="000117D1" w:rsidRDefault="000052C5" w:rsidP="000052C5">
      <w:pPr>
        <w:spacing w:before="120"/>
        <w:rPr>
          <w:b/>
        </w:rPr>
      </w:pPr>
      <w:r>
        <w:rPr>
          <w:b/>
          <w:bCs/>
        </w:rPr>
        <w:t>Пятая сессия</w:t>
      </w:r>
    </w:p>
    <w:p w14:paraId="50E46E2E" w14:textId="77777777" w:rsidR="000052C5" w:rsidRPr="000117D1" w:rsidRDefault="000052C5" w:rsidP="000052C5">
      <w:r>
        <w:t>Женева, 10–14 февраля 2020 года</w:t>
      </w:r>
    </w:p>
    <w:p w14:paraId="6663AE1B" w14:textId="77777777" w:rsidR="000052C5" w:rsidRPr="000117D1" w:rsidRDefault="000052C5" w:rsidP="000052C5">
      <w:r>
        <w:t>Пункт 8</w:t>
      </w:r>
      <w:r w:rsidR="008A1DCD" w:rsidRPr="008A1DCD">
        <w:t xml:space="preserve"> </w:t>
      </w:r>
      <w:r>
        <w:t>а</w:t>
      </w:r>
      <w:r w:rsidR="008A1DCD">
        <w:t>)</w:t>
      </w:r>
      <w:r>
        <w:t xml:space="preserve"> предварительной повестки дня</w:t>
      </w:r>
    </w:p>
    <w:p w14:paraId="191B2205" w14:textId="77777777" w:rsidR="000052C5" w:rsidRPr="000117D1" w:rsidRDefault="000052C5" w:rsidP="000052C5">
      <w:pPr>
        <w:rPr>
          <w:b/>
          <w:bCs/>
        </w:rPr>
      </w:pPr>
      <w:r>
        <w:rPr>
          <w:b/>
          <w:bCs/>
        </w:rPr>
        <w:t>Правила № 13, 13-H, 139 и 140 ООН:</w:t>
      </w:r>
    </w:p>
    <w:p w14:paraId="40F4D5FC" w14:textId="77777777" w:rsidR="000052C5" w:rsidRPr="000117D1" w:rsidRDefault="000052C5" w:rsidP="000052C5">
      <w:pPr>
        <w:rPr>
          <w:b/>
          <w:bCs/>
        </w:rPr>
      </w:pPr>
      <w:r>
        <w:rPr>
          <w:b/>
          <w:bCs/>
        </w:rPr>
        <w:t>Электронный контроль устойчивости</w:t>
      </w:r>
    </w:p>
    <w:p w14:paraId="0BC1F8EB" w14:textId="77777777" w:rsidR="000052C5" w:rsidRPr="000117D1" w:rsidRDefault="000052C5" w:rsidP="000052C5">
      <w:pPr>
        <w:pStyle w:val="HChG"/>
      </w:pPr>
      <w:bookmarkStart w:id="1" w:name="OLE_LINK2"/>
      <w:r>
        <w:tab/>
      </w:r>
      <w:r>
        <w:tab/>
      </w:r>
      <w:r>
        <w:rPr>
          <w:bCs/>
        </w:rPr>
        <w:t>Предложение по дополнению к Правилам № 140 ООН (электронный контроль устойчивости)</w:t>
      </w:r>
      <w:bookmarkEnd w:id="1"/>
    </w:p>
    <w:p w14:paraId="2B771714" w14:textId="77777777" w:rsidR="000052C5" w:rsidRPr="000052C5" w:rsidRDefault="000052C5" w:rsidP="000052C5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 экспертом от Международной ассоциации автопроизводителей</w:t>
      </w:r>
      <w:r w:rsidRPr="000052C5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14:paraId="12BD2D97" w14:textId="77777777" w:rsidR="000052C5" w:rsidRPr="000117D1" w:rsidRDefault="000052C5" w:rsidP="000052C5">
      <w:pPr>
        <w:pStyle w:val="SingleTxtG"/>
      </w:pPr>
      <w:r>
        <w:tab/>
      </w:r>
      <w:r>
        <w:tab/>
        <w:t>Воспроизведенный ниже текст был подготовлен экспертами от Международной ассоциации производителей автомобилей (МОПАП) в ответ на предложение эксперта от Республики Корея. В его основу положен неофициальный документ GRVA-04-44.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14:paraId="7E8AACBA" w14:textId="77777777" w:rsidR="000052C5" w:rsidRPr="000117D1" w:rsidRDefault="000052C5" w:rsidP="000052C5">
      <w:pPr>
        <w:suppressAutoHyphens w:val="0"/>
        <w:spacing w:line="240" w:lineRule="auto"/>
      </w:pPr>
      <w:r w:rsidRPr="000117D1">
        <w:br w:type="page"/>
      </w:r>
    </w:p>
    <w:p w14:paraId="29116896" w14:textId="77777777" w:rsidR="000052C5" w:rsidRPr="000117D1" w:rsidRDefault="000052C5" w:rsidP="000052C5">
      <w:pPr>
        <w:pStyle w:val="HChG"/>
      </w:pPr>
      <w:r>
        <w:lastRenderedPageBreak/>
        <w:tab/>
      </w:r>
      <w:r w:rsidRPr="00EA02EE">
        <w:t>I.</w:t>
      </w:r>
      <w:r>
        <w:tab/>
        <w:t>Предложение</w:t>
      </w:r>
    </w:p>
    <w:p w14:paraId="1BE616A4" w14:textId="77777777" w:rsidR="000052C5" w:rsidRPr="000117D1" w:rsidRDefault="000052C5" w:rsidP="000052C5">
      <w:pPr>
        <w:pStyle w:val="SingleTxtG"/>
      </w:pPr>
      <w:r>
        <w:rPr>
          <w:i/>
          <w:iCs/>
        </w:rPr>
        <w:t xml:space="preserve">Пункт 9.9.4 </w:t>
      </w:r>
      <w:r>
        <w:t>изменить следующим образом:</w:t>
      </w:r>
    </w:p>
    <w:p w14:paraId="64FF4461" w14:textId="77777777" w:rsidR="000052C5" w:rsidRPr="000117D1" w:rsidRDefault="000052C5" w:rsidP="000052C5">
      <w:pPr>
        <w:pStyle w:val="SingleTxtG"/>
        <w:ind w:left="2268" w:hanging="1134"/>
      </w:pPr>
      <w:r w:rsidRPr="00EA02EE">
        <w:t>«</w:t>
      </w:r>
      <w:r>
        <w:t>9.9.4</w:t>
      </w:r>
      <w:r>
        <w:tab/>
        <w:t>Амплитуда поворота рулевого колеса на конечном прогоне каждой серии должна составлять более 6,5 А или 270 градусов при условии, что расчетная амплитуда на уровне 6,5 А меньше или равна 300 градусам. Если любое увеличение на 0,5 А до достижения 6,5 А больше 300 градусов, то амплитуда поворота рулевого колеса на конечном прогоне должна составлять 300 градусов.</w:t>
      </w:r>
    </w:p>
    <w:p w14:paraId="2FEF1CEC" w14:textId="77777777" w:rsidR="000052C5" w:rsidRPr="000117D1" w:rsidRDefault="000052C5" w:rsidP="000052C5">
      <w:pPr>
        <w:pStyle w:val="SingleTxtG"/>
        <w:ind w:left="2268"/>
      </w:pPr>
      <w:r>
        <w:rPr>
          <w:b/>
          <w:bCs/>
        </w:rPr>
        <w:t>Если вышеуказанная расчетная амплитуда поворота рулевого колеса на конечном прогоне превышает максимальный эксплуатационный угол поворота рулевого колеса, задаваемый конструкцией системы рулевого управления, применительно к серии испытаний амплитуда угла поворота на конечном прогоне должна превышать 98</w:t>
      </w:r>
      <w:r w:rsidRPr="000052C5">
        <w:rPr>
          <w:b/>
          <w:bCs/>
        </w:rPr>
        <w:t>%</w:t>
      </w:r>
      <w:r>
        <w:rPr>
          <w:b/>
          <w:bCs/>
        </w:rPr>
        <w:t xml:space="preserve"> максимального эксплуатационного угла поворота рулевого колеса</w:t>
      </w:r>
      <w:r>
        <w:t>».</w:t>
      </w:r>
    </w:p>
    <w:p w14:paraId="033561DB" w14:textId="77777777" w:rsidR="000052C5" w:rsidRPr="000117D1" w:rsidRDefault="000052C5" w:rsidP="000052C5">
      <w:pPr>
        <w:pStyle w:val="HChG"/>
      </w:pPr>
      <w:r>
        <w:tab/>
      </w:r>
      <w:r w:rsidRPr="00EA02EE">
        <w:t>II.</w:t>
      </w:r>
      <w:r>
        <w:tab/>
        <w:t>Обоснование</w:t>
      </w:r>
    </w:p>
    <w:p w14:paraId="31F7B30D" w14:textId="77777777" w:rsidR="000052C5" w:rsidRPr="000117D1" w:rsidRDefault="000052C5" w:rsidP="000052C5">
      <w:pPr>
        <w:pStyle w:val="SingleTxtG"/>
      </w:pPr>
      <w:r>
        <w:t>1.</w:t>
      </w:r>
      <w:r>
        <w:tab/>
        <w:t>Согласно предписаниям Правил № 140 ООН (ЭКУ), при проведении серии испытаний транспортного средства на эффективность контроля курсовой устойчивости при движении «по усеченной синусоиде»:</w:t>
      </w:r>
    </w:p>
    <w:p w14:paraId="069CBED0" w14:textId="77777777" w:rsidR="000052C5" w:rsidRPr="000117D1" w:rsidRDefault="000052C5" w:rsidP="000052C5">
      <w:pPr>
        <w:pStyle w:val="SingleTxtG"/>
      </w:pPr>
      <w:r>
        <w:tab/>
      </w:r>
      <w:r>
        <w:tab/>
      </w:r>
      <w:r>
        <w:t>а)</w:t>
      </w:r>
      <w:r>
        <w:tab/>
        <w:t>амплитуда угла поворота рулевого колеса на первом прогоне должна составлять 1,5 А (как определено в пункте 9.9.2);</w:t>
      </w:r>
    </w:p>
    <w:p w14:paraId="4650E7CF" w14:textId="77777777" w:rsidR="000052C5" w:rsidRPr="000117D1" w:rsidRDefault="000052C5" w:rsidP="000052C5">
      <w:pPr>
        <w:pStyle w:val="SingleTxtG"/>
      </w:pPr>
      <w:r>
        <w:tab/>
      </w:r>
      <w:r>
        <w:tab/>
      </w:r>
      <w:r>
        <w:t>b)</w:t>
      </w:r>
      <w:r>
        <w:tab/>
        <w:t>амплитуду угла поворота рулевого колеса увеличивают от прогона к прогону на 0,5 А (пункт 9.9.3);</w:t>
      </w:r>
    </w:p>
    <w:p w14:paraId="28D9DD85" w14:textId="77777777" w:rsidR="000052C5" w:rsidRPr="000117D1" w:rsidRDefault="000052C5" w:rsidP="000052C5">
      <w:pPr>
        <w:pStyle w:val="SingleTxtG"/>
        <w:rPr>
          <w:u w:val="single"/>
        </w:rPr>
      </w:pPr>
      <w:r>
        <w:tab/>
      </w:r>
      <w:r>
        <w:tab/>
      </w:r>
      <w:r>
        <w:t>c)</w:t>
      </w:r>
      <w:r>
        <w:tab/>
        <w:t>амплитуда угла поворота рулевого колеса на конечном прогоне должна составлять более 6,5 А или 270 градусов. Если любое увеличение на 0,5 А до достижения 6,5 А больше 300 градусов, то амплитуда поворота рулевого колеса на конечном прогоне должна составлять 300 градусов (пункт 9.9.4), где «A»</w:t>
      </w:r>
      <w:r w:rsidR="008A1DCD">
        <w:t xml:space="preserve"> </w:t>
      </w:r>
      <w:r w:rsidR="008A1DCD">
        <w:t>—</w:t>
      </w:r>
      <w:r>
        <w:t xml:space="preserve"> угол поворота рулевого колес</w:t>
      </w:r>
      <w:bookmarkStart w:id="2" w:name="_GoBack"/>
      <w:bookmarkEnd w:id="2"/>
      <w:r>
        <w:t>а, который создает устойчивое состояние бокового ускорения величиной 0,3 g, действующего на испытуемое транспортное средство, и определяется на основании результатов испытания «с медленным увеличением угла поворота рулевого колеса» (пункт 9.6).</w:t>
      </w:r>
    </w:p>
    <w:p w14:paraId="491411AE" w14:textId="77777777" w:rsidR="000052C5" w:rsidRPr="000117D1" w:rsidRDefault="000052C5" w:rsidP="000052C5">
      <w:pPr>
        <w:pStyle w:val="SingleTxtG"/>
      </w:pPr>
      <w:r>
        <w:t>2.</w:t>
      </w:r>
      <w:r>
        <w:tab/>
        <w:t>В таких условиях испытания при нормализованном угле «А» устраняется влияние передаточного числа рулевого механизма, зависящее от угла поворота рулевого колеса и поведения транспортного средства. Поэтому</w:t>
      </w:r>
      <w:r w:rsidR="008A1DCD">
        <w:t xml:space="preserve"> </w:t>
      </w:r>
      <w:r w:rsidR="008A1DCD">
        <w:t>—</w:t>
      </w:r>
      <w:r>
        <w:t xml:space="preserve"> для целей обоснованного испытания ЭКУ </w:t>
      </w:r>
      <w:r w:rsidR="008A1DCD">
        <w:t>—</w:t>
      </w:r>
      <w:r>
        <w:t xml:space="preserve"> чем ниже передаточное число рулевого механизма (т. е. чем быстрее происходит изменение рулевых характеристик), тем меньше угол</w:t>
      </w:r>
      <w:r w:rsidR="008A1DCD">
        <w:t> </w:t>
      </w:r>
      <w:r>
        <w:t>«А» и амплитуда угла поворота рулевого колеса на каждом испытательном прогоне, требуемые для обеспечения постоянного угла поворота рулевого колеса, подразумевающего непрерывное боковое перемещение транспортного средства.</w:t>
      </w:r>
    </w:p>
    <w:p w14:paraId="21F71C4D" w14:textId="77777777" w:rsidR="000052C5" w:rsidRPr="000117D1" w:rsidRDefault="000052C5" w:rsidP="000052C5">
      <w:pPr>
        <w:pStyle w:val="SingleTxtG"/>
      </w:pPr>
      <w:r>
        <w:t>3.</w:t>
      </w:r>
      <w:r>
        <w:tab/>
        <w:t>Однако амплитуда угла поворота рулевого колеса на конечном прогоне фиксируется в диапазоне от 270 до 300 градусов, что соответствует абсолютным значениям, а не нормализованным углам, которые исключают влияние передаточного числа рулевого механизма каждого транспортного средства.</w:t>
      </w:r>
    </w:p>
    <w:p w14:paraId="20057284" w14:textId="77777777" w:rsidR="000052C5" w:rsidRPr="000117D1" w:rsidRDefault="000052C5" w:rsidP="000052C5">
      <w:pPr>
        <w:pStyle w:val="SingleTxtG"/>
      </w:pPr>
      <w:r>
        <w:t>4.</w:t>
      </w:r>
      <w:r>
        <w:tab/>
        <w:t>В будущем не исключено появление транспортных средств с гораздо более низким передаточным числом рулевого механизма (т. е. быстро изменяющимися рулевыми характеристиками), которые могут оказаться не в состоянии обеспечить в ходе испытания ЭКУ заданную абсолютную амплитуду угла поворота на конечном прогоне, что чревато негативными последствиями в плане будущего практического усовершенствования оборудования рулевого управления, например систем управления по проводам.</w:t>
      </w:r>
    </w:p>
    <w:p w14:paraId="0C0702CE" w14:textId="77777777" w:rsidR="000052C5" w:rsidRPr="00C463F1" w:rsidRDefault="000052C5" w:rsidP="000052C5">
      <w:pPr>
        <w:pStyle w:val="SingleTxtG"/>
      </w:pPr>
      <w:r>
        <w:lastRenderedPageBreak/>
        <w:t>5.</w:t>
      </w:r>
      <w:r>
        <w:tab/>
        <w:t>Поправки к пункту 9.9.4, выше, были подготовлены в ходе четвертой сессии Рабочей группы по автоматизированным/автономным и подключенным транспортным средствам (GRVA) экспертами от Международной ассоциации производителей автомобилей (МОПАП) с учетом предложения, внесенного экспертом от Республики Корея.</w:t>
      </w:r>
    </w:p>
    <w:p w14:paraId="04034BF1" w14:textId="77777777" w:rsidR="000052C5" w:rsidRPr="000117D1" w:rsidRDefault="000052C5" w:rsidP="000052C5">
      <w:pPr>
        <w:pStyle w:val="SingleTxtG"/>
        <w:rPr>
          <w:color w:val="222222"/>
          <w:shd w:val="clear" w:color="auto" w:fill="FFFFFF"/>
        </w:rPr>
      </w:pPr>
      <w:r>
        <w:t>6.</w:t>
      </w:r>
      <w:r>
        <w:tab/>
        <w:t>GRVA также обсудила необходимость внесения поправок в пункт 7.9.4 приложения 1 к Глобальным техническим правилам (ГТП) № 8 ООН.</w:t>
      </w:r>
    </w:p>
    <w:p w14:paraId="0D850B62" w14:textId="77777777" w:rsidR="000052C5" w:rsidRPr="000117D1" w:rsidRDefault="000052C5" w:rsidP="000052C5">
      <w:pPr>
        <w:spacing w:before="240"/>
        <w:jc w:val="center"/>
        <w:rPr>
          <w:u w:val="single"/>
        </w:rPr>
      </w:pPr>
      <w:r w:rsidRPr="000117D1">
        <w:rPr>
          <w:u w:val="single"/>
        </w:rPr>
        <w:tab/>
      </w:r>
      <w:r w:rsidRPr="000117D1">
        <w:rPr>
          <w:u w:val="single"/>
        </w:rPr>
        <w:tab/>
      </w:r>
      <w:r w:rsidRPr="000117D1">
        <w:rPr>
          <w:u w:val="single"/>
        </w:rPr>
        <w:tab/>
      </w:r>
    </w:p>
    <w:p w14:paraId="4412763C" w14:textId="77777777" w:rsidR="00E12C5F" w:rsidRPr="008D53B6" w:rsidRDefault="00E12C5F" w:rsidP="00D9145B"/>
    <w:sectPr w:rsidR="00E12C5F" w:rsidRPr="008D53B6" w:rsidSect="000052C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6E3F9" w14:textId="77777777" w:rsidR="007B2923" w:rsidRPr="00A312BC" w:rsidRDefault="007B2923" w:rsidP="00A312BC"/>
  </w:endnote>
  <w:endnote w:type="continuationSeparator" w:id="0">
    <w:p w14:paraId="366D0F74" w14:textId="77777777" w:rsidR="007B2923" w:rsidRPr="00A312BC" w:rsidRDefault="007B292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15C03" w14:textId="77777777" w:rsidR="000052C5" w:rsidRPr="000052C5" w:rsidRDefault="000052C5">
    <w:pPr>
      <w:pStyle w:val="a8"/>
    </w:pPr>
    <w:r w:rsidRPr="000052C5">
      <w:rPr>
        <w:b/>
        <w:sz w:val="18"/>
      </w:rPr>
      <w:fldChar w:fldCharType="begin"/>
    </w:r>
    <w:r w:rsidRPr="000052C5">
      <w:rPr>
        <w:b/>
        <w:sz w:val="18"/>
      </w:rPr>
      <w:instrText xml:space="preserve"> PAGE  \* MERGEFORMAT </w:instrText>
    </w:r>
    <w:r w:rsidRPr="000052C5">
      <w:rPr>
        <w:b/>
        <w:sz w:val="18"/>
      </w:rPr>
      <w:fldChar w:fldCharType="separate"/>
    </w:r>
    <w:r w:rsidRPr="000052C5">
      <w:rPr>
        <w:b/>
        <w:noProof/>
        <w:sz w:val="18"/>
      </w:rPr>
      <w:t>2</w:t>
    </w:r>
    <w:r w:rsidRPr="000052C5">
      <w:rPr>
        <w:b/>
        <w:sz w:val="18"/>
      </w:rPr>
      <w:fldChar w:fldCharType="end"/>
    </w:r>
    <w:r>
      <w:rPr>
        <w:b/>
        <w:sz w:val="18"/>
      </w:rPr>
      <w:tab/>
    </w:r>
    <w:r>
      <w:t>GE.19-20575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049C9" w14:textId="77777777" w:rsidR="000052C5" w:rsidRPr="000052C5" w:rsidRDefault="000052C5" w:rsidP="000052C5">
    <w:pPr>
      <w:pStyle w:val="a8"/>
      <w:tabs>
        <w:tab w:val="clear" w:pos="9639"/>
        <w:tab w:val="right" w:pos="9638"/>
      </w:tabs>
      <w:rPr>
        <w:b/>
        <w:sz w:val="18"/>
      </w:rPr>
    </w:pPr>
    <w:r>
      <w:t>GE.19-20575</w:t>
    </w:r>
    <w:r>
      <w:tab/>
    </w:r>
    <w:r w:rsidRPr="000052C5">
      <w:rPr>
        <w:b/>
        <w:sz w:val="18"/>
      </w:rPr>
      <w:fldChar w:fldCharType="begin"/>
    </w:r>
    <w:r w:rsidRPr="000052C5">
      <w:rPr>
        <w:b/>
        <w:sz w:val="18"/>
      </w:rPr>
      <w:instrText xml:space="preserve"> PAGE  \* MERGEFORMAT </w:instrText>
    </w:r>
    <w:r w:rsidRPr="000052C5">
      <w:rPr>
        <w:b/>
        <w:sz w:val="18"/>
      </w:rPr>
      <w:fldChar w:fldCharType="separate"/>
    </w:r>
    <w:r w:rsidRPr="000052C5">
      <w:rPr>
        <w:b/>
        <w:noProof/>
        <w:sz w:val="18"/>
      </w:rPr>
      <w:t>3</w:t>
    </w:r>
    <w:r w:rsidRPr="000052C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CD879" w14:textId="77777777" w:rsidR="00042B72" w:rsidRPr="000052C5" w:rsidRDefault="000052C5" w:rsidP="000052C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F487811" wp14:editId="3A32F5D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19-20575  (R)</w:t>
    </w:r>
    <w:r>
      <w:rPr>
        <w:lang w:val="fr-CH"/>
      </w:rPr>
      <w:t xml:space="preserve">  161219  161219</w:t>
    </w:r>
    <w:r>
      <w:br/>
    </w:r>
    <w:r w:rsidRPr="000052C5">
      <w:rPr>
        <w:rFonts w:ascii="C39T30Lfz" w:hAnsi="C39T30Lfz"/>
        <w:kern w:val="14"/>
        <w:sz w:val="56"/>
      </w:rPr>
      <w:t></w:t>
    </w:r>
    <w:r w:rsidRPr="000052C5">
      <w:rPr>
        <w:rFonts w:ascii="C39T30Lfz" w:hAnsi="C39T30Lfz"/>
        <w:kern w:val="14"/>
        <w:sz w:val="56"/>
      </w:rPr>
      <w:t></w:t>
    </w:r>
    <w:r w:rsidRPr="000052C5">
      <w:rPr>
        <w:rFonts w:ascii="C39T30Lfz" w:hAnsi="C39T30Lfz"/>
        <w:kern w:val="14"/>
        <w:sz w:val="56"/>
      </w:rPr>
      <w:t></w:t>
    </w:r>
    <w:r w:rsidRPr="000052C5">
      <w:rPr>
        <w:rFonts w:ascii="C39T30Lfz" w:hAnsi="C39T30Lfz"/>
        <w:kern w:val="14"/>
        <w:sz w:val="56"/>
      </w:rPr>
      <w:t></w:t>
    </w:r>
    <w:r w:rsidRPr="000052C5">
      <w:rPr>
        <w:rFonts w:ascii="C39T30Lfz" w:hAnsi="C39T30Lfz"/>
        <w:kern w:val="14"/>
        <w:sz w:val="56"/>
      </w:rPr>
      <w:t></w:t>
    </w:r>
    <w:r w:rsidRPr="000052C5">
      <w:rPr>
        <w:rFonts w:ascii="C39T30Lfz" w:hAnsi="C39T30Lfz"/>
        <w:kern w:val="14"/>
        <w:sz w:val="56"/>
      </w:rPr>
      <w:t></w:t>
    </w:r>
    <w:r w:rsidRPr="000052C5">
      <w:rPr>
        <w:rFonts w:ascii="C39T30Lfz" w:hAnsi="C39T30Lfz"/>
        <w:kern w:val="14"/>
        <w:sz w:val="56"/>
      </w:rPr>
      <w:t></w:t>
    </w:r>
    <w:r w:rsidRPr="000052C5">
      <w:rPr>
        <w:rFonts w:ascii="C39T30Lfz" w:hAnsi="C39T30Lfz"/>
        <w:kern w:val="14"/>
        <w:sz w:val="56"/>
      </w:rPr>
      <w:t></w:t>
    </w:r>
    <w:r w:rsidRPr="000052C5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B5391CD" wp14:editId="400D40D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20/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20/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9DABB" w14:textId="77777777" w:rsidR="007B2923" w:rsidRPr="001075E9" w:rsidRDefault="007B292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267DF1" w14:textId="77777777" w:rsidR="007B2923" w:rsidRDefault="007B292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77C2F26" w14:textId="77777777" w:rsidR="000052C5" w:rsidRPr="000117D1" w:rsidRDefault="000052C5" w:rsidP="000052C5">
      <w:pPr>
        <w:pStyle w:val="ad"/>
      </w:pPr>
      <w:r>
        <w:tab/>
      </w:r>
      <w:r w:rsidRPr="000052C5">
        <w:rPr>
          <w:sz w:val="20"/>
        </w:rPr>
        <w:t>*</w:t>
      </w:r>
      <w:r>
        <w:tab/>
        <w:t xml:space="preserve">Прежнее название: </w:t>
      </w:r>
      <w:r>
        <w:rPr>
          <w:b/>
          <w:bCs/>
        </w:rPr>
        <w:t>Рабочая группа по вопросам торможения и ходовой части (GRRF)</w:t>
      </w:r>
      <w:r>
        <w:t>.</w:t>
      </w:r>
    </w:p>
  </w:footnote>
  <w:footnote w:id="2">
    <w:p w14:paraId="52299880" w14:textId="77777777" w:rsidR="000052C5" w:rsidRPr="006C5434" w:rsidRDefault="000052C5" w:rsidP="000052C5">
      <w:pPr>
        <w:pStyle w:val="ad"/>
      </w:pPr>
      <w:r>
        <w:tab/>
      </w:r>
      <w:r w:rsidRPr="000052C5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B922D" w14:textId="7F89CE41" w:rsidR="000052C5" w:rsidRPr="000052C5" w:rsidRDefault="000052C5">
    <w:pPr>
      <w:pStyle w:val="a5"/>
    </w:pPr>
    <w:fldSimple w:instr=" TITLE  \* MERGEFORMAT ">
      <w:r w:rsidR="00407EBA">
        <w:t>ECE/TRANS/WP.29/GRVA/2020/12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799F" w14:textId="64722E7F" w:rsidR="000052C5" w:rsidRPr="000052C5" w:rsidRDefault="000052C5" w:rsidP="000052C5">
    <w:pPr>
      <w:pStyle w:val="a5"/>
      <w:jc w:val="right"/>
    </w:pPr>
    <w:fldSimple w:instr=" TITLE  \* MERGEFORMAT ">
      <w:r w:rsidR="00407EBA">
        <w:t>ECE/TRANS/WP.29/GRVA/2020/12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2430C"/>
    <w:multiLevelType w:val="hybridMultilevel"/>
    <w:tmpl w:val="A6601E2C"/>
    <w:lvl w:ilvl="0" w:tplc="69A8EFE4">
      <w:start w:val="1"/>
      <w:numFmt w:val="lowerLetter"/>
      <w:lvlText w:val="%1)"/>
      <w:lvlJc w:val="left"/>
      <w:pPr>
        <w:ind w:left="2628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23"/>
    <w:rsid w:val="000052C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7CF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96EB2"/>
    <w:rsid w:val="003A0D43"/>
    <w:rsid w:val="003A48CE"/>
    <w:rsid w:val="003B00E5"/>
    <w:rsid w:val="003E0B46"/>
    <w:rsid w:val="00407B78"/>
    <w:rsid w:val="00407EBA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7FC4"/>
    <w:rsid w:val="00734ACB"/>
    <w:rsid w:val="00757357"/>
    <w:rsid w:val="00792497"/>
    <w:rsid w:val="007B2923"/>
    <w:rsid w:val="00806737"/>
    <w:rsid w:val="00825F8D"/>
    <w:rsid w:val="00834B71"/>
    <w:rsid w:val="0086445C"/>
    <w:rsid w:val="00894693"/>
    <w:rsid w:val="008A08D7"/>
    <w:rsid w:val="008A1DCD"/>
    <w:rsid w:val="008A37C8"/>
    <w:rsid w:val="008B6909"/>
    <w:rsid w:val="008D53B6"/>
    <w:rsid w:val="008F1AAA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23E0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3859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6552C4"/>
  <w15:docId w15:val="{154DD25E-2176-4EF4-94CC-DC7913C1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0052C5"/>
    <w:rPr>
      <w:lang w:val="ru-RU" w:eastAsia="en-US"/>
    </w:rPr>
  </w:style>
  <w:style w:type="character" w:customStyle="1" w:styleId="H1GChar">
    <w:name w:val="_ H_1_G Char"/>
    <w:link w:val="H1G"/>
    <w:rsid w:val="000052C5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0052C5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598</Words>
  <Characters>4060</Characters>
  <Application>Microsoft Office Word</Application>
  <DocSecurity>0</DocSecurity>
  <Lines>90</Lines>
  <Paragraphs>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ECE/TRANS/WP.29/GRVA/2020/12</vt:lpstr>
      <vt:lpstr>A/</vt:lpstr>
      <vt:lpstr>A/</vt:lpstr>
    </vt:vector>
  </TitlesOfParts>
  <Company>DCM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ECE/TRANS/WP.29/GRVA/2020/12</dc:title>
  <dc:subject/>
  <dc:creator>Elena IZOTOVA</dc:creator>
  <cp:keywords/>
  <cp:lastModifiedBy>Elena Izotova</cp:lastModifiedBy>
  <cp:revision>3</cp:revision>
  <cp:lastPrinted>2019-12-16T15:37:00Z</cp:lastPrinted>
  <dcterms:created xsi:type="dcterms:W3CDTF">2019-12-16T15:37:00Z</dcterms:created>
  <dcterms:modified xsi:type="dcterms:W3CDTF">2019-12-16T15:38:00Z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