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B5FC" w14:textId="4CC108BA" w:rsidR="00604269" w:rsidRPr="00A66D91" w:rsidRDefault="00604269" w:rsidP="00604269">
      <w:pPr>
        <w:pStyle w:val="HChG"/>
        <w:spacing w:before="120"/>
        <w:ind w:left="567" w:firstLine="0"/>
        <w:jc w:val="both"/>
        <w:rPr>
          <w:lang w:val="en-US"/>
        </w:rPr>
      </w:pPr>
      <w:r w:rsidRPr="00A66D91">
        <w:t xml:space="preserve">Proposal for amendments </w:t>
      </w:r>
      <w:r w:rsidRPr="004A4D11">
        <w:t>to</w:t>
      </w:r>
      <w:r>
        <w:t xml:space="preserve"> </w:t>
      </w:r>
      <w:r w:rsidR="00430B0F" w:rsidRPr="00430B0F">
        <w:t xml:space="preserve">the 05 series of amendments </w:t>
      </w:r>
      <w:r w:rsidR="00430B0F">
        <w:t xml:space="preserve">to </w:t>
      </w:r>
      <w:r w:rsidR="00050E21">
        <w:t xml:space="preserve">UN </w:t>
      </w:r>
      <w:r>
        <w:t xml:space="preserve">Regulation No. </w:t>
      </w:r>
      <w:r w:rsidR="00606C31">
        <w:t>96</w:t>
      </w:r>
      <w:r>
        <w:t xml:space="preserve"> </w:t>
      </w:r>
      <w:r w:rsidR="00C73EFF">
        <w:t>(</w:t>
      </w:r>
      <w:r w:rsidR="00C73EFF" w:rsidRPr="00C73EFF">
        <w:t xml:space="preserve">Emissions from Non-Road </w:t>
      </w:r>
      <w:r w:rsidR="0095032B">
        <w:t>Mobile Machinery (NRMM) engines</w:t>
      </w:r>
      <w:r w:rsidR="00606C31" w:rsidRPr="00606C31">
        <w:t>)</w:t>
      </w:r>
    </w:p>
    <w:p w14:paraId="2E646DAC" w14:textId="77777777" w:rsidR="001A4200" w:rsidRDefault="001A4200" w:rsidP="00604269">
      <w:pPr>
        <w:pStyle w:val="SingleTxtG"/>
      </w:pPr>
    </w:p>
    <w:p w14:paraId="5DD03354" w14:textId="1BC1DAEB" w:rsidR="00604269" w:rsidRPr="000F1EED" w:rsidRDefault="00604269" w:rsidP="00604269">
      <w:pPr>
        <w:pStyle w:val="SingleTxtG"/>
      </w:pPr>
      <w:r>
        <w:t>The</w:t>
      </w:r>
      <w:r w:rsidRPr="000F1EED">
        <w:rPr>
          <w:lang w:val="en-GB"/>
        </w:rPr>
        <w:t xml:space="preserve"> text reproduced</w:t>
      </w:r>
      <w:r>
        <w:t xml:space="preserve"> </w:t>
      </w:r>
      <w:r w:rsidRPr="000F1EED">
        <w:rPr>
          <w:lang w:val="en-GB"/>
        </w:rPr>
        <w:t>below</w:t>
      </w:r>
      <w:r w:rsidRPr="000F1EED">
        <w:t xml:space="preserve"> was prepared by the expert from CITA proposing to amend </w:t>
      </w:r>
      <w:r w:rsidR="00430B0F" w:rsidRPr="00430B0F">
        <w:t xml:space="preserve">the 05 series of amendments </w:t>
      </w:r>
      <w:r w:rsidR="00430B0F">
        <w:rPr>
          <w:lang w:val="fr-CH"/>
        </w:rPr>
        <w:t xml:space="preserve">to </w:t>
      </w:r>
      <w:r w:rsidRPr="000F1EED">
        <w:t xml:space="preserve">UN Regulation No. </w:t>
      </w:r>
      <w:r w:rsidR="00606C31" w:rsidRPr="000F1EED">
        <w:rPr>
          <w:lang w:val="en-GB"/>
        </w:rPr>
        <w:t>96</w:t>
      </w:r>
      <w:r w:rsidRPr="000F1EED">
        <w:t>, improving the design of vehicles to make tampering of emissions systems more difficult and to facilitate its detection.</w:t>
      </w:r>
    </w:p>
    <w:p w14:paraId="174E012C" w14:textId="77777777" w:rsidR="00604269" w:rsidRPr="000F1EED" w:rsidRDefault="00604269" w:rsidP="00604269">
      <w:pPr>
        <w:pStyle w:val="HChG"/>
        <w:tabs>
          <w:tab w:val="clear" w:pos="851"/>
        </w:tabs>
        <w:spacing w:before="240"/>
        <w:ind w:hanging="567"/>
        <w:rPr>
          <w:lang w:val="en-US"/>
        </w:rPr>
      </w:pPr>
      <w:r w:rsidRPr="000F1EED">
        <w:rPr>
          <w:lang w:val="en-US"/>
        </w:rPr>
        <w:t>I.</w:t>
      </w:r>
      <w:r w:rsidRPr="000F1EED">
        <w:rPr>
          <w:lang w:val="en-US"/>
        </w:rPr>
        <w:tab/>
        <w:t>Proposal</w:t>
      </w:r>
    </w:p>
    <w:p w14:paraId="268FBECA" w14:textId="77777777" w:rsidR="00F27A89" w:rsidRPr="000F1EED" w:rsidRDefault="00F27A89" w:rsidP="00F27A89">
      <w:pPr>
        <w:pStyle w:val="SingleTxtG"/>
        <w:rPr>
          <w:i/>
          <w:iCs/>
          <w:lang w:val="en-GB"/>
        </w:rPr>
      </w:pPr>
      <w:r w:rsidRPr="000F1EED">
        <w:rPr>
          <w:i/>
          <w:iCs/>
        </w:rPr>
        <w:t>Insert new paragraph 2.1.30., amend following numbering</w:t>
      </w:r>
    </w:p>
    <w:p w14:paraId="739721FF" w14:textId="77777777" w:rsidR="00F27A89" w:rsidRPr="000F1EED" w:rsidRDefault="00F27A89" w:rsidP="00F27A89">
      <w:pPr>
        <w:pStyle w:val="SingleTxtG"/>
        <w:ind w:hanging="1134"/>
      </w:pPr>
      <w:r w:rsidRPr="000F1EED">
        <w:t>“</w:t>
      </w:r>
      <w:r w:rsidRPr="00430B0F">
        <w:rPr>
          <w:b/>
          <w:bCs/>
          <w:lang w:val="en-GB"/>
        </w:rPr>
        <w:t>2</w:t>
      </w:r>
      <w:r w:rsidRPr="00430B0F">
        <w:rPr>
          <w:b/>
          <w:bCs/>
        </w:rPr>
        <w:t>.1.</w:t>
      </w:r>
      <w:r w:rsidRPr="00430B0F">
        <w:rPr>
          <w:b/>
          <w:bCs/>
          <w:lang w:val="en-GB"/>
        </w:rPr>
        <w:t>30</w:t>
      </w:r>
      <w:r w:rsidRPr="00430B0F">
        <w:rPr>
          <w:b/>
          <w:bCs/>
        </w:rPr>
        <w:t xml:space="preserve">. </w:t>
      </w:r>
      <w:r w:rsidRPr="00430B0F">
        <w:rPr>
          <w:b/>
          <w:bCs/>
        </w:rPr>
        <w:tab/>
        <w:t>"</w:t>
      </w:r>
      <w:r w:rsidRPr="00430B0F">
        <w:rPr>
          <w:b/>
          <w:bCs/>
          <w:i/>
          <w:iCs/>
        </w:rPr>
        <w:t xml:space="preserve">Engine </w:t>
      </w:r>
      <w:r w:rsidRPr="00430B0F">
        <w:rPr>
          <w:b/>
          <w:bCs/>
          <w:i/>
          <w:iCs/>
          <w:lang w:val="en-GB"/>
        </w:rPr>
        <w:t>protection</w:t>
      </w:r>
      <w:r w:rsidRPr="00430B0F">
        <w:rPr>
          <w:b/>
          <w:bCs/>
        </w:rPr>
        <w:t xml:space="preserve">" means </w:t>
      </w:r>
      <w:r w:rsidRPr="00430B0F">
        <w:rPr>
          <w:b/>
          <w:bCs/>
          <w:lang w:val="en-GB"/>
        </w:rPr>
        <w:t>measures to protect the engine in extreme rare situations, where the engine could be harmed although it has been designed, constructed and assembled according to 5.1. of this Regulation</w:t>
      </w:r>
      <w:proofErr w:type="gramStart"/>
      <w:r w:rsidRPr="00430B0F">
        <w:rPr>
          <w:b/>
          <w:bCs/>
          <w:lang w:val="en-GB"/>
        </w:rPr>
        <w:t>.</w:t>
      </w:r>
      <w:r w:rsidRPr="00430B0F">
        <w:rPr>
          <w:b/>
          <w:bCs/>
        </w:rPr>
        <w:t>;</w:t>
      </w:r>
      <w:r w:rsidRPr="000F1EED">
        <w:t>“</w:t>
      </w:r>
      <w:proofErr w:type="gramEnd"/>
    </w:p>
    <w:p w14:paraId="080032F2" w14:textId="77777777" w:rsidR="00F27A89" w:rsidRPr="000F1EED" w:rsidRDefault="00F27A89" w:rsidP="00F27A89">
      <w:pPr>
        <w:pStyle w:val="SingleTxtG"/>
        <w:ind w:hanging="1134"/>
        <w:rPr>
          <w:i/>
          <w:iCs/>
        </w:rPr>
      </w:pPr>
    </w:p>
    <w:p w14:paraId="0AAF1268" w14:textId="77777777" w:rsidR="001A2DF7" w:rsidRPr="000F1EED" w:rsidRDefault="00D10EF5" w:rsidP="001A2DF7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>Paragraph</w:t>
      </w:r>
      <w:r w:rsidRPr="000F1EED">
        <w:rPr>
          <w:i/>
          <w:iCs/>
        </w:rPr>
        <w:t xml:space="preserve"> </w:t>
      </w:r>
      <w:r w:rsidRPr="000F1EED">
        <w:rPr>
          <w:i/>
          <w:iCs/>
          <w:lang w:val="en-GB"/>
        </w:rPr>
        <w:t>2.1.88.</w:t>
      </w:r>
      <w:r w:rsidRPr="000F1EED">
        <w:rPr>
          <w:i/>
          <w:iCs/>
        </w:rPr>
        <w:t>, amend to read:</w:t>
      </w:r>
    </w:p>
    <w:p w14:paraId="7961E4DD" w14:textId="70A1DA41" w:rsidR="001A2DF7" w:rsidRPr="000F1EED" w:rsidRDefault="001A2DF7" w:rsidP="00D10EF5">
      <w:pPr>
        <w:pStyle w:val="SingleTxtG"/>
        <w:ind w:hanging="1134"/>
      </w:pPr>
      <w:r w:rsidRPr="000F1EED">
        <w:t>“</w:t>
      </w:r>
      <w:r w:rsidR="00D10EF5" w:rsidRPr="000F1EED">
        <w:t xml:space="preserve">2.1.88. </w:t>
      </w:r>
      <w:r w:rsidR="00D10EF5" w:rsidRPr="000F1EED">
        <w:tab/>
        <w:t>"Tampering" means inactivation</w:t>
      </w:r>
      <w:r w:rsidR="00D10EF5" w:rsidRPr="00E60ECD">
        <w:rPr>
          <w:b/>
        </w:rPr>
        <w:t>,</w:t>
      </w:r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removal</w:t>
      </w:r>
      <w:proofErr w:type="spellEnd"/>
      <w:r w:rsidR="00D20293" w:rsidRPr="00E60ECD">
        <w:rPr>
          <w:b/>
          <w:lang w:val="ca-ES"/>
        </w:rPr>
        <w:t xml:space="preserve">, </w:t>
      </w:r>
      <w:proofErr w:type="spellStart"/>
      <w:r w:rsidR="00D20293" w:rsidRPr="00E60ECD">
        <w:rPr>
          <w:b/>
          <w:lang w:val="ca-ES"/>
        </w:rPr>
        <w:t>disconnection</w:t>
      </w:r>
      <w:proofErr w:type="spellEnd"/>
      <w:r w:rsidR="00D20293" w:rsidRPr="00E60ECD">
        <w:rPr>
          <w:b/>
          <w:lang w:val="ca-ES"/>
        </w:rPr>
        <w:t>,</w:t>
      </w:r>
      <w:r w:rsidR="00D10EF5" w:rsidRPr="000F1EED">
        <w:t xml:space="preserve"> adjustment or modification of the emission control system, including any software</w:t>
      </w:r>
      <w:r w:rsidR="00D10EF5" w:rsidRPr="000F1EED">
        <w:rPr>
          <w:lang w:val="en-GB"/>
        </w:rPr>
        <w:t xml:space="preserve">, </w:t>
      </w:r>
      <w:r w:rsidR="00D10EF5" w:rsidRPr="000F1EED">
        <w:t>other logical control elements</w:t>
      </w:r>
      <w:r w:rsidR="00D10EF5" w:rsidRPr="000F1EED">
        <w:rPr>
          <w:lang w:val="en-GB"/>
        </w:rPr>
        <w:t xml:space="preserve"> </w:t>
      </w:r>
      <w:r w:rsidR="00D10EF5" w:rsidRPr="00E60ECD">
        <w:rPr>
          <w:b/>
          <w:lang w:val="en-GB"/>
        </w:rPr>
        <w:t>or components</w:t>
      </w:r>
      <w:r w:rsidR="00D10EF5" w:rsidRPr="000F1EED">
        <w:t xml:space="preserve"> of such a system, that has the effect, whether intended or not, of worsening the emissions performance of the engine; “</w:t>
      </w:r>
    </w:p>
    <w:p w14:paraId="3B95DE42" w14:textId="77777777" w:rsidR="00F15465" w:rsidRPr="000F1EED" w:rsidRDefault="00F15465" w:rsidP="00F15465">
      <w:pPr>
        <w:pStyle w:val="SingleTxtG"/>
        <w:rPr>
          <w:i/>
          <w:iCs/>
        </w:rPr>
      </w:pPr>
    </w:p>
    <w:p w14:paraId="7F7C5A12" w14:textId="77777777" w:rsidR="00193DAA" w:rsidRPr="000F1EED" w:rsidRDefault="00193DAA" w:rsidP="00193DAA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>Paragraph</w:t>
      </w:r>
      <w:r w:rsidRPr="000F1EED">
        <w:rPr>
          <w:i/>
          <w:iCs/>
        </w:rPr>
        <w:t xml:space="preserve"> </w:t>
      </w:r>
      <w:r w:rsidRPr="000F1EED">
        <w:rPr>
          <w:i/>
          <w:iCs/>
          <w:lang w:val="en-GB"/>
        </w:rPr>
        <w:t>4.3.6.</w:t>
      </w:r>
      <w:r w:rsidRPr="000F1EED">
        <w:rPr>
          <w:i/>
          <w:iCs/>
        </w:rPr>
        <w:t>, amend to read:</w:t>
      </w:r>
    </w:p>
    <w:p w14:paraId="60986B69" w14:textId="77777777" w:rsidR="00193DAA" w:rsidRPr="000F1EED" w:rsidRDefault="00193DAA" w:rsidP="00193DAA">
      <w:pPr>
        <w:pStyle w:val="SingleTxtG"/>
        <w:ind w:hanging="1134"/>
        <w:rPr>
          <w:lang w:val="en-GB"/>
        </w:rPr>
      </w:pPr>
      <w:r w:rsidRPr="000F1EED">
        <w:t xml:space="preserve">“4.3.6. </w:t>
      </w:r>
      <w:r w:rsidRPr="000F1EED">
        <w:tab/>
        <w:t>Where the statutory marking of the engine is not visible without removing parts, the vehicle manufacturer shall affix to the category T vehicle or the non-road mobile machinery, in a visible manner</w:t>
      </w:r>
      <w:r w:rsidRPr="000F1EED">
        <w:rPr>
          <w:lang w:val="en-GB"/>
        </w:rPr>
        <w:t xml:space="preserve"> </w:t>
      </w:r>
      <w:r w:rsidRPr="00E60ECD">
        <w:rPr>
          <w:b/>
          <w:lang w:val="en-GB"/>
        </w:rPr>
        <w:t>without dismantling</w:t>
      </w:r>
      <w:r w:rsidRPr="00E60ECD">
        <w:rPr>
          <w:b/>
        </w:rPr>
        <w:t>,</w:t>
      </w:r>
      <w:r w:rsidRPr="000F1EED">
        <w:t xml:space="preserve"> a duplicate of the marking provided by the manufacturer.“</w:t>
      </w:r>
    </w:p>
    <w:p w14:paraId="525D732F" w14:textId="77777777" w:rsidR="00193DAA" w:rsidRPr="000F1EED" w:rsidRDefault="00193DAA" w:rsidP="00193DAA">
      <w:pPr>
        <w:pStyle w:val="SingleTxtG"/>
        <w:rPr>
          <w:i/>
          <w:iCs/>
        </w:rPr>
      </w:pPr>
    </w:p>
    <w:p w14:paraId="6618BC52" w14:textId="07886438" w:rsidR="00F15465" w:rsidRPr="000F1EED" w:rsidRDefault="00193DAA" w:rsidP="00F15465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>Paragraph 5.1. amend to read:</w:t>
      </w:r>
    </w:p>
    <w:p w14:paraId="5DFD855B" w14:textId="77777777" w:rsidR="00193DAA" w:rsidRPr="00E60ECD" w:rsidRDefault="00F15465" w:rsidP="00193DAA">
      <w:pPr>
        <w:pStyle w:val="SingleTxtG"/>
        <w:ind w:hanging="1134"/>
        <w:rPr>
          <w:b/>
          <w:lang w:val="en-GB"/>
        </w:rPr>
      </w:pPr>
      <w:r w:rsidRPr="000F1EED">
        <w:t>“</w:t>
      </w:r>
      <w:r w:rsidR="00193DAA" w:rsidRPr="000F1EED">
        <w:rPr>
          <w:lang w:val="en-GB"/>
        </w:rPr>
        <w:t>5.</w:t>
      </w:r>
      <w:r w:rsidRPr="000F1EED">
        <w:rPr>
          <w:lang w:val="en-GB"/>
        </w:rPr>
        <w:t>1</w:t>
      </w:r>
      <w:r w:rsidRPr="000F1EED">
        <w:t xml:space="preserve">. </w:t>
      </w:r>
      <w:r w:rsidRPr="000F1EED">
        <w:tab/>
      </w:r>
      <w:r w:rsidR="00193DAA" w:rsidRPr="00E60ECD">
        <w:rPr>
          <w:b/>
        </w:rPr>
        <w:t xml:space="preserve">Engines </w:t>
      </w:r>
      <w:proofErr w:type="spellStart"/>
      <w:r w:rsidR="00D20293" w:rsidRPr="00E60ECD">
        <w:rPr>
          <w:b/>
          <w:lang w:val="ca-ES"/>
        </w:rPr>
        <w:t>and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after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treatment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systems</w:t>
      </w:r>
      <w:proofErr w:type="spellEnd"/>
      <w:r w:rsidR="00D20293" w:rsidRPr="00E60ECD">
        <w:rPr>
          <w:b/>
          <w:lang w:val="ca-ES"/>
        </w:rPr>
        <w:t xml:space="preserve"> </w:t>
      </w:r>
      <w:r w:rsidR="00193DAA" w:rsidRPr="00E60ECD">
        <w:rPr>
          <w:b/>
        </w:rPr>
        <w:t>shall be designed, constr</w:t>
      </w:r>
      <w:r w:rsidR="00F27A89" w:rsidRPr="00E60ECD">
        <w:rPr>
          <w:b/>
        </w:rPr>
        <w:t>uc</w:t>
      </w:r>
      <w:r w:rsidR="00193DAA" w:rsidRPr="00E60ECD">
        <w:rPr>
          <w:b/>
        </w:rPr>
        <w:t>ted and assembled so that their normal operation does not harm persons or the environment more than unavoidable.</w:t>
      </w:r>
    </w:p>
    <w:p w14:paraId="61F1DFA7" w14:textId="77777777" w:rsidR="00F15465" w:rsidRPr="000F1EED" w:rsidRDefault="00193DAA" w:rsidP="00193DAA">
      <w:pPr>
        <w:pStyle w:val="SingleTxtG"/>
        <w:ind w:hanging="1134"/>
      </w:pPr>
      <w:r w:rsidRPr="000F1EED">
        <w:tab/>
        <w:t xml:space="preserve">Engines </w:t>
      </w:r>
      <w:proofErr w:type="spellStart"/>
      <w:r w:rsidR="00D20293" w:rsidRPr="00E60ECD">
        <w:rPr>
          <w:b/>
          <w:lang w:val="ca-ES"/>
        </w:rPr>
        <w:t>and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after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treatment</w:t>
      </w:r>
      <w:proofErr w:type="spellEnd"/>
      <w:r w:rsidR="00D20293" w:rsidRPr="00E60ECD">
        <w:rPr>
          <w:b/>
          <w:lang w:val="ca-ES"/>
        </w:rPr>
        <w:t xml:space="preserve"> </w:t>
      </w:r>
      <w:proofErr w:type="spellStart"/>
      <w:r w:rsidR="00D20293" w:rsidRPr="00E60ECD">
        <w:rPr>
          <w:b/>
          <w:lang w:val="ca-ES"/>
        </w:rPr>
        <w:t>systems</w:t>
      </w:r>
      <w:proofErr w:type="spellEnd"/>
      <w:r w:rsidR="00D20293" w:rsidRPr="000F1EED">
        <w:rPr>
          <w:lang w:val="ca-ES"/>
        </w:rPr>
        <w:t xml:space="preserve"> </w:t>
      </w:r>
      <w:r w:rsidRPr="000F1EED">
        <w:t>shall be designed, constructed and assembled so as to enable them to comply with the provisions of this Regulation.</w:t>
      </w:r>
      <w:r w:rsidR="00F15465" w:rsidRPr="000F1EED">
        <w:t>“</w:t>
      </w:r>
    </w:p>
    <w:p w14:paraId="171E0394" w14:textId="77777777" w:rsidR="002D794F" w:rsidRPr="000F1EED" w:rsidRDefault="002D794F" w:rsidP="00D10EF5">
      <w:pPr>
        <w:pStyle w:val="SingleTxtG"/>
        <w:ind w:hanging="1134"/>
      </w:pPr>
    </w:p>
    <w:p w14:paraId="757C0C8B" w14:textId="77777777" w:rsidR="00666841" w:rsidRPr="000F1EED" w:rsidRDefault="00666841" w:rsidP="00666841">
      <w:pPr>
        <w:pStyle w:val="SingleTxtG"/>
        <w:rPr>
          <w:i/>
          <w:iCs/>
          <w:lang w:val="en-GB"/>
        </w:rPr>
      </w:pPr>
      <w:r w:rsidRPr="000F1EED">
        <w:rPr>
          <w:i/>
          <w:iCs/>
        </w:rPr>
        <w:t>Insert new paragraph 5.1.</w:t>
      </w:r>
      <w:r w:rsidRPr="000F1EED">
        <w:rPr>
          <w:i/>
          <w:iCs/>
          <w:lang w:val="en-GB"/>
        </w:rPr>
        <w:t>1.2.</w:t>
      </w:r>
    </w:p>
    <w:p w14:paraId="32FA3126" w14:textId="77777777" w:rsidR="00666841" w:rsidRPr="000F1EED" w:rsidRDefault="00666841" w:rsidP="00666841">
      <w:pPr>
        <w:pStyle w:val="SingleTxtG"/>
        <w:ind w:hanging="1134"/>
      </w:pPr>
      <w:r w:rsidRPr="000F1EED">
        <w:t>“</w:t>
      </w:r>
      <w:r w:rsidRPr="00430B0F">
        <w:rPr>
          <w:b/>
          <w:bCs/>
        </w:rPr>
        <w:t xml:space="preserve">5.1.1.2. </w:t>
      </w:r>
      <w:r w:rsidRPr="00430B0F">
        <w:rPr>
          <w:b/>
          <w:bCs/>
        </w:rPr>
        <w:tab/>
        <w:t>The technical measures shall also contain measures against mechanical, electric or software tampering.</w:t>
      </w:r>
      <w:r w:rsidRPr="000F1EED">
        <w:t>“</w:t>
      </w:r>
    </w:p>
    <w:p w14:paraId="433C5400" w14:textId="77777777" w:rsidR="00D10EF5" w:rsidRPr="000F1EED" w:rsidRDefault="00D10EF5" w:rsidP="00D10EF5">
      <w:pPr>
        <w:pStyle w:val="SingleTxtG"/>
        <w:ind w:hanging="1134"/>
        <w:rPr>
          <w:i/>
          <w:iCs/>
        </w:rPr>
      </w:pPr>
    </w:p>
    <w:p w14:paraId="7C6F4BA1" w14:textId="77777777" w:rsidR="001C3B64" w:rsidRPr="000F1EED" w:rsidRDefault="001C3B64" w:rsidP="001C3B64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 xml:space="preserve">Appendix 5, </w:t>
      </w:r>
      <w:proofErr w:type="spellStart"/>
      <w:r w:rsidRPr="000F1EED">
        <w:rPr>
          <w:i/>
          <w:iCs/>
          <w:lang w:val="en-GB"/>
        </w:rPr>
        <w:t>i</w:t>
      </w:r>
      <w:r w:rsidRPr="000F1EED">
        <w:rPr>
          <w:i/>
          <w:iCs/>
        </w:rPr>
        <w:t>nsert</w:t>
      </w:r>
      <w:proofErr w:type="spellEnd"/>
      <w:r w:rsidRPr="000F1EED">
        <w:rPr>
          <w:i/>
          <w:iCs/>
        </w:rPr>
        <w:t xml:space="preserve"> new paragraph 5.</w:t>
      </w:r>
      <w:r w:rsidRPr="000F1EED">
        <w:rPr>
          <w:i/>
          <w:iCs/>
          <w:lang w:val="en-GB"/>
        </w:rPr>
        <w:t>5.1.</w:t>
      </w:r>
    </w:p>
    <w:p w14:paraId="54B55234" w14:textId="77777777" w:rsidR="001C3B64" w:rsidRPr="000F1EED" w:rsidRDefault="001C3B64" w:rsidP="00A26A1B">
      <w:pPr>
        <w:pStyle w:val="SingleTxtG"/>
        <w:ind w:hanging="1134"/>
      </w:pPr>
      <w:r w:rsidRPr="000F1EED">
        <w:t>“</w:t>
      </w:r>
      <w:r w:rsidRPr="00430B0F">
        <w:rPr>
          <w:b/>
          <w:bCs/>
        </w:rPr>
        <w:t>5.</w:t>
      </w:r>
      <w:r w:rsidR="00A26A1B" w:rsidRPr="00430B0F">
        <w:rPr>
          <w:b/>
          <w:bCs/>
          <w:lang w:val="en-GB"/>
        </w:rPr>
        <w:t>5</w:t>
      </w:r>
      <w:r w:rsidRPr="00430B0F">
        <w:rPr>
          <w:b/>
          <w:bCs/>
        </w:rPr>
        <w:t xml:space="preserve">.1. </w:t>
      </w:r>
      <w:r w:rsidRPr="00430B0F">
        <w:rPr>
          <w:b/>
          <w:bCs/>
        </w:rPr>
        <w:tab/>
      </w:r>
      <w:r w:rsidR="00A26A1B" w:rsidRPr="00430B0F">
        <w:rPr>
          <w:b/>
          <w:bCs/>
        </w:rPr>
        <w:t>For engine types and engine families that use an Electronic Control Unit (ECU)</w:t>
      </w:r>
      <w:r w:rsidR="00D20293" w:rsidRPr="00430B0F">
        <w:rPr>
          <w:b/>
          <w:bCs/>
          <w:lang w:val="ca-ES"/>
        </w:rPr>
        <w:t xml:space="preserve"> or emissions-</w:t>
      </w:r>
      <w:proofErr w:type="spellStart"/>
      <w:r w:rsidR="00D20293" w:rsidRPr="00430B0F">
        <w:rPr>
          <w:b/>
          <w:bCs/>
          <w:lang w:val="ca-ES"/>
        </w:rPr>
        <w:t>related</w:t>
      </w:r>
      <w:proofErr w:type="spellEnd"/>
      <w:r w:rsidR="00D20293" w:rsidRPr="00430B0F">
        <w:rPr>
          <w:b/>
          <w:bCs/>
          <w:lang w:val="ca-ES"/>
        </w:rPr>
        <w:t xml:space="preserve"> </w:t>
      </w:r>
      <w:proofErr w:type="spellStart"/>
      <w:r w:rsidR="00D20293" w:rsidRPr="00430B0F">
        <w:rPr>
          <w:b/>
          <w:bCs/>
          <w:lang w:val="ca-ES"/>
        </w:rPr>
        <w:t>controller</w:t>
      </w:r>
      <w:proofErr w:type="spellEnd"/>
      <w:r w:rsidR="00A26A1B" w:rsidRPr="00430B0F">
        <w:rPr>
          <w:b/>
          <w:bCs/>
          <w:lang w:val="en-GB"/>
        </w:rPr>
        <w:t xml:space="preserve"> </w:t>
      </w:r>
      <w:r w:rsidR="00A26A1B" w:rsidRPr="00430B0F">
        <w:rPr>
          <w:b/>
          <w:bCs/>
        </w:rPr>
        <w:t>as part of the emission control system</w:t>
      </w:r>
      <w:r w:rsidR="00A26A1B" w:rsidRPr="00430B0F">
        <w:rPr>
          <w:b/>
          <w:bCs/>
          <w:lang w:val="en-GB"/>
        </w:rPr>
        <w:t>,</w:t>
      </w:r>
      <w:r w:rsidR="00A26A1B" w:rsidRPr="00430B0F">
        <w:rPr>
          <w:b/>
          <w:bCs/>
        </w:rPr>
        <w:t xml:space="preserve"> the information </w:t>
      </w:r>
      <w:r w:rsidR="00A26A1B" w:rsidRPr="00430B0F">
        <w:rPr>
          <w:b/>
          <w:bCs/>
        </w:rPr>
        <w:lastRenderedPageBreak/>
        <w:t xml:space="preserve">shall include a </w:t>
      </w:r>
      <w:proofErr w:type="spellStart"/>
      <w:r w:rsidR="00A26A1B" w:rsidRPr="00430B0F">
        <w:rPr>
          <w:b/>
          <w:bCs/>
        </w:rPr>
        <w:t>regular</w:t>
      </w:r>
      <w:r w:rsidR="00F24441" w:rsidRPr="00430B0F">
        <w:rPr>
          <w:b/>
          <w:bCs/>
          <w:lang w:val="en-GB"/>
        </w:rPr>
        <w:t>l</w:t>
      </w:r>
      <w:proofErr w:type="spellEnd"/>
      <w:r w:rsidR="00A26A1B" w:rsidRPr="00430B0F">
        <w:rPr>
          <w:b/>
          <w:bCs/>
        </w:rPr>
        <w:t xml:space="preserve">y updated </w:t>
      </w:r>
      <w:r w:rsidR="00A26A1B" w:rsidRPr="00430B0F">
        <w:rPr>
          <w:b/>
          <w:bCs/>
          <w:lang w:val="en-GB"/>
        </w:rPr>
        <w:t>list of approved emission control software versions (with integrity information for each)</w:t>
      </w:r>
      <w:r w:rsidRPr="000F1EED">
        <w:t>“</w:t>
      </w:r>
    </w:p>
    <w:p w14:paraId="4B1F7253" w14:textId="77777777" w:rsidR="001C3B64" w:rsidRPr="000F1EED" w:rsidRDefault="001C3B64" w:rsidP="00D10EF5">
      <w:pPr>
        <w:pStyle w:val="SingleTxtG"/>
        <w:ind w:hanging="1134"/>
        <w:rPr>
          <w:i/>
          <w:iCs/>
          <w:lang w:val="en-GB"/>
        </w:rPr>
      </w:pPr>
    </w:p>
    <w:p w14:paraId="1071C767" w14:textId="77777777" w:rsidR="00A26A1B" w:rsidRPr="000F1EED" w:rsidRDefault="00A26A1B" w:rsidP="00A26A1B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 xml:space="preserve">Annex 1, paragraph 1.9.1, </w:t>
      </w:r>
      <w:r w:rsidRPr="000F1EED">
        <w:rPr>
          <w:i/>
          <w:iCs/>
        </w:rPr>
        <w:t>amend to read:</w:t>
      </w:r>
    </w:p>
    <w:p w14:paraId="77FB6772" w14:textId="77777777" w:rsidR="00A26A1B" w:rsidRPr="000F1EED" w:rsidRDefault="00A26A1B" w:rsidP="00A26A1B">
      <w:pPr>
        <w:pStyle w:val="SingleTxtG"/>
        <w:ind w:hanging="1134"/>
      </w:pPr>
      <w:r w:rsidRPr="000F1EED">
        <w:t xml:space="preserve">“1.9.1. </w:t>
      </w:r>
      <w:r w:rsidRPr="000F1EED">
        <w:tab/>
        <w:t>For engine types and engine families that use an Electronic Control Unit (ECU)</w:t>
      </w:r>
      <w:r w:rsidR="00D20293" w:rsidRPr="000F1EED">
        <w:rPr>
          <w:lang w:val="ca-ES"/>
        </w:rPr>
        <w:t xml:space="preserve"> or emissions-</w:t>
      </w:r>
      <w:proofErr w:type="spellStart"/>
      <w:r w:rsidR="00D20293" w:rsidRPr="000F1EED">
        <w:rPr>
          <w:lang w:val="ca-ES"/>
        </w:rPr>
        <w:t>related</w:t>
      </w:r>
      <w:proofErr w:type="spellEnd"/>
      <w:r w:rsidR="00D20293" w:rsidRPr="000F1EED">
        <w:rPr>
          <w:lang w:val="ca-ES"/>
        </w:rPr>
        <w:t xml:space="preserve"> </w:t>
      </w:r>
      <w:proofErr w:type="spellStart"/>
      <w:r w:rsidR="00D20293" w:rsidRPr="000F1EED">
        <w:rPr>
          <w:lang w:val="ca-ES"/>
        </w:rPr>
        <w:t>controller</w:t>
      </w:r>
      <w:proofErr w:type="spellEnd"/>
      <w:r w:rsidRPr="000F1EED">
        <w:t xml:space="preserve"> as part of the emission control system the information shall include</w:t>
      </w:r>
    </w:p>
    <w:p w14:paraId="02BC86FD" w14:textId="157A2651" w:rsidR="00A26A1B" w:rsidRPr="000F1EED" w:rsidRDefault="00A26A1B" w:rsidP="00A26A1B">
      <w:pPr>
        <w:pStyle w:val="SingleTxtG"/>
        <w:ind w:hanging="1134"/>
        <w:rPr>
          <w:lang w:val="en-GB"/>
        </w:rPr>
      </w:pPr>
      <w:r w:rsidRPr="000F1EED">
        <w:tab/>
      </w:r>
      <w:r w:rsidRPr="000F1EED">
        <w:rPr>
          <w:lang w:val="en-GB"/>
        </w:rPr>
        <w:t>-</w:t>
      </w:r>
      <w:r w:rsidRPr="000F1EED">
        <w:t xml:space="preserve"> a description of the provisions taken to prevent tampering with and modification of the ECU including the facility for updating using a manufacturer</w:t>
      </w:r>
      <w:r w:rsidR="000F1EED">
        <w:t>-</w:t>
      </w:r>
      <w:r w:rsidRPr="000F1EED">
        <w:t>approved programme or calibration</w:t>
      </w:r>
      <w:r w:rsidRPr="000F1EED">
        <w:rPr>
          <w:lang w:val="en-GB"/>
        </w:rPr>
        <w:t>,</w:t>
      </w:r>
    </w:p>
    <w:p w14:paraId="15935415" w14:textId="620D9E81" w:rsidR="00A26A1B" w:rsidRPr="00E60ECD" w:rsidRDefault="00A26A1B" w:rsidP="00A26A1B">
      <w:pPr>
        <w:pStyle w:val="SingleTxtG"/>
        <w:ind w:hanging="1134"/>
        <w:rPr>
          <w:b/>
          <w:lang w:val="en-GB"/>
        </w:rPr>
      </w:pPr>
      <w:r w:rsidRPr="000F1EED">
        <w:rPr>
          <w:lang w:val="en-GB"/>
        </w:rPr>
        <w:tab/>
      </w:r>
      <w:r w:rsidRPr="00E60ECD">
        <w:rPr>
          <w:b/>
          <w:lang w:val="en-GB"/>
        </w:rPr>
        <w:t>- a regu</w:t>
      </w:r>
      <w:r w:rsidR="00D20293" w:rsidRPr="00E60ECD">
        <w:rPr>
          <w:b/>
          <w:lang w:val="en-GB"/>
        </w:rPr>
        <w:t>larl</w:t>
      </w:r>
      <w:r w:rsidRPr="00E60ECD">
        <w:rPr>
          <w:b/>
          <w:lang w:val="en-GB"/>
        </w:rPr>
        <w:t>y updated list of approved software versions of emission</w:t>
      </w:r>
      <w:r w:rsidR="00D20293" w:rsidRPr="00E60ECD">
        <w:rPr>
          <w:b/>
          <w:lang w:val="en-GB"/>
        </w:rPr>
        <w:t>-</w:t>
      </w:r>
      <w:r w:rsidRPr="00E60ECD">
        <w:rPr>
          <w:b/>
          <w:lang w:val="en-GB"/>
        </w:rPr>
        <w:t>related controllers and their related integrity information, including necessary access information,</w:t>
      </w:r>
    </w:p>
    <w:p w14:paraId="500D57A3" w14:textId="3F869E85" w:rsidR="00C73EFF" w:rsidRPr="00E60ECD" w:rsidRDefault="00A26A1B" w:rsidP="00A26A1B">
      <w:pPr>
        <w:pStyle w:val="SingleTxtG"/>
        <w:ind w:hanging="1134"/>
        <w:rPr>
          <w:b/>
          <w:lang w:val="en-GB"/>
        </w:rPr>
      </w:pPr>
      <w:r w:rsidRPr="00E60ECD">
        <w:rPr>
          <w:b/>
          <w:lang w:val="en-GB"/>
        </w:rPr>
        <w:tab/>
        <w:t>- access and judgement information for emission</w:t>
      </w:r>
      <w:r w:rsidR="00D20293" w:rsidRPr="00E60ECD">
        <w:rPr>
          <w:b/>
          <w:lang w:val="en-GB"/>
        </w:rPr>
        <w:t>-</w:t>
      </w:r>
      <w:r w:rsidRPr="00E60ECD">
        <w:rPr>
          <w:b/>
          <w:lang w:val="en-GB"/>
        </w:rPr>
        <w:t>related sensor signals</w:t>
      </w:r>
      <w:r w:rsidR="00C73EFF" w:rsidRPr="00E60ECD">
        <w:rPr>
          <w:b/>
          <w:lang w:val="en-GB"/>
        </w:rPr>
        <w:t>,</w:t>
      </w:r>
    </w:p>
    <w:p w14:paraId="2AE7E6ED" w14:textId="769C61E0" w:rsidR="00C73EFF" w:rsidRPr="00E60ECD" w:rsidRDefault="00C73EFF" w:rsidP="00C73EFF">
      <w:pPr>
        <w:pStyle w:val="SingleTxtG"/>
        <w:ind w:hanging="1134"/>
        <w:rPr>
          <w:b/>
          <w:lang w:val="en-GB"/>
        </w:rPr>
      </w:pPr>
      <w:r w:rsidRPr="00E60ECD">
        <w:rPr>
          <w:b/>
          <w:lang w:val="en-GB"/>
        </w:rPr>
        <w:tab/>
      </w:r>
      <w:r w:rsidRPr="00E60ECD">
        <w:rPr>
          <w:b/>
        </w:rPr>
        <w:t xml:space="preserve">- </w:t>
      </w:r>
      <w:r w:rsidRPr="00E60ECD">
        <w:rPr>
          <w:b/>
          <w:lang w:val="en-GB"/>
        </w:rPr>
        <w:t>access and trigger information f</w:t>
      </w:r>
      <w:r w:rsidR="00D20293" w:rsidRPr="00E60ECD">
        <w:rPr>
          <w:b/>
          <w:lang w:val="en-GB"/>
        </w:rPr>
        <w:t>o</w:t>
      </w:r>
      <w:r w:rsidRPr="00E60ECD">
        <w:rPr>
          <w:b/>
          <w:lang w:val="en-GB"/>
        </w:rPr>
        <w:t>r emission</w:t>
      </w:r>
      <w:r w:rsidR="00D20293" w:rsidRPr="00E60ECD">
        <w:rPr>
          <w:b/>
          <w:lang w:val="en-GB"/>
        </w:rPr>
        <w:t>-</w:t>
      </w:r>
      <w:r w:rsidRPr="00E60ECD">
        <w:rPr>
          <w:b/>
          <w:lang w:val="en-GB"/>
        </w:rPr>
        <w:t>related actuators</w:t>
      </w:r>
      <w:r w:rsidR="001B5A30" w:rsidRPr="00E60ECD">
        <w:rPr>
          <w:b/>
          <w:lang w:val="en-GB"/>
        </w:rPr>
        <w:t>,</w:t>
      </w:r>
    </w:p>
    <w:p w14:paraId="1D92DC5B" w14:textId="6863CDAD" w:rsidR="00A26A1B" w:rsidRPr="000F1EED" w:rsidRDefault="00C73EFF" w:rsidP="001B5A30">
      <w:pPr>
        <w:pStyle w:val="SingleTxtG"/>
        <w:ind w:hanging="1134"/>
        <w:rPr>
          <w:lang w:val="en-GB"/>
        </w:rPr>
      </w:pPr>
      <w:r w:rsidRPr="00E60ECD">
        <w:rPr>
          <w:b/>
        </w:rPr>
        <w:tab/>
      </w:r>
      <w:r w:rsidRPr="00E60ECD">
        <w:rPr>
          <w:b/>
          <w:lang w:val="en-GB"/>
        </w:rPr>
        <w:t>- access and judgement information for parameters calculated by emission</w:t>
      </w:r>
      <w:r w:rsidR="00D20293" w:rsidRPr="00E60ECD">
        <w:rPr>
          <w:b/>
          <w:lang w:val="en-GB"/>
        </w:rPr>
        <w:t>-</w:t>
      </w:r>
      <w:r w:rsidRPr="00E60ECD">
        <w:rPr>
          <w:b/>
          <w:lang w:val="en-GB"/>
        </w:rPr>
        <w:t xml:space="preserve">related </w:t>
      </w:r>
      <w:proofErr w:type="gramStart"/>
      <w:r w:rsidRPr="00E60ECD">
        <w:rPr>
          <w:b/>
          <w:lang w:val="en-GB"/>
        </w:rPr>
        <w:t>controllers</w:t>
      </w:r>
      <w:r w:rsidR="001B5A30" w:rsidRPr="000F1EED">
        <w:t>;“</w:t>
      </w:r>
      <w:proofErr w:type="gramEnd"/>
    </w:p>
    <w:p w14:paraId="261C42C3" w14:textId="77777777" w:rsidR="00747994" w:rsidRPr="000F1EED" w:rsidRDefault="00747994" w:rsidP="00A26A1B">
      <w:pPr>
        <w:pStyle w:val="SingleTxtG"/>
        <w:rPr>
          <w:i/>
          <w:iCs/>
          <w:lang w:val="en-GB"/>
        </w:rPr>
      </w:pPr>
    </w:p>
    <w:p w14:paraId="2539F30E" w14:textId="79EC16D2" w:rsidR="00A26A1B" w:rsidRPr="000F1EED" w:rsidRDefault="00A26A1B" w:rsidP="00A26A1B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 xml:space="preserve">Annex 1 – Appendix A.3, Table, </w:t>
      </w:r>
      <w:proofErr w:type="spellStart"/>
      <w:r w:rsidRPr="000F1EED">
        <w:rPr>
          <w:i/>
          <w:iCs/>
          <w:lang w:val="en-GB"/>
        </w:rPr>
        <w:t>i</w:t>
      </w:r>
      <w:r w:rsidRPr="000F1EED">
        <w:rPr>
          <w:i/>
          <w:iCs/>
        </w:rPr>
        <w:t>nsert</w:t>
      </w:r>
      <w:proofErr w:type="spellEnd"/>
      <w:r w:rsidRPr="000F1EED">
        <w:rPr>
          <w:i/>
          <w:iCs/>
        </w:rPr>
        <w:t xml:space="preserve"> new </w:t>
      </w:r>
      <w:proofErr w:type="spellStart"/>
      <w:r w:rsidR="00430B0F">
        <w:rPr>
          <w:i/>
          <w:iCs/>
          <w:lang w:val="en-GB"/>
        </w:rPr>
        <w:t>pargraph</w:t>
      </w:r>
      <w:proofErr w:type="spellEnd"/>
      <w:r w:rsidRPr="000F1EED">
        <w:rPr>
          <w:i/>
          <w:iCs/>
        </w:rPr>
        <w:t xml:space="preserve"> </w:t>
      </w:r>
      <w:r w:rsidRPr="000F1EED">
        <w:rPr>
          <w:i/>
          <w:iCs/>
          <w:lang w:val="en-GB"/>
        </w:rPr>
        <w:t>3.1.6.</w:t>
      </w:r>
    </w:p>
    <w:p w14:paraId="3B2E2D1D" w14:textId="77777777" w:rsidR="00A26A1B" w:rsidRPr="000F1EED" w:rsidRDefault="00A26A1B" w:rsidP="00A26A1B">
      <w:pPr>
        <w:pStyle w:val="SingleTxtG"/>
        <w:ind w:hanging="1134"/>
      </w:pPr>
      <w:r w:rsidRPr="000F1EED">
        <w:t>“</w:t>
      </w:r>
      <w:r w:rsidRPr="00430B0F">
        <w:rPr>
          <w:b/>
          <w:bCs/>
          <w:lang w:val="en-GB"/>
        </w:rPr>
        <w:t>3.1.6</w:t>
      </w:r>
      <w:r w:rsidRPr="00430B0F">
        <w:rPr>
          <w:b/>
          <w:bCs/>
        </w:rPr>
        <w:t xml:space="preserve">. </w:t>
      </w:r>
      <w:r w:rsidRPr="00430B0F">
        <w:rPr>
          <w:b/>
          <w:bCs/>
        </w:rPr>
        <w:tab/>
      </w:r>
      <w:r w:rsidRPr="00430B0F">
        <w:rPr>
          <w:b/>
          <w:bCs/>
          <w:lang w:val="en-GB"/>
        </w:rPr>
        <w:t xml:space="preserve">approved emission control software versions (with integrity information for </w:t>
      </w:r>
      <w:proofErr w:type="gramStart"/>
      <w:r w:rsidRPr="00430B0F">
        <w:rPr>
          <w:b/>
          <w:bCs/>
          <w:lang w:val="en-GB"/>
        </w:rPr>
        <w:t>each)</w:t>
      </w:r>
      <w:r w:rsidRPr="000F1EED">
        <w:t>“</w:t>
      </w:r>
      <w:proofErr w:type="gramEnd"/>
    </w:p>
    <w:p w14:paraId="758580E2" w14:textId="77777777" w:rsidR="00F93F04" w:rsidRPr="000F1EED" w:rsidRDefault="00F93F04" w:rsidP="00A26A1B">
      <w:pPr>
        <w:pStyle w:val="SingleTxtG"/>
        <w:ind w:hanging="1134"/>
      </w:pPr>
    </w:p>
    <w:p w14:paraId="1DAE45A8" w14:textId="0E05460D" w:rsidR="00F93F04" w:rsidRPr="000F1EED" w:rsidRDefault="00F93F04" w:rsidP="00F93F04">
      <w:pPr>
        <w:pStyle w:val="SingleTxtG"/>
        <w:rPr>
          <w:i/>
          <w:iCs/>
          <w:lang w:val="en-GB"/>
        </w:rPr>
      </w:pPr>
      <w:r w:rsidRPr="000F1EED">
        <w:rPr>
          <w:i/>
          <w:iCs/>
          <w:lang w:val="en-GB"/>
        </w:rPr>
        <w:t xml:space="preserve">Annex 2 - Appendix A.1, </w:t>
      </w:r>
      <w:proofErr w:type="spellStart"/>
      <w:r w:rsidRPr="000F1EED">
        <w:rPr>
          <w:i/>
          <w:iCs/>
          <w:lang w:val="en-GB"/>
        </w:rPr>
        <w:t>i</w:t>
      </w:r>
      <w:r w:rsidRPr="000F1EED">
        <w:rPr>
          <w:i/>
          <w:iCs/>
        </w:rPr>
        <w:t>nsert</w:t>
      </w:r>
      <w:proofErr w:type="spellEnd"/>
      <w:r w:rsidRPr="000F1EED">
        <w:rPr>
          <w:i/>
          <w:iCs/>
        </w:rPr>
        <w:t xml:space="preserve"> new </w:t>
      </w:r>
      <w:proofErr w:type="spellStart"/>
      <w:r w:rsidR="00430B0F">
        <w:rPr>
          <w:i/>
          <w:iCs/>
          <w:lang w:val="fr-CH"/>
        </w:rPr>
        <w:t>paragraph</w:t>
      </w:r>
      <w:proofErr w:type="spellEnd"/>
      <w:r w:rsidRPr="000F1EED">
        <w:rPr>
          <w:i/>
          <w:iCs/>
        </w:rPr>
        <w:t xml:space="preserve"> </w:t>
      </w:r>
      <w:r w:rsidRPr="000F1EED">
        <w:rPr>
          <w:i/>
          <w:iCs/>
          <w:lang w:val="en-GB"/>
        </w:rPr>
        <w:t>2.4.</w:t>
      </w:r>
    </w:p>
    <w:p w14:paraId="41B2F2B5" w14:textId="77777777" w:rsidR="00F93F04" w:rsidRPr="000F1EED" w:rsidRDefault="00F93F04" w:rsidP="00F93F04">
      <w:pPr>
        <w:pStyle w:val="SingleTxtG"/>
        <w:ind w:hanging="1134"/>
      </w:pPr>
      <w:r w:rsidRPr="000F1EED">
        <w:t>“</w:t>
      </w:r>
      <w:r w:rsidRPr="00430B0F">
        <w:rPr>
          <w:b/>
          <w:bCs/>
        </w:rPr>
        <w:t>2.4.</w:t>
      </w:r>
      <w:r w:rsidRPr="00430B0F">
        <w:rPr>
          <w:b/>
          <w:bCs/>
        </w:rPr>
        <w:tab/>
      </w:r>
      <w:r w:rsidRPr="00430B0F">
        <w:rPr>
          <w:b/>
          <w:bCs/>
          <w:lang w:val="en-GB"/>
        </w:rPr>
        <w:t>emission control software version</w:t>
      </w:r>
      <w:r w:rsidRPr="00430B0F">
        <w:rPr>
          <w:b/>
          <w:bCs/>
        </w:rPr>
        <w:t xml:space="preserve"> (only for engines that use an Electronic Control Unit (ECU) as part of the emission control </w:t>
      </w:r>
      <w:proofErr w:type="gramStart"/>
      <w:r w:rsidRPr="00430B0F">
        <w:rPr>
          <w:b/>
          <w:bCs/>
        </w:rPr>
        <w:t>system)</w:t>
      </w:r>
      <w:r w:rsidRPr="000F1EED">
        <w:t>“</w:t>
      </w:r>
      <w:proofErr w:type="gramEnd"/>
    </w:p>
    <w:p w14:paraId="0915D7D5" w14:textId="77777777" w:rsidR="00F93F04" w:rsidRPr="000F1EED" w:rsidRDefault="00F93F04" w:rsidP="00F93F04">
      <w:pPr>
        <w:pStyle w:val="SingleTxtG"/>
        <w:ind w:hanging="1134"/>
        <w:rPr>
          <w:i/>
          <w:iCs/>
          <w:lang w:val="en-GB"/>
        </w:rPr>
      </w:pPr>
    </w:p>
    <w:p w14:paraId="2605C432" w14:textId="77777777" w:rsidR="0076431C" w:rsidRPr="000F1EED" w:rsidRDefault="0076431C" w:rsidP="0076431C">
      <w:pPr>
        <w:pStyle w:val="HChG"/>
        <w:tabs>
          <w:tab w:val="clear" w:pos="851"/>
        </w:tabs>
        <w:ind w:hanging="567"/>
      </w:pPr>
      <w:r w:rsidRPr="000F1EED">
        <w:rPr>
          <w:lang w:val="en-US"/>
        </w:rPr>
        <w:t>II.</w:t>
      </w:r>
      <w:r w:rsidRPr="000F1EED">
        <w:rPr>
          <w:lang w:val="en-US"/>
        </w:rPr>
        <w:tab/>
        <w:t>Justification</w:t>
      </w:r>
    </w:p>
    <w:p w14:paraId="46448662" w14:textId="77777777" w:rsidR="00041ADD" w:rsidRPr="000F1EED" w:rsidRDefault="00FF6237" w:rsidP="0076431C">
      <w:pPr>
        <w:pStyle w:val="SingleTxtG"/>
        <w:rPr>
          <w:lang w:val="en-GB"/>
        </w:rPr>
      </w:pPr>
      <w:r w:rsidRPr="000F1EED">
        <w:rPr>
          <w:lang w:val="en-GB"/>
        </w:rPr>
        <w:t>T</w:t>
      </w:r>
      <w:r w:rsidR="00041ADD" w:rsidRPr="000F1EED">
        <w:rPr>
          <w:lang w:val="en-GB"/>
        </w:rPr>
        <w:t xml:space="preserve">o avoid tampering, it is necessary to have additional requirements for </w:t>
      </w:r>
      <w:r w:rsidRPr="000F1EED">
        <w:rPr>
          <w:lang w:val="en-GB"/>
        </w:rPr>
        <w:t xml:space="preserve">design </w:t>
      </w:r>
      <w:r w:rsidR="00041ADD" w:rsidRPr="000F1EED">
        <w:rPr>
          <w:lang w:val="en-GB"/>
        </w:rPr>
        <w:t>and behaviour of the systems.</w:t>
      </w:r>
    </w:p>
    <w:p w14:paraId="4DE43DBC" w14:textId="786D5718" w:rsidR="00041ADD" w:rsidRPr="00041ADD" w:rsidRDefault="00041ADD" w:rsidP="0076431C">
      <w:pPr>
        <w:pStyle w:val="SingleTxtG"/>
        <w:rPr>
          <w:lang w:val="en-GB"/>
        </w:rPr>
      </w:pPr>
      <w:r w:rsidRPr="000F1EED">
        <w:rPr>
          <w:lang w:val="en-GB"/>
        </w:rPr>
        <w:t xml:space="preserve">To ensure that </w:t>
      </w:r>
      <w:r w:rsidR="00131107" w:rsidRPr="000F1EED">
        <w:rPr>
          <w:lang w:val="en-GB"/>
        </w:rPr>
        <w:t>tampering at</w:t>
      </w:r>
      <w:r w:rsidR="00FF6237" w:rsidRPr="000F1EED">
        <w:rPr>
          <w:lang w:val="en-GB"/>
        </w:rPr>
        <w:t xml:space="preserve"> </w:t>
      </w:r>
      <w:r w:rsidR="00346355" w:rsidRPr="000F1EED">
        <w:rPr>
          <w:lang w:val="en-GB"/>
        </w:rPr>
        <w:t>engines</w:t>
      </w:r>
      <w:r w:rsidRPr="000F1EED">
        <w:rPr>
          <w:lang w:val="en-GB"/>
        </w:rPr>
        <w:t xml:space="preserve"> </w:t>
      </w:r>
      <w:r w:rsidR="000F1EED">
        <w:rPr>
          <w:lang w:val="en-GB"/>
        </w:rPr>
        <w:t>is</w:t>
      </w:r>
      <w:r w:rsidRPr="000F1EED">
        <w:rPr>
          <w:lang w:val="en-GB"/>
        </w:rPr>
        <w:t xml:space="preserve"> </w:t>
      </w:r>
      <w:r w:rsidR="00FF6237" w:rsidRPr="000F1EED">
        <w:rPr>
          <w:lang w:val="en-GB"/>
        </w:rPr>
        <w:t xml:space="preserve">detected </w:t>
      </w:r>
      <w:r w:rsidR="00346355" w:rsidRPr="000F1EED">
        <w:rPr>
          <w:lang w:val="en-GB"/>
        </w:rPr>
        <w:t xml:space="preserve">during </w:t>
      </w:r>
      <w:r w:rsidR="00D20293" w:rsidRPr="000F1EED">
        <w:rPr>
          <w:lang w:val="en-GB"/>
        </w:rPr>
        <w:t>lifetime</w:t>
      </w:r>
      <w:r w:rsidR="00346355" w:rsidRPr="000F1EED">
        <w:rPr>
          <w:lang w:val="en-GB"/>
        </w:rPr>
        <w:t xml:space="preserve">, e.g. </w:t>
      </w:r>
      <w:r w:rsidRPr="000F1EED">
        <w:rPr>
          <w:lang w:val="en-GB"/>
        </w:rPr>
        <w:t xml:space="preserve">in roadworthiness testing, it is necessary to provide additional requirements </w:t>
      </w:r>
      <w:r w:rsidR="00FF6237" w:rsidRPr="000F1EED">
        <w:rPr>
          <w:lang w:val="en-GB"/>
        </w:rPr>
        <w:t xml:space="preserve">for </w:t>
      </w:r>
      <w:r w:rsidRPr="000F1EED">
        <w:rPr>
          <w:lang w:val="en-GB"/>
        </w:rPr>
        <w:t>access to and information about the systems and its components.</w:t>
      </w:r>
    </w:p>
    <w:p w14:paraId="482130DC" w14:textId="77777777" w:rsidR="00041ADD" w:rsidRPr="00041ADD" w:rsidRDefault="00041ADD" w:rsidP="0076431C">
      <w:pPr>
        <w:pStyle w:val="SingleTxtG"/>
        <w:rPr>
          <w:highlight w:val="yellow"/>
          <w:lang w:val="en-GB"/>
        </w:rPr>
      </w:pPr>
    </w:p>
    <w:p w14:paraId="3C5C406A" w14:textId="77777777" w:rsidR="000E6538" w:rsidRPr="002E116F" w:rsidRDefault="00216B60" w:rsidP="00DC0977">
      <w:pPr>
        <w:pStyle w:val="SingleTxtG"/>
        <w:tabs>
          <w:tab w:val="left" w:pos="709"/>
        </w:tabs>
        <w:spacing w:after="0"/>
        <w:ind w:left="0"/>
        <w:jc w:val="center"/>
        <w:rPr>
          <w:sz w:val="24"/>
          <w:szCs w:val="24"/>
          <w:lang w:val="en-GB"/>
        </w:rPr>
      </w:pPr>
      <w:r w:rsidRPr="002E116F">
        <w:rPr>
          <w:sz w:val="24"/>
          <w:szCs w:val="24"/>
          <w:lang w:val="en-GB"/>
        </w:rPr>
        <w:t>________</w:t>
      </w:r>
    </w:p>
    <w:p w14:paraId="3A1FE9D7" w14:textId="77777777" w:rsidR="000E6538" w:rsidRPr="002E116F" w:rsidRDefault="000E6538" w:rsidP="00216B60">
      <w:pPr>
        <w:pStyle w:val="SingleTxtG"/>
        <w:tabs>
          <w:tab w:val="left" w:pos="709"/>
        </w:tabs>
        <w:spacing w:after="0"/>
        <w:ind w:left="0"/>
        <w:jc w:val="center"/>
        <w:rPr>
          <w:sz w:val="24"/>
          <w:szCs w:val="24"/>
          <w:lang w:val="en-GB"/>
        </w:rPr>
      </w:pPr>
    </w:p>
    <w:sectPr w:rsidR="000E6538" w:rsidRPr="002E116F" w:rsidSect="00E7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75CC" w14:textId="77777777" w:rsidR="003636CC" w:rsidRDefault="003636CC" w:rsidP="00F03B82">
      <w:pPr>
        <w:spacing w:after="0" w:line="240" w:lineRule="auto"/>
      </w:pPr>
      <w:r>
        <w:separator/>
      </w:r>
    </w:p>
  </w:endnote>
  <w:endnote w:type="continuationSeparator" w:id="0">
    <w:p w14:paraId="4FDEC85B" w14:textId="77777777" w:rsidR="003636CC" w:rsidRDefault="003636CC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5483" w14:textId="77777777" w:rsidR="00430B0F" w:rsidRDefault="0043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0F89" w14:textId="16CA3F81" w:rsidR="003D5775" w:rsidRDefault="003D57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ECD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600034">
      <w:rPr>
        <w:noProof/>
      </w:rPr>
      <w:fldChar w:fldCharType="begin"/>
    </w:r>
    <w:r w:rsidR="00600034">
      <w:rPr>
        <w:noProof/>
      </w:rPr>
      <w:instrText xml:space="preserve"> NUMPAGES   \* MERGEFORMAT </w:instrText>
    </w:r>
    <w:r w:rsidR="00600034">
      <w:rPr>
        <w:noProof/>
      </w:rPr>
      <w:fldChar w:fldCharType="separate"/>
    </w:r>
    <w:r w:rsidR="00E60ECD">
      <w:rPr>
        <w:noProof/>
      </w:rPr>
      <w:t>2</w:t>
    </w:r>
    <w:r w:rsidR="00600034">
      <w:rPr>
        <w:noProof/>
      </w:rPr>
      <w:fldChar w:fldCharType="end"/>
    </w:r>
  </w:p>
  <w:p w14:paraId="48F0A075" w14:textId="77777777" w:rsidR="003D5775" w:rsidRDefault="003D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BF8D" w14:textId="17EA4390" w:rsidR="003D5775" w:rsidRDefault="003D5775" w:rsidP="00E71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ECD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60E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0762" w14:textId="77777777" w:rsidR="003636CC" w:rsidRDefault="003636CC" w:rsidP="00F03B82">
      <w:pPr>
        <w:spacing w:after="0" w:line="240" w:lineRule="auto"/>
      </w:pPr>
      <w:r>
        <w:separator/>
      </w:r>
    </w:p>
  </w:footnote>
  <w:footnote w:type="continuationSeparator" w:id="0">
    <w:p w14:paraId="7CE81AA2" w14:textId="77777777" w:rsidR="003636CC" w:rsidRDefault="003636CC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77D8" w14:textId="77777777" w:rsidR="00430B0F" w:rsidRDefault="0043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AC69" w14:textId="77777777" w:rsidR="00430B0F" w:rsidRDefault="00430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8" w:type="dxa"/>
      <w:tblLook w:val="04A0" w:firstRow="1" w:lastRow="0" w:firstColumn="1" w:lastColumn="0" w:noHBand="0" w:noVBand="1"/>
    </w:tblPr>
    <w:tblGrid>
      <w:gridCol w:w="5670"/>
      <w:gridCol w:w="3118"/>
    </w:tblGrid>
    <w:tr w:rsidR="0076431C" w:rsidRPr="0076431C" w14:paraId="12D8D783" w14:textId="77777777" w:rsidTr="0076431C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44D6CEEC" w14:textId="77777777" w:rsidR="0076431C" w:rsidRPr="000F1EED" w:rsidRDefault="0076431C" w:rsidP="0076431C">
          <w:pPr>
            <w:pStyle w:val="Header"/>
            <w:suppressAutoHyphens w:val="0"/>
            <w:rPr>
              <w:sz w:val="18"/>
              <w:szCs w:val="18"/>
            </w:rPr>
          </w:pPr>
          <w:r w:rsidRPr="000F1EED">
            <w:rPr>
              <w:sz w:val="18"/>
              <w:szCs w:val="18"/>
            </w:rPr>
            <w:t>Note by the expert from CITA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FCD01BB" w14:textId="523AE76C" w:rsidR="0076431C" w:rsidRPr="000F1EED" w:rsidRDefault="0076431C" w:rsidP="0076431C">
          <w:pPr>
            <w:pStyle w:val="Header"/>
            <w:suppressAutoHyphens w:val="0"/>
            <w:rPr>
              <w:b/>
              <w:sz w:val="18"/>
              <w:szCs w:val="18"/>
            </w:rPr>
          </w:pPr>
          <w:r w:rsidRPr="0076431C">
            <w:rPr>
              <w:sz w:val="18"/>
              <w:szCs w:val="18"/>
              <w:u w:val="single"/>
            </w:rPr>
            <w:t>Informal document</w:t>
          </w:r>
          <w:r w:rsidRPr="0076431C">
            <w:rPr>
              <w:sz w:val="18"/>
              <w:szCs w:val="18"/>
            </w:rPr>
            <w:t xml:space="preserve"> </w:t>
          </w:r>
          <w:r w:rsidRPr="0076431C">
            <w:rPr>
              <w:b/>
              <w:sz w:val="18"/>
              <w:szCs w:val="18"/>
            </w:rPr>
            <w:t>GRPE-</w:t>
          </w:r>
          <w:r w:rsidR="00D20293">
            <w:rPr>
              <w:b/>
              <w:sz w:val="18"/>
              <w:szCs w:val="18"/>
            </w:rPr>
            <w:t>80-</w:t>
          </w:r>
          <w:r w:rsidR="00430B0F">
            <w:rPr>
              <w:b/>
              <w:sz w:val="18"/>
              <w:szCs w:val="18"/>
            </w:rPr>
            <w:t>12</w:t>
          </w:r>
        </w:p>
        <w:p w14:paraId="76C86681" w14:textId="2B3870C6" w:rsidR="0076431C" w:rsidRPr="000F1EED" w:rsidRDefault="00D20293" w:rsidP="0076431C">
          <w:pPr>
            <w:pStyle w:val="Header"/>
            <w:suppressAutoHyphens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80</w:t>
          </w:r>
          <w:r w:rsidRPr="000F1EED">
            <w:rPr>
              <w:sz w:val="18"/>
              <w:szCs w:val="18"/>
              <w:vertAlign w:val="superscript"/>
            </w:rPr>
            <w:t>th</w:t>
          </w:r>
          <w:r w:rsidRPr="000F1EED">
            <w:rPr>
              <w:sz w:val="18"/>
              <w:szCs w:val="18"/>
            </w:rPr>
            <w:t xml:space="preserve"> </w:t>
          </w:r>
          <w:r w:rsidR="0076431C" w:rsidRPr="000F1EED">
            <w:rPr>
              <w:sz w:val="18"/>
              <w:szCs w:val="18"/>
            </w:rPr>
            <w:t xml:space="preserve">GRPE, </w:t>
          </w:r>
          <w:r>
            <w:rPr>
              <w:sz w:val="18"/>
              <w:szCs w:val="18"/>
            </w:rPr>
            <w:t>14.17 January 2020</w:t>
          </w:r>
        </w:p>
        <w:p w14:paraId="01116192" w14:textId="4B1ADEE7" w:rsidR="0076431C" w:rsidRPr="0076431C" w:rsidRDefault="0076431C" w:rsidP="0076431C">
          <w:pPr>
            <w:pStyle w:val="Header"/>
            <w:suppressAutoHyphens w:val="0"/>
            <w:rPr>
              <w:sz w:val="18"/>
              <w:szCs w:val="18"/>
            </w:rPr>
          </w:pPr>
          <w:r w:rsidRPr="000F1EED">
            <w:rPr>
              <w:sz w:val="18"/>
              <w:szCs w:val="18"/>
            </w:rPr>
            <w:t xml:space="preserve">Agenda item </w:t>
          </w:r>
          <w:r w:rsidR="00430B0F">
            <w:rPr>
              <w:sz w:val="18"/>
              <w:szCs w:val="18"/>
            </w:rPr>
            <w:t>6(a)</w:t>
          </w:r>
          <w:bookmarkStart w:id="0" w:name="_GoBack"/>
          <w:bookmarkEnd w:id="0"/>
        </w:p>
      </w:tc>
    </w:tr>
  </w:tbl>
  <w:p w14:paraId="23D07C48" w14:textId="77777777" w:rsidR="003D5775" w:rsidRPr="0076431C" w:rsidRDefault="003D5775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319"/>
    <w:multiLevelType w:val="hybridMultilevel"/>
    <w:tmpl w:val="CC883A72"/>
    <w:lvl w:ilvl="0" w:tplc="351CE0B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914FD"/>
    <w:multiLevelType w:val="hybridMultilevel"/>
    <w:tmpl w:val="B82619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9E42E6"/>
    <w:multiLevelType w:val="hybridMultilevel"/>
    <w:tmpl w:val="C75207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57C43C3"/>
    <w:multiLevelType w:val="hybridMultilevel"/>
    <w:tmpl w:val="C13C9A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8672593"/>
    <w:multiLevelType w:val="multilevel"/>
    <w:tmpl w:val="4AA8A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5AB1ABA"/>
    <w:multiLevelType w:val="hybridMultilevel"/>
    <w:tmpl w:val="19B6999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4438"/>
    <w:multiLevelType w:val="hybridMultilevel"/>
    <w:tmpl w:val="C9B2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3BCC"/>
    <w:multiLevelType w:val="hybridMultilevel"/>
    <w:tmpl w:val="8590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08B"/>
    <w:multiLevelType w:val="hybridMultilevel"/>
    <w:tmpl w:val="E4D6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757D"/>
    <w:multiLevelType w:val="multilevel"/>
    <w:tmpl w:val="18F6F38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3" w15:restartNumberingAfterBreak="0">
    <w:nsid w:val="439F7973"/>
    <w:multiLevelType w:val="multilevel"/>
    <w:tmpl w:val="0E04143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4C4845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4C4845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4C4845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4C4845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4C4845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4C4845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4C4845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4C4845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4C4845"/>
      </w:rPr>
    </w:lvl>
  </w:abstractNum>
  <w:abstractNum w:abstractNumId="14" w15:restartNumberingAfterBreak="0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E7E622B"/>
    <w:multiLevelType w:val="multilevel"/>
    <w:tmpl w:val="B9B875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6" w15:restartNumberingAfterBreak="0">
    <w:nsid w:val="689B6039"/>
    <w:multiLevelType w:val="multilevel"/>
    <w:tmpl w:val="4BC6420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72FC0A83"/>
    <w:multiLevelType w:val="hybridMultilevel"/>
    <w:tmpl w:val="E734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sDCyNDeyNDI2NTNQ0lEKTi0uzszPAykwrQUA+Fp5xCwAAAA="/>
  </w:docVars>
  <w:rsids>
    <w:rsidRoot w:val="00A677DC"/>
    <w:rsid w:val="000028B3"/>
    <w:rsid w:val="00005A2F"/>
    <w:rsid w:val="00016BEA"/>
    <w:rsid w:val="00024B1C"/>
    <w:rsid w:val="00041ADD"/>
    <w:rsid w:val="00050E21"/>
    <w:rsid w:val="00051324"/>
    <w:rsid w:val="000525A4"/>
    <w:rsid w:val="00053BB4"/>
    <w:rsid w:val="000734E7"/>
    <w:rsid w:val="00096565"/>
    <w:rsid w:val="000973E6"/>
    <w:rsid w:val="000C1FFC"/>
    <w:rsid w:val="000E3CA4"/>
    <w:rsid w:val="000E6407"/>
    <w:rsid w:val="000E6538"/>
    <w:rsid w:val="000F1EED"/>
    <w:rsid w:val="000F60C2"/>
    <w:rsid w:val="00107131"/>
    <w:rsid w:val="0013021B"/>
    <w:rsid w:val="00131107"/>
    <w:rsid w:val="00141787"/>
    <w:rsid w:val="00161C46"/>
    <w:rsid w:val="001702CE"/>
    <w:rsid w:val="001840AC"/>
    <w:rsid w:val="00193DAA"/>
    <w:rsid w:val="001A2DF7"/>
    <w:rsid w:val="001A4200"/>
    <w:rsid w:val="001B5A30"/>
    <w:rsid w:val="001B5C5D"/>
    <w:rsid w:val="001C2E41"/>
    <w:rsid w:val="001C3B64"/>
    <w:rsid w:val="0020440F"/>
    <w:rsid w:val="00204E2F"/>
    <w:rsid w:val="0021613F"/>
    <w:rsid w:val="00216B60"/>
    <w:rsid w:val="0022091B"/>
    <w:rsid w:val="002467E7"/>
    <w:rsid w:val="00254BA5"/>
    <w:rsid w:val="002839CA"/>
    <w:rsid w:val="00292154"/>
    <w:rsid w:val="002930A4"/>
    <w:rsid w:val="002A1A77"/>
    <w:rsid w:val="002A465D"/>
    <w:rsid w:val="002C7923"/>
    <w:rsid w:val="002D794F"/>
    <w:rsid w:val="002E116F"/>
    <w:rsid w:val="002E6C13"/>
    <w:rsid w:val="003210BA"/>
    <w:rsid w:val="00324EF2"/>
    <w:rsid w:val="0033110F"/>
    <w:rsid w:val="00337D12"/>
    <w:rsid w:val="003424B1"/>
    <w:rsid w:val="0034322B"/>
    <w:rsid w:val="00346355"/>
    <w:rsid w:val="00347502"/>
    <w:rsid w:val="003568EB"/>
    <w:rsid w:val="00357870"/>
    <w:rsid w:val="003636CC"/>
    <w:rsid w:val="00371BBC"/>
    <w:rsid w:val="003B1FC9"/>
    <w:rsid w:val="003B2AAF"/>
    <w:rsid w:val="003D271D"/>
    <w:rsid w:val="003D3278"/>
    <w:rsid w:val="003D5775"/>
    <w:rsid w:val="003D786F"/>
    <w:rsid w:val="003E13CE"/>
    <w:rsid w:val="003F07F3"/>
    <w:rsid w:val="003F2FF1"/>
    <w:rsid w:val="00402B0A"/>
    <w:rsid w:val="00406DD6"/>
    <w:rsid w:val="00417695"/>
    <w:rsid w:val="00430B0F"/>
    <w:rsid w:val="00434D8F"/>
    <w:rsid w:val="004543E4"/>
    <w:rsid w:val="00457B3E"/>
    <w:rsid w:val="00466A8A"/>
    <w:rsid w:val="00475286"/>
    <w:rsid w:val="0047640E"/>
    <w:rsid w:val="0048087A"/>
    <w:rsid w:val="004831F2"/>
    <w:rsid w:val="00486174"/>
    <w:rsid w:val="004C5746"/>
    <w:rsid w:val="004C6440"/>
    <w:rsid w:val="0050464F"/>
    <w:rsid w:val="00544E91"/>
    <w:rsid w:val="00547F19"/>
    <w:rsid w:val="00552696"/>
    <w:rsid w:val="00553153"/>
    <w:rsid w:val="005753B7"/>
    <w:rsid w:val="00592C37"/>
    <w:rsid w:val="005A0E04"/>
    <w:rsid w:val="005B1F7B"/>
    <w:rsid w:val="005B2B97"/>
    <w:rsid w:val="005B5120"/>
    <w:rsid w:val="005C4C11"/>
    <w:rsid w:val="005C6D9F"/>
    <w:rsid w:val="005D52C6"/>
    <w:rsid w:val="005D5952"/>
    <w:rsid w:val="005D7F9C"/>
    <w:rsid w:val="005F49E5"/>
    <w:rsid w:val="00600034"/>
    <w:rsid w:val="00604269"/>
    <w:rsid w:val="00606C31"/>
    <w:rsid w:val="0062260E"/>
    <w:rsid w:val="00644CC0"/>
    <w:rsid w:val="006508EC"/>
    <w:rsid w:val="00666841"/>
    <w:rsid w:val="00677236"/>
    <w:rsid w:val="00692FA8"/>
    <w:rsid w:val="006A2C31"/>
    <w:rsid w:val="006C2573"/>
    <w:rsid w:val="006C36C2"/>
    <w:rsid w:val="006D4839"/>
    <w:rsid w:val="006F0DAA"/>
    <w:rsid w:val="00704562"/>
    <w:rsid w:val="0071190C"/>
    <w:rsid w:val="00724A61"/>
    <w:rsid w:val="0074063A"/>
    <w:rsid w:val="00740CA8"/>
    <w:rsid w:val="00742323"/>
    <w:rsid w:val="007429EE"/>
    <w:rsid w:val="00747994"/>
    <w:rsid w:val="0075701F"/>
    <w:rsid w:val="0076431C"/>
    <w:rsid w:val="00783FAE"/>
    <w:rsid w:val="007B63F1"/>
    <w:rsid w:val="007C3F99"/>
    <w:rsid w:val="007C498D"/>
    <w:rsid w:val="00811859"/>
    <w:rsid w:val="00813F7A"/>
    <w:rsid w:val="008219F0"/>
    <w:rsid w:val="008271DB"/>
    <w:rsid w:val="00840262"/>
    <w:rsid w:val="0084059C"/>
    <w:rsid w:val="008509C8"/>
    <w:rsid w:val="00877A07"/>
    <w:rsid w:val="008838E9"/>
    <w:rsid w:val="00890F0E"/>
    <w:rsid w:val="008B531D"/>
    <w:rsid w:val="008C2FFA"/>
    <w:rsid w:val="008C6BD9"/>
    <w:rsid w:val="008F7670"/>
    <w:rsid w:val="00910B80"/>
    <w:rsid w:val="009117F2"/>
    <w:rsid w:val="00913783"/>
    <w:rsid w:val="00931FDA"/>
    <w:rsid w:val="00937714"/>
    <w:rsid w:val="0095032B"/>
    <w:rsid w:val="00967084"/>
    <w:rsid w:val="00970660"/>
    <w:rsid w:val="009745A9"/>
    <w:rsid w:val="009956E8"/>
    <w:rsid w:val="009A0F52"/>
    <w:rsid w:val="009A52D0"/>
    <w:rsid w:val="009A5DDD"/>
    <w:rsid w:val="009B62FD"/>
    <w:rsid w:val="009D2EB4"/>
    <w:rsid w:val="009D504E"/>
    <w:rsid w:val="009E1611"/>
    <w:rsid w:val="009F1270"/>
    <w:rsid w:val="009F51FD"/>
    <w:rsid w:val="00A05958"/>
    <w:rsid w:val="00A17E0A"/>
    <w:rsid w:val="00A23575"/>
    <w:rsid w:val="00A23824"/>
    <w:rsid w:val="00A26A1B"/>
    <w:rsid w:val="00A274BB"/>
    <w:rsid w:val="00A46362"/>
    <w:rsid w:val="00A60474"/>
    <w:rsid w:val="00A677DC"/>
    <w:rsid w:val="00A749E7"/>
    <w:rsid w:val="00AA29B3"/>
    <w:rsid w:val="00AB303A"/>
    <w:rsid w:val="00AF3D7D"/>
    <w:rsid w:val="00B00D51"/>
    <w:rsid w:val="00B36E09"/>
    <w:rsid w:val="00B418E8"/>
    <w:rsid w:val="00B54748"/>
    <w:rsid w:val="00B7040D"/>
    <w:rsid w:val="00B81EE9"/>
    <w:rsid w:val="00BA4394"/>
    <w:rsid w:val="00BB0A99"/>
    <w:rsid w:val="00BB4626"/>
    <w:rsid w:val="00C317E8"/>
    <w:rsid w:val="00C36D74"/>
    <w:rsid w:val="00C53D0D"/>
    <w:rsid w:val="00C73EFF"/>
    <w:rsid w:val="00C83548"/>
    <w:rsid w:val="00C92976"/>
    <w:rsid w:val="00CB3043"/>
    <w:rsid w:val="00CC2A76"/>
    <w:rsid w:val="00CD4850"/>
    <w:rsid w:val="00CE373B"/>
    <w:rsid w:val="00CE4D42"/>
    <w:rsid w:val="00CF15FA"/>
    <w:rsid w:val="00CF2634"/>
    <w:rsid w:val="00CF5B54"/>
    <w:rsid w:val="00D02123"/>
    <w:rsid w:val="00D10EF5"/>
    <w:rsid w:val="00D13F91"/>
    <w:rsid w:val="00D20293"/>
    <w:rsid w:val="00D44916"/>
    <w:rsid w:val="00D74702"/>
    <w:rsid w:val="00D8022B"/>
    <w:rsid w:val="00D86C2E"/>
    <w:rsid w:val="00D90D59"/>
    <w:rsid w:val="00D95D8C"/>
    <w:rsid w:val="00DA0FF8"/>
    <w:rsid w:val="00DA6D8A"/>
    <w:rsid w:val="00DB40E1"/>
    <w:rsid w:val="00DC0977"/>
    <w:rsid w:val="00DC551C"/>
    <w:rsid w:val="00DD53FA"/>
    <w:rsid w:val="00DD5AA8"/>
    <w:rsid w:val="00DD5D50"/>
    <w:rsid w:val="00DF1BB3"/>
    <w:rsid w:val="00DF7DAF"/>
    <w:rsid w:val="00E25118"/>
    <w:rsid w:val="00E3100C"/>
    <w:rsid w:val="00E34382"/>
    <w:rsid w:val="00E351D0"/>
    <w:rsid w:val="00E36D2B"/>
    <w:rsid w:val="00E40234"/>
    <w:rsid w:val="00E42FB3"/>
    <w:rsid w:val="00E5024D"/>
    <w:rsid w:val="00E5056A"/>
    <w:rsid w:val="00E571BA"/>
    <w:rsid w:val="00E574F6"/>
    <w:rsid w:val="00E60ECD"/>
    <w:rsid w:val="00E71A31"/>
    <w:rsid w:val="00EA5637"/>
    <w:rsid w:val="00EA7856"/>
    <w:rsid w:val="00EB7C4E"/>
    <w:rsid w:val="00EC07A4"/>
    <w:rsid w:val="00EF3920"/>
    <w:rsid w:val="00EF6510"/>
    <w:rsid w:val="00F00EF0"/>
    <w:rsid w:val="00F03B82"/>
    <w:rsid w:val="00F07858"/>
    <w:rsid w:val="00F07A3B"/>
    <w:rsid w:val="00F10E0A"/>
    <w:rsid w:val="00F15465"/>
    <w:rsid w:val="00F16644"/>
    <w:rsid w:val="00F24441"/>
    <w:rsid w:val="00F27A89"/>
    <w:rsid w:val="00F36641"/>
    <w:rsid w:val="00F36D81"/>
    <w:rsid w:val="00F400DF"/>
    <w:rsid w:val="00F42BFE"/>
    <w:rsid w:val="00F64BE8"/>
    <w:rsid w:val="00F7197B"/>
    <w:rsid w:val="00F93F04"/>
    <w:rsid w:val="00FA6701"/>
    <w:rsid w:val="00FD1C8B"/>
    <w:rsid w:val="00FF6237"/>
    <w:rsid w:val="00FF70A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17D5F"/>
  <w15:chartTrackingRefBased/>
  <w15:docId w15:val="{39F8C86B-61A8-45BB-8254-E6B7B70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51C"/>
    <w:rPr>
      <w:rFonts w:ascii="Segoe UI" w:hAnsi="Segoe UI" w:cs="Segoe UI"/>
      <w:sz w:val="18"/>
      <w:szCs w:val="18"/>
    </w:rPr>
  </w:style>
  <w:style w:type="character" w:customStyle="1" w:styleId="SingleTxtGCharChar">
    <w:name w:val="_ Single Txt_G Char Char"/>
    <w:rsid w:val="0071190C"/>
    <w:rPr>
      <w:lang w:val="en-US" w:eastAsia="en-US"/>
    </w:rPr>
  </w:style>
  <w:style w:type="paragraph" w:customStyle="1" w:styleId="Default">
    <w:name w:val="Default"/>
    <w:rsid w:val="00711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rsid w:val="00A05958"/>
    <w:pPr>
      <w:spacing w:after="0" w:line="240" w:lineRule="auto"/>
      <w:jc w:val="center"/>
    </w:pPr>
    <w:rPr>
      <w:rFonts w:ascii="Univers" w:eastAsia="Times New Roman" w:hAnsi="Univers"/>
      <w:b/>
      <w:caps/>
      <w:sz w:val="20"/>
      <w:szCs w:val="20"/>
    </w:rPr>
  </w:style>
  <w:style w:type="character" w:customStyle="1" w:styleId="BodyText2Char">
    <w:name w:val="Body Text 2 Char"/>
    <w:link w:val="BodyText2"/>
    <w:semiHidden/>
    <w:rsid w:val="00A05958"/>
    <w:rPr>
      <w:rFonts w:ascii="Univers" w:eastAsia="Times New Roman" w:hAnsi="Univers"/>
      <w:b/>
      <w:caps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0595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</w:rPr>
  </w:style>
  <w:style w:type="character" w:customStyle="1" w:styleId="H1GChar">
    <w:name w:val="_ H_1_G Char"/>
    <w:link w:val="H1G"/>
    <w:rsid w:val="00A05958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h-block">
    <w:name w:val="h-block"/>
    <w:rsid w:val="001B5C5D"/>
  </w:style>
  <w:style w:type="character" w:styleId="CommentReference">
    <w:name w:val="annotation reference"/>
    <w:uiPriority w:val="99"/>
    <w:semiHidden/>
    <w:unhideWhenUsed/>
    <w:rsid w:val="00EC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07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7A4"/>
    <w:rPr>
      <w:b/>
      <w:bCs/>
      <w:lang w:val="en-US" w:eastAsia="en-US"/>
    </w:rPr>
  </w:style>
  <w:style w:type="table" w:styleId="TableGrid">
    <w:name w:val="Table Grid"/>
    <w:basedOn w:val="TableNormal"/>
    <w:rsid w:val="0076431C"/>
    <w:pPr>
      <w:suppressAutoHyphens/>
      <w:spacing w:line="240" w:lineRule="atLeast"/>
    </w:pPr>
    <w:rPr>
      <w:rFonts w:ascii="Times New Roman" w:eastAsiaTheme="minorEastAsia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E. Guichard</dc:creator>
  <cp:keywords/>
  <cp:lastModifiedBy>Francois Cuenot</cp:lastModifiedBy>
  <cp:revision>6</cp:revision>
  <cp:lastPrinted>2019-05-07T12:51:00Z</cp:lastPrinted>
  <dcterms:created xsi:type="dcterms:W3CDTF">2019-12-17T12:55:00Z</dcterms:created>
  <dcterms:modified xsi:type="dcterms:W3CDTF">2020-01-06T11:30:00Z</dcterms:modified>
</cp:coreProperties>
</file>