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20EA" w14:textId="421598C6" w:rsidR="00604269" w:rsidRPr="00425990" w:rsidRDefault="00604269" w:rsidP="00604269">
      <w:pPr>
        <w:pStyle w:val="HChG"/>
        <w:spacing w:before="120"/>
        <w:ind w:left="567" w:firstLine="0"/>
        <w:jc w:val="both"/>
        <w:rPr>
          <w:lang w:val="en-US"/>
        </w:rPr>
      </w:pPr>
      <w:r w:rsidRPr="00A66D91">
        <w:t xml:space="preserve">Proposal </w:t>
      </w:r>
      <w:r w:rsidRPr="00425990">
        <w:t xml:space="preserve">for amendments </w:t>
      </w:r>
      <w:r w:rsidR="0085003D" w:rsidRPr="00425990">
        <w:t>to the 03 series of amendments to UN Regulation No. 24 (Visible pollutants, measurement of power of Compression Ignition engine (Diesel smoke))</w:t>
      </w:r>
    </w:p>
    <w:p w14:paraId="63C663CF" w14:textId="77777777" w:rsidR="001A4200" w:rsidRPr="00425990" w:rsidRDefault="001A4200" w:rsidP="00604269">
      <w:pPr>
        <w:pStyle w:val="SingleTxtG"/>
      </w:pPr>
    </w:p>
    <w:p w14:paraId="4CEFDBE2" w14:textId="041710CC" w:rsidR="00604269" w:rsidRPr="00425990" w:rsidRDefault="00604269" w:rsidP="00604269">
      <w:pPr>
        <w:pStyle w:val="SingleTxtG"/>
      </w:pPr>
      <w:r w:rsidRPr="00425990">
        <w:t xml:space="preserve">The text reproduced below was prepared by the expert from CITA proposing to amend </w:t>
      </w:r>
      <w:r w:rsidR="0085003D" w:rsidRPr="00425990">
        <w:t>the 03 series of amendments to UN Regulation No. 24</w:t>
      </w:r>
      <w:r w:rsidRPr="00425990">
        <w:t>, improving the design of vehicles to make tampering of emissions systems more difficult and to facilitate its detection.</w:t>
      </w:r>
    </w:p>
    <w:p w14:paraId="28D34538" w14:textId="77777777" w:rsidR="0085003D" w:rsidRPr="00425990" w:rsidRDefault="0085003D" w:rsidP="00604269">
      <w:pPr>
        <w:pStyle w:val="SingleTxtG"/>
      </w:pPr>
    </w:p>
    <w:p w14:paraId="4C134032" w14:textId="77777777" w:rsidR="00604269" w:rsidRPr="00425990" w:rsidRDefault="00604269" w:rsidP="00604269">
      <w:pPr>
        <w:pStyle w:val="HChG"/>
        <w:tabs>
          <w:tab w:val="clear" w:pos="851"/>
        </w:tabs>
        <w:spacing w:before="240"/>
        <w:ind w:hanging="567"/>
        <w:rPr>
          <w:lang w:val="en-US"/>
        </w:rPr>
      </w:pPr>
      <w:r w:rsidRPr="00425990">
        <w:rPr>
          <w:lang w:val="en-US"/>
        </w:rPr>
        <w:t>I.</w:t>
      </w:r>
      <w:r w:rsidRPr="00425990">
        <w:rPr>
          <w:lang w:val="en-US"/>
        </w:rPr>
        <w:tab/>
        <w:t>Proposal</w:t>
      </w:r>
    </w:p>
    <w:p w14:paraId="1992A99D" w14:textId="77777777" w:rsidR="001A2DF7" w:rsidRPr="00425990" w:rsidRDefault="00D10EF5" w:rsidP="001A2DF7">
      <w:pPr>
        <w:pStyle w:val="SingleTxtG"/>
        <w:rPr>
          <w:i/>
          <w:iCs/>
          <w:lang w:val="en-GB"/>
        </w:rPr>
      </w:pPr>
      <w:r w:rsidRPr="00425990">
        <w:rPr>
          <w:i/>
          <w:iCs/>
          <w:lang w:val="en-GB"/>
        </w:rPr>
        <w:t>Paragraph</w:t>
      </w:r>
      <w:r w:rsidRPr="00425990">
        <w:rPr>
          <w:i/>
          <w:iCs/>
        </w:rPr>
        <w:t xml:space="preserve"> </w:t>
      </w:r>
      <w:r w:rsidR="009634A1" w:rsidRPr="00425990">
        <w:rPr>
          <w:i/>
          <w:iCs/>
          <w:lang w:val="en-GB"/>
        </w:rPr>
        <w:t>5.7</w:t>
      </w:r>
      <w:r w:rsidRPr="00425990">
        <w:rPr>
          <w:i/>
          <w:iCs/>
          <w:lang w:val="en-GB"/>
        </w:rPr>
        <w:t>.</w:t>
      </w:r>
      <w:r w:rsidRPr="00425990">
        <w:rPr>
          <w:i/>
          <w:iCs/>
        </w:rPr>
        <w:t>, amend to read:</w:t>
      </w:r>
    </w:p>
    <w:p w14:paraId="2A81B1A5" w14:textId="77777777" w:rsidR="001A2DF7" w:rsidRPr="00425990" w:rsidRDefault="001A2DF7" w:rsidP="009634A1">
      <w:pPr>
        <w:pStyle w:val="SingleTxtG"/>
        <w:ind w:hanging="1134"/>
      </w:pPr>
      <w:r w:rsidRPr="00425990">
        <w:t>“</w:t>
      </w:r>
      <w:r w:rsidR="009634A1" w:rsidRPr="00425990">
        <w:t xml:space="preserve">5.7 </w:t>
      </w:r>
      <w:r w:rsidR="009634A1" w:rsidRPr="00425990">
        <w:tab/>
        <w:t>The approval mark shall be placed close to the engine</w:t>
      </w:r>
      <w:r w:rsidR="009634A1" w:rsidRPr="00425990">
        <w:rPr>
          <w:lang w:val="en-GB"/>
        </w:rPr>
        <w:t xml:space="preserve"> </w:t>
      </w:r>
      <w:r w:rsidR="009634A1" w:rsidRPr="00425990">
        <w:t>identification figures provided by the manufacturer.</w:t>
      </w:r>
      <w:r w:rsidR="009634A1" w:rsidRPr="00425990">
        <w:rPr>
          <w:lang w:val="en-GB"/>
        </w:rPr>
        <w:t xml:space="preserve"> </w:t>
      </w:r>
      <w:r w:rsidR="009634A1" w:rsidRPr="00E24FDA">
        <w:rPr>
          <w:b/>
          <w:bCs/>
          <w:lang w:val="en-GB"/>
        </w:rPr>
        <w:t xml:space="preserve">The approval mark shall be completely visible without </w:t>
      </w:r>
      <w:proofErr w:type="gramStart"/>
      <w:r w:rsidR="009634A1" w:rsidRPr="00E24FDA">
        <w:rPr>
          <w:b/>
          <w:bCs/>
          <w:lang w:val="en-GB"/>
        </w:rPr>
        <w:t>dismantling.</w:t>
      </w:r>
      <w:r w:rsidR="00D10EF5" w:rsidRPr="00425990">
        <w:t>“</w:t>
      </w:r>
      <w:proofErr w:type="gramEnd"/>
    </w:p>
    <w:p w14:paraId="4C88D6F7" w14:textId="77777777" w:rsidR="002D794F" w:rsidRPr="00425990" w:rsidRDefault="002D794F" w:rsidP="00D10EF5">
      <w:pPr>
        <w:pStyle w:val="SingleTxtG"/>
        <w:ind w:hanging="1134"/>
        <w:rPr>
          <w:lang w:val="en-GB"/>
        </w:rPr>
      </w:pPr>
    </w:p>
    <w:p w14:paraId="38AB9B45" w14:textId="77777777" w:rsidR="002D794F" w:rsidRPr="00425990" w:rsidRDefault="002D794F" w:rsidP="002D794F">
      <w:pPr>
        <w:pStyle w:val="SingleTxtG"/>
        <w:rPr>
          <w:i/>
          <w:iCs/>
          <w:lang w:val="en-GB"/>
        </w:rPr>
      </w:pPr>
      <w:r w:rsidRPr="00425990">
        <w:rPr>
          <w:i/>
          <w:iCs/>
          <w:lang w:val="en-GB"/>
        </w:rPr>
        <w:t>Paragraph</w:t>
      </w:r>
      <w:r w:rsidRPr="00425990">
        <w:rPr>
          <w:i/>
          <w:iCs/>
        </w:rPr>
        <w:t xml:space="preserve"> </w:t>
      </w:r>
      <w:r w:rsidR="009634A1" w:rsidRPr="00425990">
        <w:rPr>
          <w:i/>
          <w:iCs/>
          <w:lang w:val="en-GB"/>
        </w:rPr>
        <w:t>14.6</w:t>
      </w:r>
      <w:r w:rsidRPr="00425990">
        <w:rPr>
          <w:i/>
          <w:iCs/>
          <w:lang w:val="en-GB"/>
        </w:rPr>
        <w:t>.</w:t>
      </w:r>
      <w:r w:rsidRPr="00425990">
        <w:rPr>
          <w:i/>
          <w:iCs/>
        </w:rPr>
        <w:t>, amend to read:</w:t>
      </w:r>
    </w:p>
    <w:p w14:paraId="2A70823B" w14:textId="77777777" w:rsidR="002D794F" w:rsidRPr="00425990" w:rsidRDefault="002D794F" w:rsidP="009634A1">
      <w:pPr>
        <w:pStyle w:val="SingleTxtG"/>
        <w:ind w:hanging="1134"/>
        <w:rPr>
          <w:lang w:val="en-GB"/>
        </w:rPr>
      </w:pPr>
      <w:r w:rsidRPr="00425990">
        <w:t>“</w:t>
      </w:r>
      <w:r w:rsidR="009634A1" w:rsidRPr="00425990">
        <w:t xml:space="preserve">14.6 </w:t>
      </w:r>
      <w:r w:rsidR="009634A1" w:rsidRPr="00425990">
        <w:tab/>
        <w:t>The approval mark and the additional symbol shall be clearly</w:t>
      </w:r>
      <w:r w:rsidR="009634A1" w:rsidRPr="00425990">
        <w:rPr>
          <w:lang w:val="en-GB"/>
        </w:rPr>
        <w:t xml:space="preserve"> </w:t>
      </w:r>
      <w:r w:rsidR="009634A1" w:rsidRPr="00425990">
        <w:t>legible</w:t>
      </w:r>
      <w:r w:rsidR="009634A1" w:rsidRPr="00425990">
        <w:rPr>
          <w:lang w:val="en-GB"/>
        </w:rPr>
        <w:t xml:space="preserve"> </w:t>
      </w:r>
      <w:r w:rsidR="009634A1" w:rsidRPr="00E24FDA">
        <w:rPr>
          <w:b/>
          <w:bCs/>
          <w:lang w:val="en-GB"/>
        </w:rPr>
        <w:t>without dismantling</w:t>
      </w:r>
      <w:r w:rsidR="009634A1" w:rsidRPr="00425990">
        <w:t xml:space="preserve"> and be indelible.</w:t>
      </w:r>
      <w:r w:rsidRPr="00425990">
        <w:t>“</w:t>
      </w:r>
    </w:p>
    <w:p w14:paraId="3940D4F2" w14:textId="77777777" w:rsidR="00666841" w:rsidRPr="00425990" w:rsidRDefault="00666841" w:rsidP="00666841">
      <w:pPr>
        <w:pStyle w:val="SingleTxtG"/>
        <w:rPr>
          <w:i/>
          <w:iCs/>
        </w:rPr>
      </w:pPr>
    </w:p>
    <w:p w14:paraId="073614A5" w14:textId="77777777" w:rsidR="006B00C7" w:rsidRPr="00425990" w:rsidRDefault="006B00C7" w:rsidP="006B00C7">
      <w:pPr>
        <w:pStyle w:val="SingleTxtG"/>
        <w:rPr>
          <w:i/>
          <w:iCs/>
          <w:lang w:val="en-GB"/>
        </w:rPr>
      </w:pPr>
      <w:r w:rsidRPr="00425990">
        <w:rPr>
          <w:i/>
          <w:iCs/>
          <w:lang w:val="en-GB"/>
        </w:rPr>
        <w:t>Paragraph</w:t>
      </w:r>
      <w:r w:rsidRPr="00425990">
        <w:rPr>
          <w:i/>
          <w:iCs/>
        </w:rPr>
        <w:t xml:space="preserve"> </w:t>
      </w:r>
      <w:r w:rsidRPr="00425990">
        <w:rPr>
          <w:i/>
          <w:iCs/>
          <w:lang w:val="en-GB"/>
        </w:rPr>
        <w:t>15.1.</w:t>
      </w:r>
      <w:r w:rsidRPr="00425990">
        <w:rPr>
          <w:i/>
          <w:iCs/>
        </w:rPr>
        <w:t>, amend to read:</w:t>
      </w:r>
    </w:p>
    <w:p w14:paraId="40C2B16B" w14:textId="77777777" w:rsidR="006B00C7" w:rsidRPr="00425990" w:rsidRDefault="006B00C7" w:rsidP="006B00C7">
      <w:pPr>
        <w:pStyle w:val="SingleTxtG"/>
        <w:ind w:hanging="1134"/>
      </w:pPr>
      <w:r w:rsidRPr="00425990">
        <w:t xml:space="preserve">“15.1. </w:t>
      </w:r>
      <w:r w:rsidRPr="00425990">
        <w:tab/>
        <w:t>..… to comply with the provisions of this Regulation.</w:t>
      </w:r>
    </w:p>
    <w:p w14:paraId="081D278C" w14:textId="12F7C0E8" w:rsidR="00E71EB0" w:rsidRPr="00425990" w:rsidRDefault="006B00C7" w:rsidP="00E71EB0">
      <w:pPr>
        <w:pStyle w:val="SingleTxtG"/>
        <w:ind w:hanging="1134"/>
      </w:pPr>
      <w:r w:rsidRPr="00425990">
        <w:tab/>
        <w:t xml:space="preserve">It shall be possible to inspect the vehicle </w:t>
      </w:r>
      <w:r w:rsidR="00CE3B1D" w:rsidRPr="00425990">
        <w:rPr>
          <w:lang w:val="en-GB"/>
        </w:rPr>
        <w:t>in</w:t>
      </w:r>
      <w:r w:rsidRPr="00425990">
        <w:t xml:space="preserve"> roadworthiness by determining its performance in relation to the data collected for type approval as reported in paragraph 11.1.2.2. of Annex 2 to this Regulation. If this inspection requires a special procedure, this shall be detailed in the service manual (or equivalent media). This special procedure shall not require the use of special equipment other than that provided with the vehicle</w:t>
      </w:r>
      <w:r w:rsidR="00E71EB0" w:rsidRPr="00425990">
        <w:rPr>
          <w:lang w:val="en-GB"/>
        </w:rPr>
        <w:t xml:space="preserve"> </w:t>
      </w:r>
      <w:r w:rsidR="00E71EB0" w:rsidRPr="00A1440A">
        <w:rPr>
          <w:b/>
          <w:lang w:val="en-GB"/>
        </w:rPr>
        <w:t>or a generic scan tool</w:t>
      </w:r>
      <w:r w:rsidR="00E71EB0" w:rsidRPr="00425990">
        <w:t>.</w:t>
      </w:r>
    </w:p>
    <w:p w14:paraId="6182D8E2" w14:textId="77777777" w:rsidR="003A0694" w:rsidRPr="00A1440A" w:rsidRDefault="00E71EB0" w:rsidP="003A0694">
      <w:pPr>
        <w:pStyle w:val="SingleTxtG"/>
        <w:ind w:hanging="1134"/>
        <w:rPr>
          <w:b/>
        </w:rPr>
      </w:pPr>
      <w:r w:rsidRPr="00425990">
        <w:tab/>
      </w:r>
      <w:r w:rsidR="003A0694" w:rsidRPr="00A1440A">
        <w:rPr>
          <w:rFonts w:eastAsia="Calibri"/>
          <w:b/>
          <w:color w:val="000000"/>
          <w:lang w:val="en-GB" w:eastAsia="zh-CN"/>
        </w:rPr>
        <w:t xml:space="preserve">Vehicles shall have simple a method, not requiring any external tool or device, to switch on/off the internal combustion engine in the standard mode of operation to allow activities of maintenance, market surveillance, in-use conformity, periodical inspection and roadside inspection. </w:t>
      </w:r>
      <w:r w:rsidRPr="00A1440A">
        <w:rPr>
          <w:b/>
          <w:lang w:val="en-GB"/>
        </w:rPr>
        <w:t>For hybrid electric vehicles it shall be possible to start the combustion engine</w:t>
      </w:r>
      <w:r w:rsidR="00E51FBD" w:rsidRPr="00A1440A">
        <w:rPr>
          <w:rFonts w:eastAsia="Calibri"/>
          <w:b/>
          <w:color w:val="000000"/>
          <w:lang w:val="en-GB" w:eastAsia="zh-CN"/>
        </w:rPr>
        <w:t xml:space="preserve"> using this simple method </w:t>
      </w:r>
      <w:r w:rsidR="00E51FBD" w:rsidRPr="00A1440A">
        <w:rPr>
          <w:b/>
          <w:lang w:val="en-GB"/>
        </w:rPr>
        <w:t>at any state of charge of the traction battery</w:t>
      </w:r>
      <w:r w:rsidR="00DC09C6" w:rsidRPr="00A1440A">
        <w:rPr>
          <w:b/>
          <w:lang w:val="en-GB"/>
        </w:rPr>
        <w:t>.</w:t>
      </w:r>
      <w:r w:rsidR="003A0694" w:rsidRPr="00A1440A">
        <w:rPr>
          <w:b/>
        </w:rPr>
        <w:t xml:space="preserve"> </w:t>
      </w:r>
    </w:p>
    <w:p w14:paraId="73C74AB0" w14:textId="77777777" w:rsidR="006B00C7" w:rsidRPr="00425990" w:rsidRDefault="003A0694" w:rsidP="003A0694">
      <w:pPr>
        <w:pStyle w:val="SingleTxtG"/>
        <w:ind w:hanging="1134"/>
        <w:rPr>
          <w:lang w:val="en-GB"/>
        </w:rPr>
      </w:pPr>
      <w:r w:rsidRPr="00A1440A">
        <w:rPr>
          <w:b/>
        </w:rPr>
        <w:tab/>
      </w:r>
      <w:r w:rsidRPr="00A1440A">
        <w:rPr>
          <w:b/>
          <w:lang w:val="en-GB"/>
        </w:rPr>
        <w:t xml:space="preserve">That method shall be described in the vehicles owners’ information </w:t>
      </w:r>
      <w:proofErr w:type="gramStart"/>
      <w:r w:rsidRPr="00A1440A">
        <w:rPr>
          <w:b/>
          <w:lang w:val="en-GB"/>
        </w:rPr>
        <w:t>documents.</w:t>
      </w:r>
      <w:r w:rsidR="006B00C7" w:rsidRPr="00425990">
        <w:t>“</w:t>
      </w:r>
      <w:proofErr w:type="gramEnd"/>
      <w:r w:rsidR="00EE7FB0" w:rsidRPr="00425990">
        <w:rPr>
          <w:lang w:val="en-GB"/>
        </w:rPr>
        <w:t xml:space="preserve"> </w:t>
      </w:r>
    </w:p>
    <w:p w14:paraId="3F89340E" w14:textId="77777777" w:rsidR="006B00C7" w:rsidRPr="00425990" w:rsidRDefault="006B00C7" w:rsidP="00666841">
      <w:pPr>
        <w:pStyle w:val="SingleTxtG"/>
        <w:rPr>
          <w:i/>
          <w:iCs/>
        </w:rPr>
      </w:pPr>
    </w:p>
    <w:p w14:paraId="0D9EC924" w14:textId="77777777" w:rsidR="00666841" w:rsidRPr="00425990" w:rsidRDefault="00666841" w:rsidP="00666841">
      <w:pPr>
        <w:pStyle w:val="SingleTxtG"/>
        <w:rPr>
          <w:i/>
          <w:iCs/>
          <w:lang w:val="en-GB"/>
        </w:rPr>
      </w:pPr>
      <w:r w:rsidRPr="00425990">
        <w:rPr>
          <w:i/>
          <w:iCs/>
        </w:rPr>
        <w:t xml:space="preserve">Insert new paragraph </w:t>
      </w:r>
      <w:r w:rsidR="00E71EB0" w:rsidRPr="00425990">
        <w:rPr>
          <w:i/>
          <w:iCs/>
          <w:lang w:val="en-GB"/>
        </w:rPr>
        <w:t>1</w:t>
      </w:r>
      <w:r w:rsidRPr="00425990">
        <w:rPr>
          <w:i/>
          <w:iCs/>
        </w:rPr>
        <w:t>5.1.</w:t>
      </w:r>
      <w:r w:rsidR="00E71EB0" w:rsidRPr="00425990">
        <w:rPr>
          <w:i/>
          <w:iCs/>
          <w:lang w:val="en-GB"/>
        </w:rPr>
        <w:t>1.</w:t>
      </w:r>
    </w:p>
    <w:p w14:paraId="1F972B91" w14:textId="77777777" w:rsidR="00E71EB0" w:rsidRPr="00E24FDA" w:rsidRDefault="00666841" w:rsidP="00E71EB0">
      <w:pPr>
        <w:pStyle w:val="SingleTxtG"/>
        <w:ind w:hanging="1134"/>
        <w:rPr>
          <w:b/>
          <w:bCs/>
        </w:rPr>
      </w:pPr>
      <w:r w:rsidRPr="00425990">
        <w:t>“</w:t>
      </w:r>
      <w:r w:rsidR="00E71EB0" w:rsidRPr="00E24FDA">
        <w:rPr>
          <w:b/>
          <w:bCs/>
          <w:lang w:val="en-GB"/>
        </w:rPr>
        <w:t>1</w:t>
      </w:r>
      <w:r w:rsidR="00E71EB0" w:rsidRPr="00E24FDA">
        <w:rPr>
          <w:b/>
          <w:bCs/>
        </w:rPr>
        <w:t>5.1.</w:t>
      </w:r>
      <w:r w:rsidR="00E71EB0" w:rsidRPr="00E24FDA">
        <w:rPr>
          <w:b/>
          <w:bCs/>
          <w:lang w:val="en-GB"/>
        </w:rPr>
        <w:t>1.</w:t>
      </w:r>
      <w:r w:rsidRPr="00E24FDA">
        <w:rPr>
          <w:b/>
          <w:bCs/>
        </w:rPr>
        <w:t xml:space="preserve"> </w:t>
      </w:r>
      <w:r w:rsidRPr="00E24FDA">
        <w:rPr>
          <w:b/>
          <w:bCs/>
        </w:rPr>
        <w:tab/>
      </w:r>
      <w:r w:rsidR="00E71EB0" w:rsidRPr="00E24FDA">
        <w:rPr>
          <w:b/>
          <w:bCs/>
        </w:rPr>
        <w:t xml:space="preserve">In order to inspect the vehicle in roadworthiness test or to design roadworthiness test methods, </w:t>
      </w:r>
      <w:r w:rsidR="00DC32E2" w:rsidRPr="00E24FDA">
        <w:rPr>
          <w:b/>
          <w:bCs/>
          <w:lang w:val="en-GB"/>
        </w:rPr>
        <w:t>all necessary</w:t>
      </w:r>
      <w:r w:rsidR="00E71EB0" w:rsidRPr="00E24FDA">
        <w:rPr>
          <w:b/>
          <w:bCs/>
        </w:rPr>
        <w:t xml:space="preserve"> information shall also be made available to Roadworthiness Authorities or related bodies on a non-discriminatory basis.</w:t>
      </w:r>
    </w:p>
    <w:p w14:paraId="056F2A14" w14:textId="20FA9490" w:rsidR="00E71EB0" w:rsidRPr="00732385" w:rsidRDefault="00E71EB0" w:rsidP="00E71EB0">
      <w:pPr>
        <w:pStyle w:val="SingleTxtG"/>
        <w:ind w:hanging="1134"/>
        <w:rPr>
          <w:b/>
          <w:bCs/>
          <w:lang w:val="fr-CH"/>
        </w:rPr>
      </w:pPr>
      <w:r w:rsidRPr="00E24FDA">
        <w:rPr>
          <w:b/>
          <w:bCs/>
        </w:rPr>
        <w:tab/>
        <w:t>This information shall e.g. contain</w:t>
      </w:r>
      <w:r w:rsidR="00732385">
        <w:rPr>
          <w:b/>
          <w:bCs/>
          <w:lang w:val="fr-CH"/>
        </w:rPr>
        <w:t xml:space="preserve"> :</w:t>
      </w:r>
    </w:p>
    <w:p w14:paraId="14ADF0EC" w14:textId="45B02CAB" w:rsidR="00E71EB0" w:rsidRPr="00E24FDA" w:rsidRDefault="00E71EB0" w:rsidP="00E71EB0">
      <w:pPr>
        <w:pStyle w:val="SingleTxtG"/>
        <w:ind w:hanging="1134"/>
        <w:rPr>
          <w:b/>
          <w:bCs/>
        </w:rPr>
      </w:pPr>
      <w:r w:rsidRPr="00E24FDA">
        <w:rPr>
          <w:b/>
          <w:bCs/>
        </w:rPr>
        <w:lastRenderedPageBreak/>
        <w:tab/>
        <w:t>- a list of approved software versions of emission</w:t>
      </w:r>
      <w:r w:rsidR="002A2CB5" w:rsidRPr="00E24FDA">
        <w:rPr>
          <w:b/>
          <w:bCs/>
          <w:lang w:val="ca-ES"/>
        </w:rPr>
        <w:t>s-</w:t>
      </w:r>
      <w:r w:rsidRPr="00E24FDA">
        <w:rPr>
          <w:b/>
          <w:bCs/>
        </w:rPr>
        <w:t>related controllers and their related integrity information, including necessary access information,</w:t>
      </w:r>
    </w:p>
    <w:p w14:paraId="7000554A" w14:textId="12AE724B" w:rsidR="00E71EB0" w:rsidRPr="00E24FDA" w:rsidRDefault="00E71EB0" w:rsidP="00E71EB0">
      <w:pPr>
        <w:pStyle w:val="SingleTxtG"/>
        <w:ind w:hanging="1134"/>
        <w:rPr>
          <w:b/>
          <w:bCs/>
        </w:rPr>
      </w:pPr>
      <w:r w:rsidRPr="00E24FDA">
        <w:rPr>
          <w:b/>
          <w:bCs/>
        </w:rPr>
        <w:tab/>
        <w:t>- access and judgement information for emission</w:t>
      </w:r>
      <w:r w:rsidR="002A2CB5" w:rsidRPr="00E24FDA">
        <w:rPr>
          <w:b/>
          <w:bCs/>
          <w:lang w:val="ca-ES"/>
        </w:rPr>
        <w:t>s-</w:t>
      </w:r>
      <w:r w:rsidRPr="00E24FDA">
        <w:rPr>
          <w:b/>
          <w:bCs/>
        </w:rPr>
        <w:t>related sensor signals,</w:t>
      </w:r>
    </w:p>
    <w:p w14:paraId="57D4E3A1" w14:textId="77777777" w:rsidR="00666841" w:rsidRPr="00425990" w:rsidRDefault="00E71EB0" w:rsidP="00E71EB0">
      <w:pPr>
        <w:pStyle w:val="SingleTxtG"/>
        <w:ind w:hanging="1134"/>
      </w:pPr>
      <w:r w:rsidRPr="00E24FDA">
        <w:rPr>
          <w:b/>
          <w:bCs/>
        </w:rPr>
        <w:tab/>
        <w:t>- information on how to start the combustion engine on hybrid electric vehicles</w:t>
      </w:r>
      <w:r w:rsidR="00666841" w:rsidRPr="00425990">
        <w:t>“</w:t>
      </w:r>
    </w:p>
    <w:p w14:paraId="532893B2" w14:textId="77777777" w:rsidR="004003FA" w:rsidRDefault="004003FA" w:rsidP="00647C62">
      <w:pPr>
        <w:pStyle w:val="SingleTxtG"/>
        <w:rPr>
          <w:i/>
          <w:iCs/>
          <w:lang w:val="en-GB"/>
        </w:rPr>
      </w:pPr>
    </w:p>
    <w:p w14:paraId="1D2D791F" w14:textId="1C5DBD01" w:rsidR="00647C62" w:rsidRPr="00425990" w:rsidRDefault="00647C62" w:rsidP="00647C62">
      <w:pPr>
        <w:pStyle w:val="SingleTxtG"/>
        <w:rPr>
          <w:i/>
          <w:iCs/>
          <w:lang w:val="en-GB"/>
        </w:rPr>
      </w:pPr>
      <w:r w:rsidRPr="00425990">
        <w:rPr>
          <w:i/>
          <w:iCs/>
          <w:lang w:val="en-GB"/>
        </w:rPr>
        <w:t>Paragraph</w:t>
      </w:r>
      <w:r w:rsidRPr="00425990">
        <w:rPr>
          <w:i/>
          <w:iCs/>
        </w:rPr>
        <w:t xml:space="preserve"> </w:t>
      </w:r>
      <w:r w:rsidRPr="00425990">
        <w:rPr>
          <w:i/>
          <w:iCs/>
          <w:lang w:val="en-GB"/>
        </w:rPr>
        <w:t>23.6.</w:t>
      </w:r>
      <w:r w:rsidRPr="00425990">
        <w:rPr>
          <w:i/>
          <w:iCs/>
        </w:rPr>
        <w:t>, amend to read:</w:t>
      </w:r>
    </w:p>
    <w:p w14:paraId="748C67BC" w14:textId="77777777" w:rsidR="00647C62" w:rsidRPr="00425990" w:rsidRDefault="00647C62" w:rsidP="00647C62">
      <w:pPr>
        <w:pStyle w:val="SingleTxtG"/>
        <w:ind w:hanging="1134"/>
        <w:rPr>
          <w:lang w:val="en-GB"/>
        </w:rPr>
      </w:pPr>
      <w:r w:rsidRPr="00425990">
        <w:t>“</w:t>
      </w:r>
      <w:r w:rsidRPr="00425990">
        <w:rPr>
          <w:lang w:val="en-GB"/>
        </w:rPr>
        <w:t>23</w:t>
      </w:r>
      <w:r w:rsidRPr="00425990">
        <w:t xml:space="preserve">.6 </w:t>
      </w:r>
      <w:r w:rsidRPr="00425990">
        <w:tab/>
        <w:t>The approval mark and the additional symbol shall be clearly legible</w:t>
      </w:r>
      <w:r w:rsidRPr="00425990">
        <w:rPr>
          <w:lang w:val="en-GB"/>
        </w:rPr>
        <w:t xml:space="preserve"> </w:t>
      </w:r>
      <w:r w:rsidRPr="00A1440A">
        <w:rPr>
          <w:b/>
          <w:lang w:val="en-GB"/>
        </w:rPr>
        <w:t>without dismantling</w:t>
      </w:r>
      <w:r w:rsidR="00DC32E2" w:rsidRPr="00425990">
        <w:t xml:space="preserve"> and be indelible.</w:t>
      </w:r>
      <w:r w:rsidRPr="00425990">
        <w:t>“</w:t>
      </w:r>
    </w:p>
    <w:p w14:paraId="49749075" w14:textId="77777777" w:rsidR="00D10EF5" w:rsidRPr="00425990" w:rsidRDefault="00D10EF5" w:rsidP="00D10EF5">
      <w:pPr>
        <w:pStyle w:val="SingleTxtG"/>
        <w:ind w:hanging="1134"/>
        <w:rPr>
          <w:i/>
          <w:iCs/>
          <w:lang w:val="en-GB"/>
        </w:rPr>
      </w:pPr>
    </w:p>
    <w:p w14:paraId="17D6A768" w14:textId="77777777" w:rsidR="00DC32E2" w:rsidRPr="00425990" w:rsidRDefault="00DC32E2" w:rsidP="00DC32E2">
      <w:pPr>
        <w:pStyle w:val="SingleTxtG"/>
        <w:rPr>
          <w:i/>
          <w:iCs/>
          <w:lang w:val="en-GB"/>
        </w:rPr>
      </w:pPr>
      <w:r w:rsidRPr="00425990">
        <w:rPr>
          <w:i/>
          <w:iCs/>
          <w:lang w:val="en-GB"/>
        </w:rPr>
        <w:t>Paragraph</w:t>
      </w:r>
      <w:r w:rsidRPr="00425990">
        <w:rPr>
          <w:i/>
          <w:iCs/>
        </w:rPr>
        <w:t xml:space="preserve"> </w:t>
      </w:r>
      <w:r w:rsidRPr="00425990">
        <w:rPr>
          <w:i/>
          <w:iCs/>
          <w:lang w:val="en-GB"/>
        </w:rPr>
        <w:t>24.1.</w:t>
      </w:r>
      <w:r w:rsidRPr="00425990">
        <w:rPr>
          <w:i/>
          <w:iCs/>
        </w:rPr>
        <w:t>, amend to read:</w:t>
      </w:r>
    </w:p>
    <w:p w14:paraId="20E0FE86" w14:textId="77777777" w:rsidR="00DC32E2" w:rsidRPr="00425990" w:rsidRDefault="00DC32E2" w:rsidP="00DC32E2">
      <w:pPr>
        <w:pStyle w:val="SingleTxtG"/>
        <w:ind w:hanging="1134"/>
        <w:rPr>
          <w:lang w:val="en-GB"/>
        </w:rPr>
      </w:pPr>
      <w:r w:rsidRPr="00425990">
        <w:t xml:space="preserve">“ </w:t>
      </w:r>
      <w:r w:rsidRPr="00425990">
        <w:rPr>
          <w:lang w:val="en-GB"/>
        </w:rPr>
        <w:t xml:space="preserve">24.1. </w:t>
      </w:r>
      <w:r w:rsidRPr="00425990">
        <w:rPr>
          <w:lang w:val="en-GB"/>
        </w:rPr>
        <w:tab/>
        <w:t>… to comply with the provisions of this Regulation.</w:t>
      </w:r>
    </w:p>
    <w:p w14:paraId="729127EE" w14:textId="49635660" w:rsidR="002A77B0" w:rsidRPr="00A1440A" w:rsidRDefault="00DC32E2" w:rsidP="002A77B0">
      <w:pPr>
        <w:pStyle w:val="SingleTxtG"/>
        <w:ind w:hanging="1134"/>
        <w:rPr>
          <w:b/>
          <w:lang w:val="en-GB"/>
        </w:rPr>
      </w:pPr>
      <w:r w:rsidRPr="00425990">
        <w:rPr>
          <w:lang w:val="en-GB"/>
        </w:rPr>
        <w:tab/>
        <w:t xml:space="preserve">It shall be possible to inspect the vehicle </w:t>
      </w:r>
      <w:r w:rsidR="00CE616A" w:rsidRPr="00425990">
        <w:rPr>
          <w:lang w:val="en-GB"/>
        </w:rPr>
        <w:t xml:space="preserve">in </w:t>
      </w:r>
      <w:r w:rsidRPr="00425990">
        <w:rPr>
          <w:lang w:val="en-GB"/>
        </w:rPr>
        <w:t>roadworthiness by determining its performance in relation to the data collected for type-approval as reported in paragraph 11.1.2.2. of Annex 2 to this Regulation. If this inspection requires a special procedure, this shall be detailed in the service manual (or equivalent media). This special procedure shall not require the use of special equipment other than that provided with the vehicle</w:t>
      </w:r>
      <w:r w:rsidR="002A77B0" w:rsidRPr="00425990">
        <w:rPr>
          <w:lang w:val="en-GB"/>
        </w:rPr>
        <w:t xml:space="preserve"> </w:t>
      </w:r>
      <w:r w:rsidR="002A77B0" w:rsidRPr="00A1440A">
        <w:rPr>
          <w:b/>
          <w:lang w:val="en-GB"/>
        </w:rPr>
        <w:t>or a generic scan tool</w:t>
      </w:r>
      <w:r w:rsidR="002A77B0" w:rsidRPr="00A1440A">
        <w:rPr>
          <w:b/>
        </w:rPr>
        <w:t>.</w:t>
      </w:r>
    </w:p>
    <w:p w14:paraId="45B5B9B7" w14:textId="77777777" w:rsidR="003A0694" w:rsidRPr="00A1440A" w:rsidRDefault="002A77B0" w:rsidP="002A77B0">
      <w:pPr>
        <w:pStyle w:val="SingleTxtG"/>
        <w:ind w:hanging="1134"/>
        <w:rPr>
          <w:b/>
        </w:rPr>
      </w:pPr>
      <w:r w:rsidRPr="00A1440A">
        <w:rPr>
          <w:b/>
        </w:rPr>
        <w:tab/>
      </w:r>
      <w:r w:rsidR="00E51FBD" w:rsidRPr="00A1440A">
        <w:rPr>
          <w:rFonts w:eastAsia="Calibri"/>
          <w:b/>
          <w:color w:val="000000"/>
          <w:lang w:val="en-GB" w:eastAsia="zh-CN"/>
        </w:rPr>
        <w:t xml:space="preserve">Vehicles shall have simple a method, not requiring any external tool or device, to switch on/off the internal combustion engine in the standard mode of operation to allow activities of maintenance, market surveillance, in-use conformity, periodical inspection and roadside inspection. </w:t>
      </w:r>
      <w:r w:rsidR="00E51FBD" w:rsidRPr="00A1440A">
        <w:rPr>
          <w:b/>
          <w:lang w:val="en-GB"/>
        </w:rPr>
        <w:t>For hybrid electric vehicles it shall be possible to start the combustion engine</w:t>
      </w:r>
      <w:r w:rsidR="00E51FBD" w:rsidRPr="00A1440A">
        <w:rPr>
          <w:rFonts w:eastAsia="Calibri"/>
          <w:b/>
          <w:color w:val="000000"/>
          <w:lang w:val="en-GB" w:eastAsia="zh-CN"/>
        </w:rPr>
        <w:t xml:space="preserve"> using this simple method </w:t>
      </w:r>
      <w:r w:rsidR="00E51FBD" w:rsidRPr="00A1440A">
        <w:rPr>
          <w:b/>
          <w:lang w:val="en-GB"/>
        </w:rPr>
        <w:t>at any state of charge of the traction battery.</w:t>
      </w:r>
      <w:r w:rsidR="00E51FBD" w:rsidRPr="00A1440A">
        <w:rPr>
          <w:b/>
        </w:rPr>
        <w:t xml:space="preserve"> </w:t>
      </w:r>
      <w:r w:rsidR="003A0694" w:rsidRPr="00A1440A">
        <w:rPr>
          <w:b/>
        </w:rPr>
        <w:t xml:space="preserve"> </w:t>
      </w:r>
    </w:p>
    <w:p w14:paraId="67A27CD1" w14:textId="77777777" w:rsidR="00DC32E2" w:rsidRPr="00425990" w:rsidRDefault="003A0694" w:rsidP="002A77B0">
      <w:pPr>
        <w:pStyle w:val="SingleTxtG"/>
        <w:ind w:hanging="1134"/>
      </w:pPr>
      <w:r w:rsidRPr="00A1440A">
        <w:rPr>
          <w:b/>
        </w:rPr>
        <w:tab/>
      </w:r>
      <w:r w:rsidRPr="00A1440A">
        <w:rPr>
          <w:b/>
          <w:lang w:val="en-GB"/>
        </w:rPr>
        <w:t xml:space="preserve">That method shall be described in the vehicles owners’ information </w:t>
      </w:r>
      <w:proofErr w:type="gramStart"/>
      <w:r w:rsidRPr="00A1440A">
        <w:rPr>
          <w:b/>
          <w:lang w:val="en-GB"/>
        </w:rPr>
        <w:t>documents.</w:t>
      </w:r>
      <w:r w:rsidR="00DC32E2" w:rsidRPr="00425990">
        <w:t>“</w:t>
      </w:r>
      <w:proofErr w:type="gramEnd"/>
    </w:p>
    <w:p w14:paraId="5F9B47DF" w14:textId="77777777" w:rsidR="00DC32E2" w:rsidRPr="00425990" w:rsidRDefault="00DC32E2" w:rsidP="00DC32E2">
      <w:pPr>
        <w:pStyle w:val="SingleTxtG"/>
        <w:ind w:hanging="1134"/>
        <w:rPr>
          <w:i/>
          <w:iCs/>
          <w:lang w:val="en-GB"/>
        </w:rPr>
      </w:pPr>
    </w:p>
    <w:p w14:paraId="63213011" w14:textId="77777777" w:rsidR="002A77B0" w:rsidRPr="00425990" w:rsidRDefault="002A77B0" w:rsidP="002A77B0">
      <w:pPr>
        <w:pStyle w:val="SingleTxtG"/>
        <w:rPr>
          <w:i/>
          <w:iCs/>
          <w:lang w:val="en-GB"/>
        </w:rPr>
      </w:pPr>
      <w:r w:rsidRPr="00425990">
        <w:rPr>
          <w:i/>
          <w:iCs/>
        </w:rPr>
        <w:t xml:space="preserve">Insert new paragraph </w:t>
      </w:r>
      <w:r w:rsidRPr="00425990">
        <w:rPr>
          <w:i/>
          <w:iCs/>
          <w:lang w:val="en-GB"/>
        </w:rPr>
        <w:t>24</w:t>
      </w:r>
      <w:r w:rsidRPr="00425990">
        <w:rPr>
          <w:i/>
          <w:iCs/>
        </w:rPr>
        <w:t>.1.</w:t>
      </w:r>
      <w:r w:rsidRPr="00425990">
        <w:rPr>
          <w:i/>
          <w:iCs/>
          <w:lang w:val="en-GB"/>
        </w:rPr>
        <w:t>1.</w:t>
      </w:r>
    </w:p>
    <w:p w14:paraId="0B3DF843" w14:textId="77777777" w:rsidR="002A77B0" w:rsidRPr="00E24FDA" w:rsidRDefault="002A77B0" w:rsidP="002A77B0">
      <w:pPr>
        <w:pStyle w:val="SingleTxtG"/>
        <w:ind w:hanging="1134"/>
        <w:rPr>
          <w:b/>
          <w:bCs/>
        </w:rPr>
      </w:pPr>
      <w:r w:rsidRPr="00425990">
        <w:t>“</w:t>
      </w:r>
      <w:r w:rsidRPr="00E24FDA">
        <w:rPr>
          <w:b/>
          <w:bCs/>
          <w:lang w:val="en-GB"/>
        </w:rPr>
        <w:t>24</w:t>
      </w:r>
      <w:r w:rsidRPr="00E24FDA">
        <w:rPr>
          <w:b/>
          <w:bCs/>
        </w:rPr>
        <w:t>.1.</w:t>
      </w:r>
      <w:r w:rsidRPr="00E24FDA">
        <w:rPr>
          <w:b/>
          <w:bCs/>
          <w:lang w:val="en-GB"/>
        </w:rPr>
        <w:t>1.</w:t>
      </w:r>
      <w:r w:rsidRPr="00E24FDA">
        <w:rPr>
          <w:b/>
          <w:bCs/>
        </w:rPr>
        <w:t xml:space="preserve"> </w:t>
      </w:r>
      <w:r w:rsidRPr="00E24FDA">
        <w:rPr>
          <w:b/>
          <w:bCs/>
        </w:rPr>
        <w:tab/>
        <w:t xml:space="preserve">In order to inspect the vehicle in roadworthiness test or to design roadworthiness test methods, </w:t>
      </w:r>
      <w:r w:rsidRPr="00E24FDA">
        <w:rPr>
          <w:b/>
          <w:bCs/>
          <w:lang w:val="en-GB"/>
        </w:rPr>
        <w:t>all necessary</w:t>
      </w:r>
      <w:r w:rsidRPr="00E24FDA">
        <w:rPr>
          <w:b/>
          <w:bCs/>
        </w:rPr>
        <w:t xml:space="preserve"> information</w:t>
      </w:r>
      <w:r w:rsidR="00C32BD6" w:rsidRPr="00E24FDA">
        <w:rPr>
          <w:b/>
          <w:bCs/>
          <w:lang w:val="en-GB"/>
        </w:rPr>
        <w:t xml:space="preserve"> </w:t>
      </w:r>
      <w:r w:rsidRPr="00E24FDA">
        <w:rPr>
          <w:b/>
          <w:bCs/>
        </w:rPr>
        <w:t>shall also be made available to Roadworthiness Authorities or related bodies on a non-discriminatory basis.</w:t>
      </w:r>
    </w:p>
    <w:p w14:paraId="6369CE05" w14:textId="6010B4B0" w:rsidR="002A77B0" w:rsidRPr="00732385" w:rsidRDefault="002A77B0" w:rsidP="002A77B0">
      <w:pPr>
        <w:pStyle w:val="SingleTxtG"/>
        <w:ind w:hanging="1134"/>
        <w:rPr>
          <w:b/>
          <w:bCs/>
          <w:lang w:val="fr-CH"/>
        </w:rPr>
      </w:pPr>
      <w:r w:rsidRPr="00E24FDA">
        <w:rPr>
          <w:b/>
          <w:bCs/>
        </w:rPr>
        <w:tab/>
        <w:t>This information shall e.g. contain</w:t>
      </w:r>
      <w:r w:rsidR="00732385">
        <w:rPr>
          <w:b/>
          <w:bCs/>
          <w:lang w:val="fr-CH"/>
        </w:rPr>
        <w:t xml:space="preserve"> :</w:t>
      </w:r>
      <w:bookmarkStart w:id="0" w:name="_GoBack"/>
      <w:bookmarkEnd w:id="0"/>
    </w:p>
    <w:p w14:paraId="6D11920C" w14:textId="1FE45F79" w:rsidR="00C32BD6" w:rsidRPr="00E24FDA" w:rsidRDefault="00C32BD6" w:rsidP="002A77B0">
      <w:pPr>
        <w:pStyle w:val="SingleTxtG"/>
        <w:ind w:hanging="1134"/>
        <w:rPr>
          <w:b/>
          <w:bCs/>
          <w:lang w:val="en-GB"/>
        </w:rPr>
      </w:pPr>
      <w:r w:rsidRPr="00E24FDA">
        <w:rPr>
          <w:b/>
          <w:bCs/>
        </w:rPr>
        <w:tab/>
      </w:r>
      <w:r w:rsidRPr="00E24FDA">
        <w:rPr>
          <w:b/>
          <w:bCs/>
          <w:lang w:val="en-GB"/>
        </w:rPr>
        <w:t xml:space="preserve">- a list of emission reducing </w:t>
      </w:r>
      <w:r w:rsidR="00A70975" w:rsidRPr="00E24FDA">
        <w:rPr>
          <w:b/>
          <w:bCs/>
          <w:lang w:val="en-GB"/>
        </w:rPr>
        <w:t xml:space="preserve">systems </w:t>
      </w:r>
      <w:r w:rsidR="002F37C2" w:rsidRPr="00E24FDA">
        <w:rPr>
          <w:b/>
          <w:bCs/>
          <w:lang w:val="en-GB"/>
        </w:rPr>
        <w:t>(e.g. particulate trap, NOx trap, SCR, ...)</w:t>
      </w:r>
      <w:r w:rsidRPr="00E24FDA">
        <w:rPr>
          <w:b/>
          <w:bCs/>
          <w:lang w:val="en-GB"/>
        </w:rPr>
        <w:t xml:space="preserve"> used,</w:t>
      </w:r>
    </w:p>
    <w:p w14:paraId="561CB657" w14:textId="172F5D75" w:rsidR="002A77B0" w:rsidRPr="00E24FDA" w:rsidRDefault="002A77B0" w:rsidP="002A77B0">
      <w:pPr>
        <w:pStyle w:val="SingleTxtG"/>
        <w:ind w:hanging="1134"/>
        <w:rPr>
          <w:b/>
          <w:bCs/>
        </w:rPr>
      </w:pPr>
      <w:r w:rsidRPr="00E24FDA">
        <w:rPr>
          <w:b/>
          <w:bCs/>
        </w:rPr>
        <w:tab/>
        <w:t>- a list of approved software versions of emission</w:t>
      </w:r>
      <w:r w:rsidR="00D26AE1" w:rsidRPr="00E24FDA">
        <w:rPr>
          <w:b/>
          <w:bCs/>
          <w:lang w:val="ca-ES"/>
        </w:rPr>
        <w:t>s-</w:t>
      </w:r>
      <w:r w:rsidRPr="00E24FDA">
        <w:rPr>
          <w:b/>
          <w:bCs/>
        </w:rPr>
        <w:t>related controllers and their related integrity information, including necessary access information,</w:t>
      </w:r>
    </w:p>
    <w:p w14:paraId="268C1BAC" w14:textId="0F211A56" w:rsidR="002A77B0" w:rsidRPr="00E24FDA" w:rsidRDefault="002A77B0" w:rsidP="002A77B0">
      <w:pPr>
        <w:pStyle w:val="SingleTxtG"/>
        <w:ind w:hanging="1134"/>
        <w:rPr>
          <w:b/>
          <w:bCs/>
        </w:rPr>
      </w:pPr>
      <w:r w:rsidRPr="00E24FDA">
        <w:rPr>
          <w:b/>
          <w:bCs/>
        </w:rPr>
        <w:tab/>
        <w:t>- access and judgement information for emission</w:t>
      </w:r>
      <w:r w:rsidR="00D26AE1" w:rsidRPr="00E24FDA">
        <w:rPr>
          <w:b/>
          <w:bCs/>
          <w:lang w:val="ca-ES"/>
        </w:rPr>
        <w:t>s-</w:t>
      </w:r>
      <w:r w:rsidRPr="00E24FDA">
        <w:rPr>
          <w:b/>
          <w:bCs/>
        </w:rPr>
        <w:t>related sensor signals,</w:t>
      </w:r>
    </w:p>
    <w:p w14:paraId="680E56D2" w14:textId="691557A9" w:rsidR="002A77B0" w:rsidRPr="00E24FDA" w:rsidRDefault="002A77B0" w:rsidP="002A77B0">
      <w:pPr>
        <w:pStyle w:val="SingleTxtG"/>
        <w:ind w:hanging="1134"/>
        <w:rPr>
          <w:b/>
          <w:bCs/>
        </w:rPr>
      </w:pPr>
      <w:r w:rsidRPr="00E24FDA">
        <w:rPr>
          <w:b/>
          <w:bCs/>
        </w:rPr>
        <w:tab/>
        <w:t>- information on how</w:t>
      </w:r>
      <w:r w:rsidR="00C32BD6" w:rsidRPr="00E24FDA">
        <w:rPr>
          <w:b/>
          <w:bCs/>
        </w:rPr>
        <w:t xml:space="preserve"> to start the combustion engine, </w:t>
      </w:r>
      <w:r w:rsidR="00C32BD6" w:rsidRPr="00E24FDA">
        <w:rPr>
          <w:b/>
          <w:bCs/>
          <w:lang w:val="en-GB"/>
        </w:rPr>
        <w:t xml:space="preserve">for </w:t>
      </w:r>
      <w:r w:rsidRPr="00E24FDA">
        <w:rPr>
          <w:b/>
          <w:bCs/>
        </w:rPr>
        <w:t>hybrid electric vehicles</w:t>
      </w:r>
      <w:r w:rsidR="00C32BD6" w:rsidRPr="00E24FDA">
        <w:rPr>
          <w:b/>
          <w:bCs/>
          <w:lang w:val="en-GB"/>
        </w:rPr>
        <w:t xml:space="preserve"> regardless of the state of charge of the traction battery</w:t>
      </w:r>
    </w:p>
    <w:p w14:paraId="057E0B96" w14:textId="2AF7402E" w:rsidR="001F029F" w:rsidRPr="00425990" w:rsidRDefault="001F029F" w:rsidP="002A77B0">
      <w:pPr>
        <w:pStyle w:val="SingleTxtG"/>
        <w:ind w:hanging="1134"/>
        <w:rPr>
          <w:lang w:val="en-GB"/>
        </w:rPr>
      </w:pPr>
      <w:r w:rsidRPr="00E24FDA">
        <w:rPr>
          <w:b/>
          <w:bCs/>
        </w:rPr>
        <w:tab/>
      </w:r>
      <w:r w:rsidRPr="00E24FDA">
        <w:rPr>
          <w:b/>
          <w:bCs/>
          <w:lang w:val="en-GB"/>
        </w:rPr>
        <w:t xml:space="preserve">- information on the </w:t>
      </w:r>
      <w:proofErr w:type="spellStart"/>
      <w:r w:rsidRPr="00E24FDA">
        <w:rPr>
          <w:b/>
          <w:bCs/>
          <w:lang w:val="ca-ES"/>
        </w:rPr>
        <w:t>sequence</w:t>
      </w:r>
      <w:proofErr w:type="spellEnd"/>
      <w:r w:rsidRPr="00E24FDA">
        <w:rPr>
          <w:b/>
          <w:bCs/>
          <w:lang w:val="ca-ES"/>
        </w:rPr>
        <w:t xml:space="preserve"> of </w:t>
      </w:r>
      <w:proofErr w:type="spellStart"/>
      <w:r w:rsidRPr="00E24FDA">
        <w:rPr>
          <w:b/>
          <w:bCs/>
          <w:lang w:val="ca-ES"/>
        </w:rPr>
        <w:t>commands</w:t>
      </w:r>
      <w:proofErr w:type="spellEnd"/>
      <w:r w:rsidRPr="00E24FDA">
        <w:rPr>
          <w:b/>
          <w:bCs/>
          <w:lang w:val="ca-ES"/>
        </w:rPr>
        <w:t xml:space="preserve"> </w:t>
      </w:r>
      <w:proofErr w:type="spellStart"/>
      <w:r w:rsidRPr="00E24FDA">
        <w:rPr>
          <w:b/>
          <w:bCs/>
          <w:lang w:val="ca-ES"/>
        </w:rPr>
        <w:t>necessary</w:t>
      </w:r>
      <w:proofErr w:type="spellEnd"/>
      <w:r w:rsidRPr="00E24FDA">
        <w:rPr>
          <w:b/>
          <w:bCs/>
          <w:lang w:val="ca-ES"/>
        </w:rPr>
        <w:t xml:space="preserve"> to </w:t>
      </w:r>
      <w:proofErr w:type="spellStart"/>
      <w:r w:rsidRPr="00E24FDA">
        <w:rPr>
          <w:b/>
          <w:bCs/>
          <w:lang w:val="ca-ES"/>
        </w:rPr>
        <w:t>bring</w:t>
      </w:r>
      <w:proofErr w:type="spellEnd"/>
      <w:r w:rsidRPr="00E24FDA">
        <w:rPr>
          <w:b/>
          <w:bCs/>
          <w:lang w:val="ca-ES"/>
        </w:rPr>
        <w:t xml:space="preserve"> </w:t>
      </w:r>
      <w:proofErr w:type="spellStart"/>
      <w:r w:rsidRPr="00E24FDA">
        <w:rPr>
          <w:b/>
          <w:bCs/>
          <w:lang w:val="ca-ES"/>
        </w:rPr>
        <w:t>the</w:t>
      </w:r>
      <w:proofErr w:type="spellEnd"/>
      <w:r w:rsidRPr="00E24FDA">
        <w:rPr>
          <w:b/>
          <w:bCs/>
          <w:lang w:val="ca-ES"/>
        </w:rPr>
        <w:t xml:space="preserve"> </w:t>
      </w:r>
      <w:proofErr w:type="spellStart"/>
      <w:r w:rsidRPr="00E24FDA">
        <w:rPr>
          <w:b/>
          <w:bCs/>
          <w:lang w:val="ca-ES"/>
        </w:rPr>
        <w:t>engine</w:t>
      </w:r>
      <w:proofErr w:type="spellEnd"/>
      <w:r w:rsidRPr="00E24FDA">
        <w:rPr>
          <w:b/>
          <w:bCs/>
          <w:lang w:val="ca-ES"/>
        </w:rPr>
        <w:t xml:space="preserve"> to </w:t>
      </w:r>
      <w:proofErr w:type="spellStart"/>
      <w:r w:rsidRPr="00E24FDA">
        <w:rPr>
          <w:b/>
          <w:bCs/>
          <w:lang w:val="ca-ES"/>
        </w:rPr>
        <w:t>its</w:t>
      </w:r>
      <w:proofErr w:type="spellEnd"/>
      <w:r w:rsidRPr="00E24FDA">
        <w:rPr>
          <w:b/>
          <w:bCs/>
          <w:lang w:val="ca-ES"/>
        </w:rPr>
        <w:t xml:space="preserve"> </w:t>
      </w:r>
      <w:proofErr w:type="spellStart"/>
      <w:r w:rsidRPr="00E24FDA">
        <w:rPr>
          <w:b/>
          <w:bCs/>
          <w:lang w:val="ca-ES"/>
        </w:rPr>
        <w:t>maximum</w:t>
      </w:r>
      <w:proofErr w:type="spellEnd"/>
      <w:r w:rsidRPr="00E24FDA">
        <w:rPr>
          <w:b/>
          <w:bCs/>
          <w:lang w:val="ca-ES"/>
        </w:rPr>
        <w:t xml:space="preserve"> </w:t>
      </w:r>
      <w:proofErr w:type="spellStart"/>
      <w:r w:rsidRPr="00E24FDA">
        <w:rPr>
          <w:b/>
          <w:bCs/>
          <w:lang w:val="ca-ES"/>
        </w:rPr>
        <w:t>speed</w:t>
      </w:r>
      <w:proofErr w:type="spellEnd"/>
      <w:r w:rsidR="00AF23D7" w:rsidRPr="00425990">
        <w:rPr>
          <w:lang w:val="ca-ES"/>
        </w:rPr>
        <w:t>"</w:t>
      </w:r>
      <w:r w:rsidRPr="00425990">
        <w:rPr>
          <w:lang w:val="ca-ES"/>
        </w:rPr>
        <w:t xml:space="preserve"> </w:t>
      </w:r>
    </w:p>
    <w:p w14:paraId="09259F1E" w14:textId="77777777" w:rsidR="00AE0B63" w:rsidRPr="00425990" w:rsidRDefault="00AE0B63" w:rsidP="00AE0B63">
      <w:pPr>
        <w:pStyle w:val="SingleTxtG"/>
        <w:rPr>
          <w:i/>
          <w:iCs/>
          <w:lang w:val="en-GB"/>
        </w:rPr>
      </w:pPr>
    </w:p>
    <w:p w14:paraId="0355F9CD" w14:textId="37CDA8B1" w:rsidR="00AE0B63" w:rsidRPr="00425990" w:rsidRDefault="00AE0B63" w:rsidP="00AE0B63">
      <w:pPr>
        <w:pStyle w:val="SingleTxtG"/>
        <w:rPr>
          <w:i/>
          <w:iCs/>
          <w:lang w:val="en-GB"/>
        </w:rPr>
      </w:pPr>
      <w:r w:rsidRPr="00425990">
        <w:rPr>
          <w:i/>
          <w:iCs/>
          <w:lang w:val="en-GB"/>
        </w:rPr>
        <w:t xml:space="preserve">Annex </w:t>
      </w:r>
      <w:proofErr w:type="gramStart"/>
      <w:r w:rsidRPr="00425990">
        <w:rPr>
          <w:i/>
          <w:iCs/>
          <w:lang w:val="en-GB"/>
        </w:rPr>
        <w:t>1 ,</w:t>
      </w:r>
      <w:proofErr w:type="gramEnd"/>
      <w:r w:rsidRPr="00425990">
        <w:rPr>
          <w:i/>
          <w:iCs/>
          <w:lang w:val="en-GB"/>
        </w:rPr>
        <w:t xml:space="preserve"> Table, </w:t>
      </w:r>
      <w:proofErr w:type="spellStart"/>
      <w:r w:rsidRPr="00425990">
        <w:rPr>
          <w:i/>
          <w:iCs/>
          <w:lang w:val="en-GB"/>
        </w:rPr>
        <w:t>i</w:t>
      </w:r>
      <w:r w:rsidRPr="00425990">
        <w:rPr>
          <w:i/>
          <w:iCs/>
        </w:rPr>
        <w:t>nsert</w:t>
      </w:r>
      <w:proofErr w:type="spellEnd"/>
      <w:r w:rsidRPr="00425990">
        <w:rPr>
          <w:i/>
          <w:iCs/>
        </w:rPr>
        <w:t xml:space="preserve"> new </w:t>
      </w:r>
      <w:r w:rsidR="00E24FDA">
        <w:rPr>
          <w:i/>
          <w:iCs/>
          <w:lang w:val="en-GB"/>
        </w:rPr>
        <w:t>paragraph</w:t>
      </w:r>
      <w:r w:rsidRPr="00425990">
        <w:rPr>
          <w:i/>
          <w:iCs/>
        </w:rPr>
        <w:t xml:space="preserve"> </w:t>
      </w:r>
      <w:r w:rsidRPr="00425990">
        <w:rPr>
          <w:i/>
          <w:iCs/>
          <w:lang w:val="en-GB"/>
        </w:rPr>
        <w:t>1.14.</w:t>
      </w:r>
      <w:r w:rsidRPr="00425990">
        <w:rPr>
          <w:i/>
          <w:iCs/>
        </w:rPr>
        <w:t>:</w:t>
      </w:r>
    </w:p>
    <w:p w14:paraId="145CCDEB" w14:textId="77777777" w:rsidR="00AE0B63" w:rsidRPr="00425990" w:rsidRDefault="00AE0B63" w:rsidP="00AE0B63">
      <w:pPr>
        <w:pStyle w:val="SingleTxtG"/>
        <w:ind w:hanging="1134"/>
      </w:pPr>
      <w:r w:rsidRPr="00425990">
        <w:t>“</w:t>
      </w:r>
      <w:r w:rsidRPr="00E24FDA">
        <w:rPr>
          <w:b/>
          <w:bCs/>
          <w:lang w:val="en-GB"/>
        </w:rPr>
        <w:t>1.14</w:t>
      </w:r>
      <w:r w:rsidRPr="00E24FDA">
        <w:rPr>
          <w:b/>
          <w:bCs/>
        </w:rPr>
        <w:t xml:space="preserve"> </w:t>
      </w:r>
      <w:r w:rsidRPr="00E24FDA">
        <w:rPr>
          <w:b/>
          <w:bCs/>
        </w:rPr>
        <w:tab/>
        <w:t>E</w:t>
      </w:r>
      <w:r w:rsidRPr="00E24FDA">
        <w:rPr>
          <w:b/>
          <w:bCs/>
          <w:lang w:val="en-GB"/>
        </w:rPr>
        <w:t>mission control software version</w:t>
      </w:r>
      <w:r w:rsidRPr="00425990">
        <w:t>“</w:t>
      </w:r>
    </w:p>
    <w:p w14:paraId="47547CCC" w14:textId="77777777" w:rsidR="00A70975" w:rsidRPr="00425990" w:rsidRDefault="00A70975" w:rsidP="00AE0B63">
      <w:pPr>
        <w:pStyle w:val="SingleTxtG"/>
        <w:ind w:hanging="1134"/>
      </w:pPr>
    </w:p>
    <w:p w14:paraId="0F448271" w14:textId="77777777" w:rsidR="00A70975" w:rsidRPr="00425990" w:rsidRDefault="00A70975" w:rsidP="00AE0B63">
      <w:pPr>
        <w:pStyle w:val="SingleTxtG"/>
        <w:ind w:hanging="1134"/>
      </w:pPr>
    </w:p>
    <w:p w14:paraId="524CE4D8" w14:textId="4FB36CA5" w:rsidR="00A70975" w:rsidRPr="00425990" w:rsidRDefault="00A70975" w:rsidP="00A70975">
      <w:pPr>
        <w:pStyle w:val="SingleTxtG"/>
        <w:rPr>
          <w:i/>
          <w:iCs/>
          <w:lang w:val="en-GB"/>
        </w:rPr>
      </w:pPr>
      <w:r w:rsidRPr="00425990">
        <w:rPr>
          <w:i/>
          <w:iCs/>
          <w:lang w:val="en-GB"/>
        </w:rPr>
        <w:t xml:space="preserve">Annex </w:t>
      </w:r>
      <w:proofErr w:type="gramStart"/>
      <w:r w:rsidRPr="00425990">
        <w:rPr>
          <w:i/>
          <w:iCs/>
          <w:lang w:val="en-GB"/>
        </w:rPr>
        <w:t>5 ,</w:t>
      </w:r>
      <w:proofErr w:type="gramEnd"/>
      <w:r w:rsidRPr="00425990">
        <w:rPr>
          <w:i/>
          <w:iCs/>
          <w:lang w:val="en-GB"/>
        </w:rPr>
        <w:t xml:space="preserve"> Insert new paragraph 1.5</w:t>
      </w:r>
    </w:p>
    <w:p w14:paraId="6AF40A5B" w14:textId="77777777" w:rsidR="00A70975" w:rsidRPr="00425990" w:rsidRDefault="00A70975" w:rsidP="00A70975">
      <w:pPr>
        <w:pStyle w:val="SingleTxtG"/>
        <w:ind w:hanging="1134"/>
      </w:pPr>
      <w:r w:rsidRPr="00425990">
        <w:t>“</w:t>
      </w:r>
      <w:r w:rsidRPr="00E24FDA">
        <w:rPr>
          <w:b/>
          <w:bCs/>
          <w:lang w:val="en-GB"/>
        </w:rPr>
        <w:t>1.5</w:t>
      </w:r>
      <w:r w:rsidRPr="00E24FDA">
        <w:rPr>
          <w:b/>
          <w:bCs/>
        </w:rPr>
        <w:t xml:space="preserve"> </w:t>
      </w:r>
      <w:r w:rsidRPr="00E24FDA">
        <w:rPr>
          <w:b/>
          <w:bCs/>
        </w:rPr>
        <w:tab/>
      </w:r>
      <w:proofErr w:type="spellStart"/>
      <w:r w:rsidRPr="00E24FDA">
        <w:rPr>
          <w:b/>
          <w:bCs/>
          <w:lang w:val="ca-ES"/>
        </w:rPr>
        <w:t>The</w:t>
      </w:r>
      <w:proofErr w:type="spellEnd"/>
      <w:r w:rsidRPr="00E24FDA">
        <w:rPr>
          <w:b/>
          <w:bCs/>
          <w:lang w:val="ca-ES"/>
        </w:rPr>
        <w:t xml:space="preserve"> </w:t>
      </w:r>
      <w:proofErr w:type="spellStart"/>
      <w:r w:rsidRPr="00E24FDA">
        <w:rPr>
          <w:b/>
          <w:bCs/>
          <w:lang w:val="ca-ES"/>
        </w:rPr>
        <w:t>engine</w:t>
      </w:r>
      <w:proofErr w:type="spellEnd"/>
      <w:r w:rsidRPr="00E24FDA">
        <w:rPr>
          <w:b/>
          <w:bCs/>
          <w:lang w:val="ca-ES"/>
        </w:rPr>
        <w:t xml:space="preserve"> </w:t>
      </w:r>
      <w:proofErr w:type="spellStart"/>
      <w:r w:rsidRPr="00E24FDA">
        <w:rPr>
          <w:b/>
          <w:bCs/>
          <w:lang w:val="ca-ES"/>
        </w:rPr>
        <w:t>conditions</w:t>
      </w:r>
      <w:proofErr w:type="spellEnd"/>
      <w:r w:rsidRPr="00E24FDA">
        <w:rPr>
          <w:b/>
          <w:bCs/>
          <w:lang w:val="ca-ES"/>
        </w:rPr>
        <w:t xml:space="preserve"> for </w:t>
      </w:r>
      <w:proofErr w:type="spellStart"/>
      <w:r w:rsidRPr="00E24FDA">
        <w:rPr>
          <w:b/>
          <w:bCs/>
          <w:lang w:val="ca-ES"/>
        </w:rPr>
        <w:t>the</w:t>
      </w:r>
      <w:proofErr w:type="spellEnd"/>
      <w:r w:rsidRPr="00E24FDA">
        <w:rPr>
          <w:b/>
          <w:bCs/>
          <w:lang w:val="ca-ES"/>
        </w:rPr>
        <w:t xml:space="preserve"> </w:t>
      </w:r>
      <w:proofErr w:type="spellStart"/>
      <w:r w:rsidRPr="00E24FDA">
        <w:rPr>
          <w:b/>
          <w:bCs/>
          <w:lang w:val="ca-ES"/>
        </w:rPr>
        <w:t>free</w:t>
      </w:r>
      <w:proofErr w:type="spellEnd"/>
      <w:r w:rsidRPr="00E24FDA">
        <w:rPr>
          <w:b/>
          <w:bCs/>
          <w:lang w:val="ca-ES"/>
        </w:rPr>
        <w:t xml:space="preserve"> </w:t>
      </w:r>
      <w:proofErr w:type="spellStart"/>
      <w:r w:rsidRPr="00E24FDA">
        <w:rPr>
          <w:b/>
          <w:bCs/>
          <w:lang w:val="ca-ES"/>
        </w:rPr>
        <w:t>acceleration</w:t>
      </w:r>
      <w:proofErr w:type="spellEnd"/>
      <w:r w:rsidRPr="00E24FDA">
        <w:rPr>
          <w:b/>
          <w:bCs/>
          <w:lang w:val="ca-ES"/>
        </w:rPr>
        <w:t xml:space="preserve">, </w:t>
      </w:r>
      <w:proofErr w:type="spellStart"/>
      <w:r w:rsidRPr="00E24FDA">
        <w:rPr>
          <w:b/>
          <w:bCs/>
          <w:lang w:val="ca-ES"/>
        </w:rPr>
        <w:t>especially</w:t>
      </w:r>
      <w:proofErr w:type="spellEnd"/>
      <w:r w:rsidRPr="00E24FDA">
        <w:rPr>
          <w:b/>
          <w:bCs/>
          <w:lang w:val="ca-ES"/>
        </w:rPr>
        <w:t xml:space="preserve"> </w:t>
      </w:r>
      <w:proofErr w:type="spellStart"/>
      <w:r w:rsidRPr="00E24FDA">
        <w:rPr>
          <w:b/>
          <w:bCs/>
          <w:lang w:val="ca-ES"/>
        </w:rPr>
        <w:t>the</w:t>
      </w:r>
      <w:proofErr w:type="spellEnd"/>
      <w:r w:rsidRPr="00E24FDA">
        <w:rPr>
          <w:b/>
          <w:bCs/>
          <w:lang w:val="ca-ES"/>
        </w:rPr>
        <w:t xml:space="preserve"> </w:t>
      </w:r>
      <w:proofErr w:type="spellStart"/>
      <w:r w:rsidRPr="00E24FDA">
        <w:rPr>
          <w:b/>
          <w:bCs/>
          <w:lang w:val="ca-ES"/>
        </w:rPr>
        <w:t>engine</w:t>
      </w:r>
      <w:proofErr w:type="spellEnd"/>
      <w:r w:rsidRPr="00E24FDA">
        <w:rPr>
          <w:b/>
          <w:bCs/>
          <w:lang w:val="ca-ES"/>
        </w:rPr>
        <w:t xml:space="preserve"> </w:t>
      </w:r>
      <w:proofErr w:type="spellStart"/>
      <w:r w:rsidRPr="00E24FDA">
        <w:rPr>
          <w:b/>
          <w:bCs/>
          <w:lang w:val="ca-ES"/>
        </w:rPr>
        <w:t>speed</w:t>
      </w:r>
      <w:proofErr w:type="spellEnd"/>
      <w:r w:rsidRPr="00E24FDA">
        <w:rPr>
          <w:b/>
          <w:bCs/>
          <w:lang w:val="ca-ES"/>
        </w:rPr>
        <w:t xml:space="preserve">, </w:t>
      </w:r>
      <w:proofErr w:type="spellStart"/>
      <w:r w:rsidRPr="00E24FDA">
        <w:rPr>
          <w:b/>
          <w:bCs/>
          <w:lang w:val="ca-ES"/>
        </w:rPr>
        <w:t>shall</w:t>
      </w:r>
      <w:proofErr w:type="spellEnd"/>
      <w:r w:rsidRPr="00E24FDA">
        <w:rPr>
          <w:b/>
          <w:bCs/>
          <w:lang w:val="ca-ES"/>
        </w:rPr>
        <w:t xml:space="preserve"> be </w:t>
      </w:r>
      <w:proofErr w:type="spellStart"/>
      <w:r w:rsidRPr="00E24FDA">
        <w:rPr>
          <w:b/>
          <w:bCs/>
          <w:lang w:val="ca-ES"/>
        </w:rPr>
        <w:t>reproducible</w:t>
      </w:r>
      <w:proofErr w:type="spellEnd"/>
      <w:r w:rsidRPr="00E24FDA">
        <w:rPr>
          <w:b/>
          <w:bCs/>
          <w:lang w:val="ca-ES"/>
        </w:rPr>
        <w:t xml:space="preserve"> </w:t>
      </w:r>
      <w:proofErr w:type="spellStart"/>
      <w:r w:rsidRPr="00E24FDA">
        <w:rPr>
          <w:b/>
          <w:bCs/>
          <w:lang w:val="ca-ES"/>
        </w:rPr>
        <w:t>during</w:t>
      </w:r>
      <w:proofErr w:type="spellEnd"/>
      <w:r w:rsidRPr="00E24FDA">
        <w:rPr>
          <w:b/>
          <w:bCs/>
          <w:lang w:val="ca-ES"/>
        </w:rPr>
        <w:t xml:space="preserve"> </w:t>
      </w:r>
      <w:proofErr w:type="spellStart"/>
      <w:r w:rsidRPr="00E24FDA">
        <w:rPr>
          <w:b/>
          <w:bCs/>
          <w:lang w:val="ca-ES"/>
        </w:rPr>
        <w:t>the</w:t>
      </w:r>
      <w:proofErr w:type="spellEnd"/>
      <w:r w:rsidRPr="00E24FDA">
        <w:rPr>
          <w:b/>
          <w:bCs/>
          <w:lang w:val="ca-ES"/>
        </w:rPr>
        <w:t xml:space="preserve"> </w:t>
      </w:r>
      <w:proofErr w:type="spellStart"/>
      <w:r w:rsidRPr="00E24FDA">
        <w:rPr>
          <w:b/>
          <w:bCs/>
          <w:lang w:val="ca-ES"/>
        </w:rPr>
        <w:t>life</w:t>
      </w:r>
      <w:proofErr w:type="spellEnd"/>
      <w:r w:rsidRPr="00E24FDA">
        <w:rPr>
          <w:b/>
          <w:bCs/>
          <w:lang w:val="ca-ES"/>
        </w:rPr>
        <w:t xml:space="preserve"> of </w:t>
      </w:r>
      <w:proofErr w:type="spellStart"/>
      <w:r w:rsidRPr="00E24FDA">
        <w:rPr>
          <w:b/>
          <w:bCs/>
          <w:lang w:val="ca-ES"/>
        </w:rPr>
        <w:t>the</w:t>
      </w:r>
      <w:proofErr w:type="spellEnd"/>
      <w:r w:rsidRPr="00E24FDA">
        <w:rPr>
          <w:b/>
          <w:bCs/>
          <w:lang w:val="ca-ES"/>
        </w:rPr>
        <w:t xml:space="preserve"> vehicle </w:t>
      </w:r>
      <w:proofErr w:type="spellStart"/>
      <w:r w:rsidRPr="00E24FDA">
        <w:rPr>
          <w:b/>
          <w:bCs/>
          <w:lang w:val="ca-ES"/>
        </w:rPr>
        <w:t>and</w:t>
      </w:r>
      <w:proofErr w:type="spellEnd"/>
      <w:r w:rsidRPr="00E24FDA">
        <w:rPr>
          <w:b/>
          <w:bCs/>
          <w:lang w:val="ca-ES"/>
        </w:rPr>
        <w:t xml:space="preserve"> in particular </w:t>
      </w:r>
      <w:proofErr w:type="spellStart"/>
      <w:r w:rsidRPr="00E24FDA">
        <w:rPr>
          <w:b/>
          <w:bCs/>
          <w:lang w:val="ca-ES"/>
        </w:rPr>
        <w:t>during</w:t>
      </w:r>
      <w:proofErr w:type="spellEnd"/>
      <w:r w:rsidRPr="00E24FDA">
        <w:rPr>
          <w:b/>
          <w:bCs/>
          <w:lang w:val="ca-ES"/>
        </w:rPr>
        <w:t xml:space="preserve"> </w:t>
      </w:r>
      <w:proofErr w:type="spellStart"/>
      <w:r w:rsidRPr="00E24FDA">
        <w:rPr>
          <w:b/>
          <w:bCs/>
          <w:lang w:val="ca-ES"/>
        </w:rPr>
        <w:t>the</w:t>
      </w:r>
      <w:proofErr w:type="spellEnd"/>
      <w:r w:rsidRPr="00E24FDA">
        <w:rPr>
          <w:b/>
          <w:bCs/>
          <w:lang w:val="ca-ES"/>
        </w:rPr>
        <w:t xml:space="preserve"> </w:t>
      </w:r>
      <w:proofErr w:type="spellStart"/>
      <w:r w:rsidRPr="00E24FDA">
        <w:rPr>
          <w:b/>
          <w:bCs/>
          <w:lang w:val="ca-ES"/>
        </w:rPr>
        <w:t>periodical</w:t>
      </w:r>
      <w:proofErr w:type="spellEnd"/>
      <w:r w:rsidRPr="00E24FDA">
        <w:rPr>
          <w:b/>
          <w:bCs/>
          <w:lang w:val="ca-ES"/>
        </w:rPr>
        <w:t xml:space="preserve"> </w:t>
      </w:r>
      <w:proofErr w:type="spellStart"/>
      <w:r w:rsidRPr="00E24FDA">
        <w:rPr>
          <w:b/>
          <w:bCs/>
          <w:lang w:val="ca-ES"/>
        </w:rPr>
        <w:t>and</w:t>
      </w:r>
      <w:proofErr w:type="spellEnd"/>
      <w:r w:rsidRPr="00E24FDA">
        <w:rPr>
          <w:b/>
          <w:bCs/>
          <w:lang w:val="ca-ES"/>
        </w:rPr>
        <w:t xml:space="preserve"> </w:t>
      </w:r>
      <w:proofErr w:type="spellStart"/>
      <w:r w:rsidRPr="00E24FDA">
        <w:rPr>
          <w:b/>
          <w:bCs/>
          <w:lang w:val="ca-ES"/>
        </w:rPr>
        <w:t>roadside</w:t>
      </w:r>
      <w:proofErr w:type="spellEnd"/>
      <w:r w:rsidRPr="00E24FDA">
        <w:rPr>
          <w:b/>
          <w:bCs/>
          <w:lang w:val="ca-ES"/>
        </w:rPr>
        <w:t xml:space="preserve"> </w:t>
      </w:r>
      <w:proofErr w:type="spellStart"/>
      <w:r w:rsidRPr="00E24FDA">
        <w:rPr>
          <w:b/>
          <w:bCs/>
          <w:lang w:val="ca-ES"/>
        </w:rPr>
        <w:t>inspection</w:t>
      </w:r>
      <w:proofErr w:type="spellEnd"/>
      <w:r w:rsidRPr="00E24FDA">
        <w:rPr>
          <w:b/>
          <w:bCs/>
          <w:lang w:val="ca-ES"/>
        </w:rPr>
        <w:t xml:space="preserve">, </w:t>
      </w:r>
      <w:proofErr w:type="spellStart"/>
      <w:r w:rsidRPr="00E24FDA">
        <w:rPr>
          <w:b/>
          <w:bCs/>
          <w:lang w:val="ca-ES"/>
        </w:rPr>
        <w:t>without</w:t>
      </w:r>
      <w:proofErr w:type="spellEnd"/>
      <w:r w:rsidRPr="00E24FDA">
        <w:rPr>
          <w:b/>
          <w:bCs/>
          <w:lang w:val="ca-ES"/>
        </w:rPr>
        <w:t xml:space="preserve"> </w:t>
      </w:r>
      <w:proofErr w:type="spellStart"/>
      <w:r w:rsidRPr="00E24FDA">
        <w:rPr>
          <w:b/>
          <w:bCs/>
          <w:lang w:val="ca-ES"/>
        </w:rPr>
        <w:t>the</w:t>
      </w:r>
      <w:proofErr w:type="spellEnd"/>
      <w:r w:rsidRPr="00E24FDA">
        <w:rPr>
          <w:b/>
          <w:bCs/>
          <w:lang w:val="ca-ES"/>
        </w:rPr>
        <w:t xml:space="preserve"> </w:t>
      </w:r>
      <w:proofErr w:type="spellStart"/>
      <w:r w:rsidRPr="00E24FDA">
        <w:rPr>
          <w:b/>
          <w:bCs/>
          <w:lang w:val="ca-ES"/>
        </w:rPr>
        <w:t>need</w:t>
      </w:r>
      <w:proofErr w:type="spellEnd"/>
      <w:r w:rsidRPr="00E24FDA">
        <w:rPr>
          <w:b/>
          <w:bCs/>
          <w:lang w:val="ca-ES"/>
        </w:rPr>
        <w:t xml:space="preserve"> of any </w:t>
      </w:r>
      <w:proofErr w:type="spellStart"/>
      <w:r w:rsidRPr="00E24FDA">
        <w:rPr>
          <w:b/>
          <w:bCs/>
          <w:lang w:val="ca-ES"/>
        </w:rPr>
        <w:t>tool</w:t>
      </w:r>
      <w:proofErr w:type="spellEnd"/>
      <w:r w:rsidRPr="00E24FDA">
        <w:rPr>
          <w:b/>
          <w:bCs/>
          <w:lang w:val="ca-ES"/>
        </w:rPr>
        <w:t xml:space="preserve"> or </w:t>
      </w:r>
      <w:proofErr w:type="spellStart"/>
      <w:r w:rsidRPr="00E24FDA">
        <w:rPr>
          <w:b/>
          <w:bCs/>
          <w:lang w:val="ca-ES"/>
        </w:rPr>
        <w:t>device</w:t>
      </w:r>
      <w:proofErr w:type="spellEnd"/>
      <w:r w:rsidRPr="00E24FDA">
        <w:rPr>
          <w:b/>
          <w:bCs/>
          <w:lang w:val="ca-ES"/>
        </w:rPr>
        <w:t xml:space="preserve">. Any </w:t>
      </w:r>
      <w:proofErr w:type="spellStart"/>
      <w:r w:rsidRPr="00E24FDA">
        <w:rPr>
          <w:b/>
          <w:bCs/>
          <w:lang w:val="ca-ES"/>
        </w:rPr>
        <w:t>sequence</w:t>
      </w:r>
      <w:proofErr w:type="spellEnd"/>
      <w:r w:rsidRPr="00E24FDA">
        <w:rPr>
          <w:b/>
          <w:bCs/>
          <w:lang w:val="ca-ES"/>
        </w:rPr>
        <w:t xml:space="preserve"> of </w:t>
      </w:r>
      <w:proofErr w:type="spellStart"/>
      <w:r w:rsidRPr="00E24FDA">
        <w:rPr>
          <w:b/>
          <w:bCs/>
          <w:lang w:val="ca-ES"/>
        </w:rPr>
        <w:t>commands</w:t>
      </w:r>
      <w:proofErr w:type="spellEnd"/>
      <w:r w:rsidRPr="00E24FDA">
        <w:rPr>
          <w:b/>
          <w:bCs/>
          <w:lang w:val="ca-ES"/>
        </w:rPr>
        <w:t xml:space="preserve"> </w:t>
      </w:r>
      <w:proofErr w:type="spellStart"/>
      <w:r w:rsidRPr="00E24FDA">
        <w:rPr>
          <w:b/>
          <w:bCs/>
          <w:lang w:val="ca-ES"/>
        </w:rPr>
        <w:t>necessary</w:t>
      </w:r>
      <w:proofErr w:type="spellEnd"/>
      <w:r w:rsidRPr="00E24FDA">
        <w:rPr>
          <w:b/>
          <w:bCs/>
          <w:lang w:val="ca-ES"/>
        </w:rPr>
        <w:t xml:space="preserve"> to </w:t>
      </w:r>
      <w:proofErr w:type="spellStart"/>
      <w:r w:rsidRPr="00E24FDA">
        <w:rPr>
          <w:b/>
          <w:bCs/>
          <w:lang w:val="ca-ES"/>
        </w:rPr>
        <w:t>bring</w:t>
      </w:r>
      <w:proofErr w:type="spellEnd"/>
      <w:r w:rsidRPr="00E24FDA">
        <w:rPr>
          <w:b/>
          <w:bCs/>
          <w:lang w:val="ca-ES"/>
        </w:rPr>
        <w:t xml:space="preserve"> </w:t>
      </w:r>
      <w:proofErr w:type="spellStart"/>
      <w:r w:rsidRPr="00E24FDA">
        <w:rPr>
          <w:b/>
          <w:bCs/>
          <w:lang w:val="ca-ES"/>
        </w:rPr>
        <w:t>the</w:t>
      </w:r>
      <w:proofErr w:type="spellEnd"/>
      <w:r w:rsidRPr="00E24FDA">
        <w:rPr>
          <w:b/>
          <w:bCs/>
          <w:lang w:val="ca-ES"/>
        </w:rPr>
        <w:t xml:space="preserve"> </w:t>
      </w:r>
      <w:proofErr w:type="spellStart"/>
      <w:r w:rsidRPr="00E24FDA">
        <w:rPr>
          <w:b/>
          <w:bCs/>
          <w:lang w:val="ca-ES"/>
        </w:rPr>
        <w:t>engine</w:t>
      </w:r>
      <w:proofErr w:type="spellEnd"/>
      <w:r w:rsidRPr="00E24FDA">
        <w:rPr>
          <w:b/>
          <w:bCs/>
          <w:lang w:val="ca-ES"/>
        </w:rPr>
        <w:t xml:space="preserve"> to </w:t>
      </w:r>
      <w:proofErr w:type="spellStart"/>
      <w:r w:rsidRPr="00E24FDA">
        <w:rPr>
          <w:b/>
          <w:bCs/>
          <w:lang w:val="ca-ES"/>
        </w:rPr>
        <w:t>its</w:t>
      </w:r>
      <w:proofErr w:type="spellEnd"/>
      <w:r w:rsidRPr="00E24FDA">
        <w:rPr>
          <w:b/>
          <w:bCs/>
          <w:lang w:val="ca-ES"/>
        </w:rPr>
        <w:t xml:space="preserve"> </w:t>
      </w:r>
      <w:proofErr w:type="spellStart"/>
      <w:r w:rsidRPr="00E24FDA">
        <w:rPr>
          <w:b/>
          <w:bCs/>
          <w:lang w:val="ca-ES"/>
        </w:rPr>
        <w:t>maximum</w:t>
      </w:r>
      <w:proofErr w:type="spellEnd"/>
      <w:r w:rsidRPr="00E24FDA">
        <w:rPr>
          <w:b/>
          <w:bCs/>
          <w:lang w:val="ca-ES"/>
        </w:rPr>
        <w:t xml:space="preserve"> </w:t>
      </w:r>
      <w:proofErr w:type="spellStart"/>
      <w:r w:rsidRPr="00E24FDA">
        <w:rPr>
          <w:b/>
          <w:bCs/>
          <w:lang w:val="ca-ES"/>
        </w:rPr>
        <w:t>speed</w:t>
      </w:r>
      <w:proofErr w:type="spellEnd"/>
      <w:r w:rsidRPr="00E24FDA">
        <w:rPr>
          <w:b/>
          <w:bCs/>
          <w:lang w:val="ca-ES"/>
        </w:rPr>
        <w:t xml:space="preserve"> </w:t>
      </w:r>
      <w:proofErr w:type="spellStart"/>
      <w:r w:rsidRPr="00E24FDA">
        <w:rPr>
          <w:b/>
          <w:bCs/>
          <w:lang w:val="ca-ES"/>
        </w:rPr>
        <w:t>shall</w:t>
      </w:r>
      <w:proofErr w:type="spellEnd"/>
      <w:r w:rsidRPr="00E24FDA">
        <w:rPr>
          <w:b/>
          <w:bCs/>
          <w:lang w:val="ca-ES"/>
        </w:rPr>
        <w:t xml:space="preserve"> be </w:t>
      </w:r>
      <w:proofErr w:type="spellStart"/>
      <w:r w:rsidRPr="00E24FDA">
        <w:rPr>
          <w:b/>
          <w:bCs/>
          <w:lang w:val="ca-ES"/>
        </w:rPr>
        <w:t>indicated</w:t>
      </w:r>
      <w:proofErr w:type="spellEnd"/>
      <w:r w:rsidRPr="00E24FDA">
        <w:rPr>
          <w:b/>
          <w:bCs/>
          <w:lang w:val="ca-ES"/>
        </w:rPr>
        <w:t xml:space="preserve"> in </w:t>
      </w:r>
      <w:proofErr w:type="spellStart"/>
      <w:r w:rsidRPr="00E24FDA">
        <w:rPr>
          <w:b/>
          <w:bCs/>
          <w:lang w:val="ca-ES"/>
        </w:rPr>
        <w:t>the</w:t>
      </w:r>
      <w:proofErr w:type="spellEnd"/>
      <w:r w:rsidRPr="00E24FDA">
        <w:rPr>
          <w:b/>
          <w:bCs/>
          <w:lang w:val="ca-ES"/>
        </w:rPr>
        <w:t xml:space="preserve"> </w:t>
      </w:r>
      <w:proofErr w:type="spellStart"/>
      <w:r w:rsidRPr="00E24FDA">
        <w:rPr>
          <w:b/>
          <w:bCs/>
          <w:lang w:val="ca-ES"/>
        </w:rPr>
        <w:t>user</w:t>
      </w:r>
      <w:proofErr w:type="spellEnd"/>
      <w:r w:rsidRPr="00E24FDA">
        <w:rPr>
          <w:b/>
          <w:bCs/>
          <w:lang w:val="ca-ES"/>
        </w:rPr>
        <w:t xml:space="preserve"> manual.</w:t>
      </w:r>
      <w:r w:rsidRPr="00425990">
        <w:t>“</w:t>
      </w:r>
    </w:p>
    <w:p w14:paraId="2F3E47BC" w14:textId="77777777" w:rsidR="00A70975" w:rsidRPr="00425990" w:rsidRDefault="00A70975" w:rsidP="00A70975">
      <w:pPr>
        <w:pStyle w:val="SingleTxtG"/>
        <w:rPr>
          <w:i/>
          <w:iCs/>
        </w:rPr>
      </w:pPr>
    </w:p>
    <w:p w14:paraId="0F90449B" w14:textId="77777777" w:rsidR="0076431C" w:rsidRPr="00425990" w:rsidRDefault="0076431C" w:rsidP="0076431C">
      <w:pPr>
        <w:pStyle w:val="HChG"/>
        <w:tabs>
          <w:tab w:val="clear" w:pos="851"/>
        </w:tabs>
        <w:ind w:hanging="567"/>
      </w:pPr>
      <w:r w:rsidRPr="00425990">
        <w:rPr>
          <w:lang w:val="en-US"/>
        </w:rPr>
        <w:t>II.</w:t>
      </w:r>
      <w:r w:rsidRPr="00425990">
        <w:rPr>
          <w:lang w:val="en-US"/>
        </w:rPr>
        <w:tab/>
        <w:t>Justification</w:t>
      </w:r>
    </w:p>
    <w:p w14:paraId="2CA4A994" w14:textId="77777777" w:rsidR="00041ADD" w:rsidRPr="00425990" w:rsidRDefault="00FF6237" w:rsidP="0076431C">
      <w:pPr>
        <w:pStyle w:val="SingleTxtG"/>
        <w:rPr>
          <w:lang w:val="en-GB"/>
        </w:rPr>
      </w:pPr>
      <w:r w:rsidRPr="00425990">
        <w:rPr>
          <w:lang w:val="en-GB"/>
        </w:rPr>
        <w:t>T</w:t>
      </w:r>
      <w:r w:rsidR="00041ADD" w:rsidRPr="00425990">
        <w:rPr>
          <w:lang w:val="en-GB"/>
        </w:rPr>
        <w:t xml:space="preserve">o avoid tampering, it is necessary to have additional requirements for </w:t>
      </w:r>
      <w:r w:rsidRPr="00425990">
        <w:rPr>
          <w:lang w:val="en-GB"/>
        </w:rPr>
        <w:t xml:space="preserve">design </w:t>
      </w:r>
      <w:r w:rsidR="00041ADD" w:rsidRPr="00425990">
        <w:rPr>
          <w:lang w:val="en-GB"/>
        </w:rPr>
        <w:t>and behaviour of the systems.</w:t>
      </w:r>
    </w:p>
    <w:p w14:paraId="440A603E" w14:textId="03FC1E00" w:rsidR="00041ADD" w:rsidRPr="00425990" w:rsidRDefault="00041ADD" w:rsidP="0076431C">
      <w:pPr>
        <w:pStyle w:val="SingleTxtG"/>
        <w:rPr>
          <w:lang w:val="en-GB"/>
        </w:rPr>
      </w:pPr>
      <w:r w:rsidRPr="00425990">
        <w:rPr>
          <w:lang w:val="en-GB"/>
        </w:rPr>
        <w:t xml:space="preserve">To ensure that </w:t>
      </w:r>
      <w:r w:rsidR="00131107" w:rsidRPr="00425990">
        <w:rPr>
          <w:lang w:val="en-GB"/>
        </w:rPr>
        <w:t>tampering at</w:t>
      </w:r>
      <w:r w:rsidR="00FF6237" w:rsidRPr="00425990">
        <w:rPr>
          <w:lang w:val="en-GB"/>
        </w:rPr>
        <w:t xml:space="preserve"> </w:t>
      </w:r>
      <w:r w:rsidR="00346355" w:rsidRPr="00425990">
        <w:rPr>
          <w:lang w:val="en-GB"/>
        </w:rPr>
        <w:t>engines</w:t>
      </w:r>
      <w:r w:rsidRPr="00425990">
        <w:rPr>
          <w:lang w:val="en-GB"/>
        </w:rPr>
        <w:t xml:space="preserve"> </w:t>
      </w:r>
      <w:r w:rsidR="003D6B11" w:rsidRPr="00425990">
        <w:rPr>
          <w:lang w:val="en-GB"/>
        </w:rPr>
        <w:t xml:space="preserve">can be </w:t>
      </w:r>
      <w:r w:rsidR="00FF6237" w:rsidRPr="00425990">
        <w:rPr>
          <w:lang w:val="en-GB"/>
        </w:rPr>
        <w:t xml:space="preserve">detected </w:t>
      </w:r>
      <w:r w:rsidR="00346355" w:rsidRPr="00425990">
        <w:rPr>
          <w:lang w:val="en-GB"/>
        </w:rPr>
        <w:t xml:space="preserve">during </w:t>
      </w:r>
      <w:r w:rsidR="00D26AE1" w:rsidRPr="00425990">
        <w:rPr>
          <w:lang w:val="en-GB"/>
        </w:rPr>
        <w:t>lifetime</w:t>
      </w:r>
      <w:r w:rsidR="00346355" w:rsidRPr="00425990">
        <w:rPr>
          <w:lang w:val="en-GB"/>
        </w:rPr>
        <w:t xml:space="preserve">, e.g. </w:t>
      </w:r>
      <w:r w:rsidRPr="00425990">
        <w:rPr>
          <w:lang w:val="en-GB"/>
        </w:rPr>
        <w:t xml:space="preserve">in roadworthiness testing, it is necessary to provide additional requirements </w:t>
      </w:r>
      <w:r w:rsidR="00FF6237" w:rsidRPr="00425990">
        <w:rPr>
          <w:lang w:val="en-GB"/>
        </w:rPr>
        <w:t xml:space="preserve">for </w:t>
      </w:r>
      <w:r w:rsidRPr="00425990">
        <w:rPr>
          <w:lang w:val="en-GB"/>
        </w:rPr>
        <w:t>access to and information about the systems and its components.</w:t>
      </w:r>
    </w:p>
    <w:p w14:paraId="5D1AFD51" w14:textId="77777777" w:rsidR="00A70975" w:rsidRPr="00425990" w:rsidRDefault="00A70975" w:rsidP="0076431C">
      <w:pPr>
        <w:pStyle w:val="SingleTxtG"/>
        <w:rPr>
          <w:lang w:val="en-GB"/>
        </w:rPr>
      </w:pPr>
      <w:r w:rsidRPr="00425990">
        <w:rPr>
          <w:lang w:val="en-GB"/>
        </w:rPr>
        <w:t>A proposal of reference values regarding opacity, particle number and nitrogen oxides will be submitted in a later stage.</w:t>
      </w:r>
    </w:p>
    <w:p w14:paraId="6F75019C" w14:textId="77777777" w:rsidR="00041ADD" w:rsidRPr="00425990" w:rsidRDefault="00041ADD" w:rsidP="0076431C">
      <w:pPr>
        <w:pStyle w:val="SingleTxtG"/>
        <w:rPr>
          <w:lang w:val="en-GB"/>
        </w:rPr>
      </w:pPr>
    </w:p>
    <w:p w14:paraId="76CBC12B" w14:textId="77777777" w:rsidR="000E6538" w:rsidRPr="002E116F" w:rsidRDefault="00216B60" w:rsidP="00DC0977">
      <w:pPr>
        <w:pStyle w:val="SingleTxtG"/>
        <w:tabs>
          <w:tab w:val="left" w:pos="709"/>
        </w:tabs>
        <w:spacing w:after="0"/>
        <w:ind w:left="0"/>
        <w:jc w:val="center"/>
        <w:rPr>
          <w:sz w:val="24"/>
          <w:szCs w:val="24"/>
          <w:lang w:val="en-GB"/>
        </w:rPr>
      </w:pPr>
      <w:r w:rsidRPr="00425990">
        <w:rPr>
          <w:sz w:val="24"/>
          <w:szCs w:val="24"/>
          <w:lang w:val="en-GB"/>
        </w:rPr>
        <w:t>________</w:t>
      </w:r>
    </w:p>
    <w:p w14:paraId="01BE8670" w14:textId="77777777" w:rsidR="000E6538" w:rsidRPr="002E116F" w:rsidRDefault="000E6538" w:rsidP="00216B60">
      <w:pPr>
        <w:pStyle w:val="SingleTxtG"/>
        <w:tabs>
          <w:tab w:val="left" w:pos="709"/>
        </w:tabs>
        <w:spacing w:after="0"/>
        <w:ind w:left="0"/>
        <w:jc w:val="center"/>
        <w:rPr>
          <w:sz w:val="24"/>
          <w:szCs w:val="24"/>
          <w:lang w:val="en-GB"/>
        </w:rPr>
      </w:pPr>
    </w:p>
    <w:sectPr w:rsidR="000E6538" w:rsidRPr="002E116F" w:rsidSect="00E71A31">
      <w:footerReference w:type="default" r:id="rId7"/>
      <w:headerReference w:type="first" r:id="rId8"/>
      <w:footerReference w:type="first" r:id="rId9"/>
      <w:pgSz w:w="12240" w:h="15840"/>
      <w:pgMar w:top="1276" w:right="1440" w:bottom="1440" w:left="1440" w:header="720" w:footer="4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8F9F6" w14:textId="77777777" w:rsidR="00F53006" w:rsidRDefault="00F53006" w:rsidP="00F03B82">
      <w:pPr>
        <w:spacing w:after="0" w:line="240" w:lineRule="auto"/>
      </w:pPr>
      <w:r>
        <w:separator/>
      </w:r>
    </w:p>
  </w:endnote>
  <w:endnote w:type="continuationSeparator" w:id="0">
    <w:p w14:paraId="6690EC81" w14:textId="77777777" w:rsidR="00F53006" w:rsidRDefault="00F53006" w:rsidP="00F0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F5AB5" w14:textId="51CB6733" w:rsidR="003D5775" w:rsidRDefault="003D5775">
    <w:pPr>
      <w:pStyle w:val="Footer"/>
      <w:jc w:val="center"/>
    </w:pPr>
    <w:r>
      <w:fldChar w:fldCharType="begin"/>
    </w:r>
    <w:r>
      <w:instrText xml:space="preserve"> PAGE   \* MERGEFORMAT </w:instrText>
    </w:r>
    <w:r>
      <w:fldChar w:fldCharType="separate"/>
    </w:r>
    <w:r w:rsidR="00A1440A">
      <w:rPr>
        <w:noProof/>
      </w:rPr>
      <w:t>3</w:t>
    </w:r>
    <w:r>
      <w:rPr>
        <w:noProof/>
      </w:rPr>
      <w:fldChar w:fldCharType="end"/>
    </w:r>
    <w:r>
      <w:rPr>
        <w:noProof/>
      </w:rPr>
      <w:t>/</w:t>
    </w:r>
    <w:r w:rsidR="00600034">
      <w:rPr>
        <w:noProof/>
      </w:rPr>
      <w:fldChar w:fldCharType="begin"/>
    </w:r>
    <w:r w:rsidR="00600034">
      <w:rPr>
        <w:noProof/>
      </w:rPr>
      <w:instrText xml:space="preserve"> NUMPAGES   \* MERGEFORMAT </w:instrText>
    </w:r>
    <w:r w:rsidR="00600034">
      <w:rPr>
        <w:noProof/>
      </w:rPr>
      <w:fldChar w:fldCharType="separate"/>
    </w:r>
    <w:r w:rsidR="00A1440A">
      <w:rPr>
        <w:noProof/>
      </w:rPr>
      <w:t>3</w:t>
    </w:r>
    <w:r w:rsidR="00600034">
      <w:rPr>
        <w:noProof/>
      </w:rPr>
      <w:fldChar w:fldCharType="end"/>
    </w:r>
  </w:p>
  <w:p w14:paraId="72178DFE" w14:textId="77777777" w:rsidR="003D5775" w:rsidRDefault="003D5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84AC5" w14:textId="7520D5FB" w:rsidR="003D5775" w:rsidRDefault="003D5775" w:rsidP="00E71A31">
    <w:pPr>
      <w:pStyle w:val="Footer"/>
      <w:jc w:val="center"/>
    </w:pPr>
    <w:r>
      <w:fldChar w:fldCharType="begin"/>
    </w:r>
    <w:r>
      <w:instrText xml:space="preserve"> PAGE   \* MERGEFORMAT </w:instrText>
    </w:r>
    <w:r>
      <w:fldChar w:fldCharType="separate"/>
    </w:r>
    <w:r w:rsidR="00A1440A">
      <w:rPr>
        <w:noProof/>
      </w:rPr>
      <w:t>1</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A1440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A3DBD" w14:textId="77777777" w:rsidR="00F53006" w:rsidRDefault="00F53006" w:rsidP="00F03B82">
      <w:pPr>
        <w:spacing w:after="0" w:line="240" w:lineRule="auto"/>
      </w:pPr>
      <w:r>
        <w:separator/>
      </w:r>
    </w:p>
  </w:footnote>
  <w:footnote w:type="continuationSeparator" w:id="0">
    <w:p w14:paraId="7A41969F" w14:textId="77777777" w:rsidR="00F53006" w:rsidRDefault="00F53006" w:rsidP="00F03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8" w:type="dxa"/>
      <w:tblLook w:val="04A0" w:firstRow="1" w:lastRow="0" w:firstColumn="1" w:lastColumn="0" w:noHBand="0" w:noVBand="1"/>
    </w:tblPr>
    <w:tblGrid>
      <w:gridCol w:w="5670"/>
      <w:gridCol w:w="3118"/>
    </w:tblGrid>
    <w:tr w:rsidR="0076431C" w:rsidRPr="0076431C" w14:paraId="6F22A472" w14:textId="77777777" w:rsidTr="0076431C">
      <w:tc>
        <w:tcPr>
          <w:tcW w:w="5670" w:type="dxa"/>
          <w:tcBorders>
            <w:top w:val="nil"/>
            <w:left w:val="nil"/>
            <w:bottom w:val="nil"/>
            <w:right w:val="nil"/>
          </w:tcBorders>
        </w:tcPr>
        <w:p w14:paraId="3BDC1C7B" w14:textId="77777777" w:rsidR="0076431C" w:rsidRPr="00A70975" w:rsidRDefault="0076431C" w:rsidP="0076431C">
          <w:pPr>
            <w:pStyle w:val="Header"/>
            <w:suppressAutoHyphens w:val="0"/>
            <w:rPr>
              <w:sz w:val="18"/>
              <w:szCs w:val="18"/>
              <w:lang w:val="en-GB"/>
            </w:rPr>
          </w:pPr>
          <w:r w:rsidRPr="00A70975">
            <w:rPr>
              <w:sz w:val="18"/>
              <w:szCs w:val="18"/>
              <w:lang w:val="en-GB"/>
            </w:rPr>
            <w:t>Note by the expert from CITA</w:t>
          </w:r>
        </w:p>
      </w:tc>
      <w:tc>
        <w:tcPr>
          <w:tcW w:w="3118" w:type="dxa"/>
          <w:tcBorders>
            <w:top w:val="nil"/>
            <w:left w:val="nil"/>
            <w:bottom w:val="nil"/>
            <w:right w:val="nil"/>
          </w:tcBorders>
        </w:tcPr>
        <w:p w14:paraId="063D755A" w14:textId="7296C4F8" w:rsidR="0076431C" w:rsidRPr="00425990" w:rsidRDefault="0076431C" w:rsidP="0076431C">
          <w:pPr>
            <w:pStyle w:val="Header"/>
            <w:suppressAutoHyphens w:val="0"/>
            <w:rPr>
              <w:b/>
              <w:sz w:val="18"/>
              <w:szCs w:val="18"/>
              <w:lang w:val="en-GB"/>
            </w:rPr>
          </w:pPr>
          <w:r w:rsidRPr="00425990">
            <w:rPr>
              <w:sz w:val="18"/>
              <w:szCs w:val="18"/>
              <w:u w:val="single"/>
              <w:lang w:val="en-GB"/>
            </w:rPr>
            <w:t>Informal document</w:t>
          </w:r>
          <w:r w:rsidRPr="00425990">
            <w:rPr>
              <w:sz w:val="18"/>
              <w:szCs w:val="18"/>
              <w:lang w:val="en-GB"/>
            </w:rPr>
            <w:t xml:space="preserve"> </w:t>
          </w:r>
          <w:r w:rsidRPr="00425990">
            <w:rPr>
              <w:b/>
              <w:sz w:val="18"/>
              <w:szCs w:val="18"/>
              <w:lang w:val="en-GB"/>
            </w:rPr>
            <w:t>GRPE-</w:t>
          </w:r>
          <w:r w:rsidR="00A70975" w:rsidRPr="00425990">
            <w:rPr>
              <w:b/>
              <w:sz w:val="18"/>
              <w:szCs w:val="18"/>
              <w:lang w:val="en-GB"/>
            </w:rPr>
            <w:t>80</w:t>
          </w:r>
          <w:r w:rsidRPr="00425990">
            <w:rPr>
              <w:b/>
              <w:sz w:val="18"/>
              <w:szCs w:val="18"/>
              <w:lang w:val="en-GB"/>
            </w:rPr>
            <w:t>-</w:t>
          </w:r>
          <w:r w:rsidR="00E24FDA">
            <w:rPr>
              <w:b/>
              <w:sz w:val="18"/>
              <w:szCs w:val="18"/>
              <w:lang w:val="en-GB"/>
            </w:rPr>
            <w:t>11</w:t>
          </w:r>
        </w:p>
        <w:p w14:paraId="7ECBA8ED" w14:textId="7AB5482C" w:rsidR="0076431C" w:rsidRPr="00425990" w:rsidRDefault="00A70975" w:rsidP="0076431C">
          <w:pPr>
            <w:pStyle w:val="Header"/>
            <w:suppressAutoHyphens w:val="0"/>
            <w:rPr>
              <w:sz w:val="18"/>
              <w:szCs w:val="18"/>
              <w:lang w:val="en-GB"/>
            </w:rPr>
          </w:pPr>
          <w:r w:rsidRPr="00425990">
            <w:rPr>
              <w:sz w:val="18"/>
              <w:szCs w:val="18"/>
              <w:lang w:val="en-GB"/>
            </w:rPr>
            <w:t>80</w:t>
          </w:r>
          <w:r w:rsidRPr="00425990">
            <w:rPr>
              <w:sz w:val="18"/>
              <w:szCs w:val="18"/>
              <w:vertAlign w:val="superscript"/>
              <w:lang w:val="en-GB"/>
            </w:rPr>
            <w:t>th</w:t>
          </w:r>
          <w:r w:rsidRPr="00425990">
            <w:rPr>
              <w:sz w:val="18"/>
              <w:szCs w:val="18"/>
              <w:lang w:val="en-GB"/>
            </w:rPr>
            <w:t xml:space="preserve"> </w:t>
          </w:r>
          <w:r w:rsidR="0076431C" w:rsidRPr="00425990">
            <w:rPr>
              <w:sz w:val="18"/>
              <w:szCs w:val="18"/>
              <w:lang w:val="en-GB"/>
            </w:rPr>
            <w:t xml:space="preserve">GRPE, </w:t>
          </w:r>
          <w:r w:rsidRPr="00425990">
            <w:rPr>
              <w:sz w:val="18"/>
              <w:szCs w:val="18"/>
              <w:lang w:val="en-GB"/>
            </w:rPr>
            <w:t>14-17 January 2020</w:t>
          </w:r>
        </w:p>
        <w:p w14:paraId="661C84E1" w14:textId="75FB3B0F" w:rsidR="0076431C" w:rsidRPr="0076431C" w:rsidRDefault="0076431C" w:rsidP="0076431C">
          <w:pPr>
            <w:pStyle w:val="Header"/>
            <w:suppressAutoHyphens w:val="0"/>
            <w:rPr>
              <w:sz w:val="18"/>
              <w:szCs w:val="18"/>
              <w:lang w:val="en-GB"/>
            </w:rPr>
          </w:pPr>
          <w:r w:rsidRPr="00425990">
            <w:rPr>
              <w:sz w:val="18"/>
              <w:szCs w:val="18"/>
              <w:lang w:val="en-GB"/>
            </w:rPr>
            <w:t xml:space="preserve">Agenda item </w:t>
          </w:r>
          <w:r w:rsidR="00E24FDA">
            <w:rPr>
              <w:sz w:val="18"/>
              <w:szCs w:val="18"/>
              <w:lang w:val="en-GB"/>
            </w:rPr>
            <w:t>5</w:t>
          </w:r>
        </w:p>
      </w:tc>
    </w:tr>
  </w:tbl>
  <w:p w14:paraId="1F0B9B28" w14:textId="77777777" w:rsidR="003D5775" w:rsidRPr="0076431C" w:rsidRDefault="003D5775">
    <w:pPr>
      <w:pStyle w:val="Header"/>
      <w:rPr>
        <w:rFonts w:ascii="Times New Roman" w:hAnsi="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C0D04"/>
    <w:multiLevelType w:val="hybridMultilevel"/>
    <w:tmpl w:val="1688AA10"/>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F1A1319"/>
    <w:multiLevelType w:val="hybridMultilevel"/>
    <w:tmpl w:val="CC883A72"/>
    <w:lvl w:ilvl="0" w:tplc="351CE0BA">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143914FD"/>
    <w:multiLevelType w:val="hybridMultilevel"/>
    <w:tmpl w:val="B826191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229E42E6"/>
    <w:multiLevelType w:val="hybridMultilevel"/>
    <w:tmpl w:val="C7520780"/>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57C43C3"/>
    <w:multiLevelType w:val="hybridMultilevel"/>
    <w:tmpl w:val="C13C9AC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28672593"/>
    <w:multiLevelType w:val="multilevel"/>
    <w:tmpl w:val="4AA8A2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E14D80"/>
    <w:multiLevelType w:val="hybridMultilevel"/>
    <w:tmpl w:val="D002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53538"/>
    <w:multiLevelType w:val="hybridMultilevel"/>
    <w:tmpl w:val="92C403D6"/>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35AB1ABA"/>
    <w:multiLevelType w:val="hybridMultilevel"/>
    <w:tmpl w:val="19B69990"/>
    <w:lvl w:ilvl="0" w:tplc="08090001">
      <w:numFmt w:val="bullet"/>
      <w:lvlText w:val=""/>
      <w:lvlJc w:val="left"/>
      <w:pPr>
        <w:ind w:left="720" w:hanging="360"/>
      </w:pPr>
      <w:rPr>
        <w:rFonts w:ascii="Symbol" w:eastAsia="Times New Roman" w:hAnsi="Symbol" w:cs="Times New Roman" w:hint="default"/>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14438"/>
    <w:multiLevelType w:val="hybridMultilevel"/>
    <w:tmpl w:val="C9B2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E3BCC"/>
    <w:multiLevelType w:val="hybridMultilevel"/>
    <w:tmpl w:val="8590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DE608B"/>
    <w:multiLevelType w:val="hybridMultilevel"/>
    <w:tmpl w:val="E4D6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6757D"/>
    <w:multiLevelType w:val="multilevel"/>
    <w:tmpl w:val="18F6F38C"/>
    <w:lvl w:ilvl="0">
      <w:start w:val="6"/>
      <w:numFmt w:val="decimal"/>
      <w:lvlText w:val="%1."/>
      <w:lvlJc w:val="left"/>
      <w:pPr>
        <w:ind w:left="408" w:hanging="408"/>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992" w:hanging="2160"/>
      </w:pPr>
      <w:rPr>
        <w:rFonts w:hint="default"/>
      </w:rPr>
    </w:lvl>
  </w:abstractNum>
  <w:abstractNum w:abstractNumId="13" w15:restartNumberingAfterBreak="0">
    <w:nsid w:val="439F7973"/>
    <w:multiLevelType w:val="multilevel"/>
    <w:tmpl w:val="0E041434"/>
    <w:lvl w:ilvl="0">
      <w:start w:val="5"/>
      <w:numFmt w:val="decimal"/>
      <w:lvlText w:val="%1."/>
      <w:lvlJc w:val="left"/>
      <w:pPr>
        <w:ind w:left="408" w:hanging="408"/>
      </w:pPr>
      <w:rPr>
        <w:rFonts w:hint="default"/>
        <w:color w:val="4C4845"/>
      </w:rPr>
    </w:lvl>
    <w:lvl w:ilvl="1">
      <w:start w:val="1"/>
      <w:numFmt w:val="decimal"/>
      <w:lvlText w:val="%1.%2."/>
      <w:lvlJc w:val="left"/>
      <w:pPr>
        <w:ind w:left="1854" w:hanging="720"/>
      </w:pPr>
      <w:rPr>
        <w:rFonts w:hint="default"/>
        <w:color w:val="4C4845"/>
      </w:rPr>
    </w:lvl>
    <w:lvl w:ilvl="2">
      <w:start w:val="1"/>
      <w:numFmt w:val="decimal"/>
      <w:lvlText w:val="%1.%2.%3."/>
      <w:lvlJc w:val="left"/>
      <w:pPr>
        <w:ind w:left="2988" w:hanging="720"/>
      </w:pPr>
      <w:rPr>
        <w:rFonts w:hint="default"/>
        <w:color w:val="4C4845"/>
      </w:rPr>
    </w:lvl>
    <w:lvl w:ilvl="3">
      <w:start w:val="1"/>
      <w:numFmt w:val="decimal"/>
      <w:lvlText w:val="%1.%2.%3.%4."/>
      <w:lvlJc w:val="left"/>
      <w:pPr>
        <w:ind w:left="4482" w:hanging="1080"/>
      </w:pPr>
      <w:rPr>
        <w:rFonts w:hint="default"/>
        <w:color w:val="4C4845"/>
      </w:rPr>
    </w:lvl>
    <w:lvl w:ilvl="4">
      <w:start w:val="1"/>
      <w:numFmt w:val="decimal"/>
      <w:lvlText w:val="%1.%2.%3.%4.%5."/>
      <w:lvlJc w:val="left"/>
      <w:pPr>
        <w:ind w:left="5616" w:hanging="1080"/>
      </w:pPr>
      <w:rPr>
        <w:rFonts w:hint="default"/>
        <w:color w:val="4C4845"/>
      </w:rPr>
    </w:lvl>
    <w:lvl w:ilvl="5">
      <w:start w:val="1"/>
      <w:numFmt w:val="decimal"/>
      <w:lvlText w:val="%1.%2.%3.%4.%5.%6."/>
      <w:lvlJc w:val="left"/>
      <w:pPr>
        <w:ind w:left="7110" w:hanging="1440"/>
      </w:pPr>
      <w:rPr>
        <w:rFonts w:hint="default"/>
        <w:color w:val="4C4845"/>
      </w:rPr>
    </w:lvl>
    <w:lvl w:ilvl="6">
      <w:start w:val="1"/>
      <w:numFmt w:val="decimal"/>
      <w:lvlText w:val="%1.%2.%3.%4.%5.%6.%7."/>
      <w:lvlJc w:val="left"/>
      <w:pPr>
        <w:ind w:left="8604" w:hanging="1800"/>
      </w:pPr>
      <w:rPr>
        <w:rFonts w:hint="default"/>
        <w:color w:val="4C4845"/>
      </w:rPr>
    </w:lvl>
    <w:lvl w:ilvl="7">
      <w:start w:val="1"/>
      <w:numFmt w:val="decimal"/>
      <w:lvlText w:val="%1.%2.%3.%4.%5.%6.%7.%8."/>
      <w:lvlJc w:val="left"/>
      <w:pPr>
        <w:ind w:left="9738" w:hanging="1800"/>
      </w:pPr>
      <w:rPr>
        <w:rFonts w:hint="default"/>
        <w:color w:val="4C4845"/>
      </w:rPr>
    </w:lvl>
    <w:lvl w:ilvl="8">
      <w:start w:val="1"/>
      <w:numFmt w:val="decimal"/>
      <w:lvlText w:val="%1.%2.%3.%4.%5.%6.%7.%8.%9."/>
      <w:lvlJc w:val="left"/>
      <w:pPr>
        <w:ind w:left="11232" w:hanging="2160"/>
      </w:pPr>
      <w:rPr>
        <w:rFonts w:hint="default"/>
        <w:color w:val="4C4845"/>
      </w:rPr>
    </w:lvl>
  </w:abstractNum>
  <w:abstractNum w:abstractNumId="14" w15:restartNumberingAfterBreak="0">
    <w:nsid w:val="5D4C09D8"/>
    <w:multiLevelType w:val="hybridMultilevel"/>
    <w:tmpl w:val="A1BAD5B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5E7E622B"/>
    <w:multiLevelType w:val="multilevel"/>
    <w:tmpl w:val="B9B8759A"/>
    <w:lvl w:ilvl="0">
      <w:start w:val="6"/>
      <w:numFmt w:val="decimal"/>
      <w:lvlText w:val="%1."/>
      <w:lvlJc w:val="left"/>
      <w:pPr>
        <w:ind w:left="408" w:hanging="408"/>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992" w:hanging="2160"/>
      </w:pPr>
      <w:rPr>
        <w:rFonts w:hint="default"/>
      </w:rPr>
    </w:lvl>
  </w:abstractNum>
  <w:abstractNum w:abstractNumId="16" w15:restartNumberingAfterBreak="0">
    <w:nsid w:val="689B6039"/>
    <w:multiLevelType w:val="multilevel"/>
    <w:tmpl w:val="4BC6420E"/>
    <w:lvl w:ilvl="0">
      <w:start w:val="7"/>
      <w:numFmt w:val="decimal"/>
      <w:lvlText w:val="%1."/>
      <w:lvlJc w:val="left"/>
      <w:pPr>
        <w:ind w:left="408" w:hanging="408"/>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7" w15:restartNumberingAfterBreak="0">
    <w:nsid w:val="72FC0A83"/>
    <w:multiLevelType w:val="hybridMultilevel"/>
    <w:tmpl w:val="E734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
  </w:num>
  <w:num w:numId="4">
    <w:abstractNumId w:val="1"/>
  </w:num>
  <w:num w:numId="5">
    <w:abstractNumId w:val="0"/>
  </w:num>
  <w:num w:numId="6">
    <w:abstractNumId w:val="7"/>
  </w:num>
  <w:num w:numId="7">
    <w:abstractNumId w:val="4"/>
  </w:num>
  <w:num w:numId="8">
    <w:abstractNumId w:val="13"/>
  </w:num>
  <w:num w:numId="9">
    <w:abstractNumId w:val="12"/>
  </w:num>
  <w:num w:numId="10">
    <w:abstractNumId w:val="15"/>
  </w:num>
  <w:num w:numId="11">
    <w:abstractNumId w:val="16"/>
  </w:num>
  <w:num w:numId="12">
    <w:abstractNumId w:val="5"/>
  </w:num>
  <w:num w:numId="13">
    <w:abstractNumId w:val="10"/>
  </w:num>
  <w:num w:numId="14">
    <w:abstractNumId w:val="9"/>
  </w:num>
  <w:num w:numId="15">
    <w:abstractNumId w:val="17"/>
  </w:num>
  <w:num w:numId="16">
    <w:abstractNumId w:val="11"/>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wsDCyNDeyNDI2NTNQ0lEKTi0uzszPAykwrwUAejhP9iwAAAA="/>
  </w:docVars>
  <w:rsids>
    <w:rsidRoot w:val="00A677DC"/>
    <w:rsid w:val="000028B3"/>
    <w:rsid w:val="00005A2F"/>
    <w:rsid w:val="00016BEA"/>
    <w:rsid w:val="00024B1C"/>
    <w:rsid w:val="00041ADD"/>
    <w:rsid w:val="00050E21"/>
    <w:rsid w:val="00051324"/>
    <w:rsid w:val="000525A4"/>
    <w:rsid w:val="00053BB4"/>
    <w:rsid w:val="000734E7"/>
    <w:rsid w:val="00096565"/>
    <w:rsid w:val="000973E6"/>
    <w:rsid w:val="000C1FFC"/>
    <w:rsid w:val="000D0D62"/>
    <w:rsid w:val="000E6407"/>
    <w:rsid w:val="000E6538"/>
    <w:rsid w:val="000F60C2"/>
    <w:rsid w:val="00107131"/>
    <w:rsid w:val="0013021B"/>
    <w:rsid w:val="00131107"/>
    <w:rsid w:val="00141787"/>
    <w:rsid w:val="00161C46"/>
    <w:rsid w:val="001702CE"/>
    <w:rsid w:val="001840AC"/>
    <w:rsid w:val="001A2DF7"/>
    <w:rsid w:val="001A4200"/>
    <w:rsid w:val="001B5A30"/>
    <w:rsid w:val="001B5C5D"/>
    <w:rsid w:val="001C2E41"/>
    <w:rsid w:val="001C3B64"/>
    <w:rsid w:val="001F029F"/>
    <w:rsid w:val="0020440F"/>
    <w:rsid w:val="00204E2F"/>
    <w:rsid w:val="0021613F"/>
    <w:rsid w:val="00216B60"/>
    <w:rsid w:val="0022091B"/>
    <w:rsid w:val="002467E7"/>
    <w:rsid w:val="00254BA5"/>
    <w:rsid w:val="002839CA"/>
    <w:rsid w:val="00292154"/>
    <w:rsid w:val="002930A4"/>
    <w:rsid w:val="002A1A77"/>
    <w:rsid w:val="002A2CB5"/>
    <w:rsid w:val="002A465D"/>
    <w:rsid w:val="002A77B0"/>
    <w:rsid w:val="002C7923"/>
    <w:rsid w:val="002D794F"/>
    <w:rsid w:val="002E116F"/>
    <w:rsid w:val="002E6C13"/>
    <w:rsid w:val="002F37C2"/>
    <w:rsid w:val="003210BA"/>
    <w:rsid w:val="00324EF2"/>
    <w:rsid w:val="0033110F"/>
    <w:rsid w:val="00337D12"/>
    <w:rsid w:val="003424B1"/>
    <w:rsid w:val="0034322B"/>
    <w:rsid w:val="00346355"/>
    <w:rsid w:val="00347502"/>
    <w:rsid w:val="003568EB"/>
    <w:rsid w:val="00357870"/>
    <w:rsid w:val="00371BBC"/>
    <w:rsid w:val="003A0694"/>
    <w:rsid w:val="003B1FC9"/>
    <w:rsid w:val="003B2AAF"/>
    <w:rsid w:val="003D271D"/>
    <w:rsid w:val="003D3278"/>
    <w:rsid w:val="003D5775"/>
    <w:rsid w:val="003D6B11"/>
    <w:rsid w:val="003D786F"/>
    <w:rsid w:val="003E13CE"/>
    <w:rsid w:val="003E6093"/>
    <w:rsid w:val="003F07F3"/>
    <w:rsid w:val="003F2FF1"/>
    <w:rsid w:val="004003FA"/>
    <w:rsid w:val="00402B0A"/>
    <w:rsid w:val="00406DD6"/>
    <w:rsid w:val="00412DAF"/>
    <w:rsid w:val="00417695"/>
    <w:rsid w:val="00425990"/>
    <w:rsid w:val="00434D8F"/>
    <w:rsid w:val="004543E4"/>
    <w:rsid w:val="00457B3E"/>
    <w:rsid w:val="00466A8A"/>
    <w:rsid w:val="00475286"/>
    <w:rsid w:val="0047640E"/>
    <w:rsid w:val="0048087A"/>
    <w:rsid w:val="004831F2"/>
    <w:rsid w:val="00486174"/>
    <w:rsid w:val="004C5746"/>
    <w:rsid w:val="004C6440"/>
    <w:rsid w:val="0050464F"/>
    <w:rsid w:val="00544E91"/>
    <w:rsid w:val="00547F19"/>
    <w:rsid w:val="00552696"/>
    <w:rsid w:val="00553153"/>
    <w:rsid w:val="005753B7"/>
    <w:rsid w:val="00592C37"/>
    <w:rsid w:val="005A0E04"/>
    <w:rsid w:val="005B1F7B"/>
    <w:rsid w:val="005B2B97"/>
    <w:rsid w:val="005B5120"/>
    <w:rsid w:val="005C4C11"/>
    <w:rsid w:val="005C6D9F"/>
    <w:rsid w:val="005D52C6"/>
    <w:rsid w:val="005D5952"/>
    <w:rsid w:val="005D7F9C"/>
    <w:rsid w:val="005F49E5"/>
    <w:rsid w:val="00600034"/>
    <w:rsid w:val="00604269"/>
    <w:rsid w:val="00606C31"/>
    <w:rsid w:val="0062260E"/>
    <w:rsid w:val="00644CC0"/>
    <w:rsid w:val="00647C62"/>
    <w:rsid w:val="006508EC"/>
    <w:rsid w:val="00666841"/>
    <w:rsid w:val="00677236"/>
    <w:rsid w:val="00692FA8"/>
    <w:rsid w:val="006A2C31"/>
    <w:rsid w:val="006B00C7"/>
    <w:rsid w:val="006C2573"/>
    <w:rsid w:val="006C36C2"/>
    <w:rsid w:val="006D4839"/>
    <w:rsid w:val="006F0DAA"/>
    <w:rsid w:val="00704562"/>
    <w:rsid w:val="0071190C"/>
    <w:rsid w:val="00724A61"/>
    <w:rsid w:val="00732385"/>
    <w:rsid w:val="0074063A"/>
    <w:rsid w:val="00740CA8"/>
    <w:rsid w:val="00742323"/>
    <w:rsid w:val="007429EE"/>
    <w:rsid w:val="00747994"/>
    <w:rsid w:val="0075701F"/>
    <w:rsid w:val="0076431C"/>
    <w:rsid w:val="00783FAE"/>
    <w:rsid w:val="007B63F1"/>
    <w:rsid w:val="007C3F99"/>
    <w:rsid w:val="007C498D"/>
    <w:rsid w:val="00811859"/>
    <w:rsid w:val="00813F7A"/>
    <w:rsid w:val="008219F0"/>
    <w:rsid w:val="008271DB"/>
    <w:rsid w:val="00840262"/>
    <w:rsid w:val="0084059C"/>
    <w:rsid w:val="0085003D"/>
    <w:rsid w:val="008509C8"/>
    <w:rsid w:val="00877A07"/>
    <w:rsid w:val="008838E9"/>
    <w:rsid w:val="00890F0E"/>
    <w:rsid w:val="008B531D"/>
    <w:rsid w:val="008C2FFA"/>
    <w:rsid w:val="008C6BD9"/>
    <w:rsid w:val="008F7670"/>
    <w:rsid w:val="00910B80"/>
    <w:rsid w:val="009117F2"/>
    <w:rsid w:val="00913783"/>
    <w:rsid w:val="009159CD"/>
    <w:rsid w:val="00931FDA"/>
    <w:rsid w:val="00937714"/>
    <w:rsid w:val="0095032B"/>
    <w:rsid w:val="009634A1"/>
    <w:rsid w:val="00970660"/>
    <w:rsid w:val="009745A9"/>
    <w:rsid w:val="009956E8"/>
    <w:rsid w:val="009A0F52"/>
    <w:rsid w:val="009A52D0"/>
    <w:rsid w:val="009A5DDD"/>
    <w:rsid w:val="009B62FD"/>
    <w:rsid w:val="009D2EB4"/>
    <w:rsid w:val="009D504E"/>
    <w:rsid w:val="009E1611"/>
    <w:rsid w:val="009F1270"/>
    <w:rsid w:val="009F51FD"/>
    <w:rsid w:val="00A05958"/>
    <w:rsid w:val="00A1440A"/>
    <w:rsid w:val="00A17E0A"/>
    <w:rsid w:val="00A23575"/>
    <w:rsid w:val="00A23824"/>
    <w:rsid w:val="00A26A1B"/>
    <w:rsid w:val="00A46362"/>
    <w:rsid w:val="00A51E81"/>
    <w:rsid w:val="00A60474"/>
    <w:rsid w:val="00A677DC"/>
    <w:rsid w:val="00A70975"/>
    <w:rsid w:val="00A749E7"/>
    <w:rsid w:val="00AA29B3"/>
    <w:rsid w:val="00AB303A"/>
    <w:rsid w:val="00AE0B63"/>
    <w:rsid w:val="00AF23D7"/>
    <w:rsid w:val="00AF3D7D"/>
    <w:rsid w:val="00B00D51"/>
    <w:rsid w:val="00B36E09"/>
    <w:rsid w:val="00B418E8"/>
    <w:rsid w:val="00B54748"/>
    <w:rsid w:val="00B7040D"/>
    <w:rsid w:val="00B74E07"/>
    <w:rsid w:val="00B81EE9"/>
    <w:rsid w:val="00BA4394"/>
    <w:rsid w:val="00BB0A99"/>
    <w:rsid w:val="00BB4626"/>
    <w:rsid w:val="00C317E8"/>
    <w:rsid w:val="00C32BD6"/>
    <w:rsid w:val="00C36D74"/>
    <w:rsid w:val="00C47489"/>
    <w:rsid w:val="00C53D0D"/>
    <w:rsid w:val="00C73EFF"/>
    <w:rsid w:val="00C83548"/>
    <w:rsid w:val="00C92976"/>
    <w:rsid w:val="00CB3043"/>
    <w:rsid w:val="00CC2A76"/>
    <w:rsid w:val="00CD4850"/>
    <w:rsid w:val="00CE373B"/>
    <w:rsid w:val="00CE3B1D"/>
    <w:rsid w:val="00CE4D42"/>
    <w:rsid w:val="00CE616A"/>
    <w:rsid w:val="00CF15FA"/>
    <w:rsid w:val="00CF2634"/>
    <w:rsid w:val="00CF5B54"/>
    <w:rsid w:val="00D02123"/>
    <w:rsid w:val="00D10EF5"/>
    <w:rsid w:val="00D13F91"/>
    <w:rsid w:val="00D26AE1"/>
    <w:rsid w:val="00D44916"/>
    <w:rsid w:val="00D74702"/>
    <w:rsid w:val="00D8022B"/>
    <w:rsid w:val="00D86C2E"/>
    <w:rsid w:val="00D90D59"/>
    <w:rsid w:val="00D95D8C"/>
    <w:rsid w:val="00DA0FF8"/>
    <w:rsid w:val="00DA6D8A"/>
    <w:rsid w:val="00DB40E1"/>
    <w:rsid w:val="00DC0977"/>
    <w:rsid w:val="00DC09C6"/>
    <w:rsid w:val="00DC32E2"/>
    <w:rsid w:val="00DC551C"/>
    <w:rsid w:val="00DD53FA"/>
    <w:rsid w:val="00DD5AA8"/>
    <w:rsid w:val="00DD5D50"/>
    <w:rsid w:val="00DF1BB3"/>
    <w:rsid w:val="00DF7DAF"/>
    <w:rsid w:val="00E24FDA"/>
    <w:rsid w:val="00E25118"/>
    <w:rsid w:val="00E3100C"/>
    <w:rsid w:val="00E34382"/>
    <w:rsid w:val="00E351D0"/>
    <w:rsid w:val="00E36D2B"/>
    <w:rsid w:val="00E40234"/>
    <w:rsid w:val="00E42FB3"/>
    <w:rsid w:val="00E5024D"/>
    <w:rsid w:val="00E5056A"/>
    <w:rsid w:val="00E51FBD"/>
    <w:rsid w:val="00E571BA"/>
    <w:rsid w:val="00E574F6"/>
    <w:rsid w:val="00E71A31"/>
    <w:rsid w:val="00E71EB0"/>
    <w:rsid w:val="00EA5637"/>
    <w:rsid w:val="00EA7856"/>
    <w:rsid w:val="00EB7C4E"/>
    <w:rsid w:val="00EC07A4"/>
    <w:rsid w:val="00ED3003"/>
    <w:rsid w:val="00EE7FB0"/>
    <w:rsid w:val="00EF3920"/>
    <w:rsid w:val="00EF6510"/>
    <w:rsid w:val="00F00EF0"/>
    <w:rsid w:val="00F03B82"/>
    <w:rsid w:val="00F07858"/>
    <w:rsid w:val="00F07A3B"/>
    <w:rsid w:val="00F10E0A"/>
    <w:rsid w:val="00F14438"/>
    <w:rsid w:val="00F16644"/>
    <w:rsid w:val="00F36641"/>
    <w:rsid w:val="00F36D81"/>
    <w:rsid w:val="00F400DF"/>
    <w:rsid w:val="00F42BFE"/>
    <w:rsid w:val="00F53006"/>
    <w:rsid w:val="00F64BE8"/>
    <w:rsid w:val="00F713A0"/>
    <w:rsid w:val="00F7197B"/>
    <w:rsid w:val="00F93F04"/>
    <w:rsid w:val="00FA6701"/>
    <w:rsid w:val="00FD1C8B"/>
    <w:rsid w:val="00FF6237"/>
    <w:rsid w:val="00FF70A8"/>
    <w:rsid w:val="00FF71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04A0AD"/>
  <w15:chartTrackingRefBased/>
  <w15:docId w15:val="{39F8C86B-61A8-45BB-8254-E6B7B705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677DC"/>
    <w:pPr>
      <w:suppressAutoHyphens/>
      <w:spacing w:after="120" w:line="240" w:lineRule="atLeast"/>
      <w:ind w:left="1134" w:right="1134"/>
      <w:jc w:val="both"/>
    </w:pPr>
    <w:rPr>
      <w:rFonts w:ascii="Times New Roman" w:eastAsia="Times New Roman" w:hAnsi="Times New Roman"/>
      <w:sz w:val="20"/>
      <w:szCs w:val="20"/>
      <w:lang w:val="x-none"/>
    </w:rPr>
  </w:style>
  <w:style w:type="paragraph" w:customStyle="1" w:styleId="H23G">
    <w:name w:val="_ H_2/3_G"/>
    <w:basedOn w:val="Normal"/>
    <w:next w:val="Normal"/>
    <w:rsid w:val="00A677DC"/>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rPr>
  </w:style>
  <w:style w:type="character" w:styleId="Hyperlink">
    <w:name w:val="Hyperlink"/>
    <w:uiPriority w:val="99"/>
    <w:rsid w:val="00A677DC"/>
    <w:rPr>
      <w:color w:val="auto"/>
      <w:u w:val="none"/>
    </w:rPr>
  </w:style>
  <w:style w:type="character" w:customStyle="1" w:styleId="SingleTxtGChar">
    <w:name w:val="_ Single Txt_G Char"/>
    <w:link w:val="SingleTxtG"/>
    <w:rsid w:val="00A677D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qFormat/>
    <w:rsid w:val="00A677DC"/>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character" w:customStyle="1" w:styleId="HChGChar">
    <w:name w:val="_ H _Ch_G Char"/>
    <w:link w:val="HChG"/>
    <w:rsid w:val="00A677D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F03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B82"/>
  </w:style>
  <w:style w:type="paragraph" w:styleId="Footer">
    <w:name w:val="footer"/>
    <w:basedOn w:val="Normal"/>
    <w:link w:val="FooterChar"/>
    <w:uiPriority w:val="99"/>
    <w:unhideWhenUsed/>
    <w:rsid w:val="00F0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B82"/>
  </w:style>
  <w:style w:type="paragraph" w:styleId="ListParagraph">
    <w:name w:val="List Paragraph"/>
    <w:basedOn w:val="Normal"/>
    <w:uiPriority w:val="34"/>
    <w:qFormat/>
    <w:rsid w:val="00913783"/>
    <w:pPr>
      <w:ind w:left="720"/>
      <w:contextualSpacing/>
    </w:pPr>
  </w:style>
  <w:style w:type="paragraph" w:styleId="BalloonText">
    <w:name w:val="Balloon Text"/>
    <w:basedOn w:val="Normal"/>
    <w:link w:val="BalloonTextChar"/>
    <w:uiPriority w:val="99"/>
    <w:semiHidden/>
    <w:unhideWhenUsed/>
    <w:rsid w:val="00DC551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C551C"/>
    <w:rPr>
      <w:rFonts w:ascii="Segoe UI" w:hAnsi="Segoe UI" w:cs="Segoe UI"/>
      <w:sz w:val="18"/>
      <w:szCs w:val="18"/>
    </w:rPr>
  </w:style>
  <w:style w:type="character" w:customStyle="1" w:styleId="SingleTxtGCharChar">
    <w:name w:val="_ Single Txt_G Char Char"/>
    <w:rsid w:val="0071190C"/>
    <w:rPr>
      <w:lang w:val="en-US" w:eastAsia="en-US"/>
    </w:rPr>
  </w:style>
  <w:style w:type="paragraph" w:customStyle="1" w:styleId="Default">
    <w:name w:val="Default"/>
    <w:rsid w:val="0071190C"/>
    <w:pPr>
      <w:autoSpaceDE w:val="0"/>
      <w:autoSpaceDN w:val="0"/>
      <w:adjustRightInd w:val="0"/>
    </w:pPr>
    <w:rPr>
      <w:rFonts w:ascii="Times New Roman" w:hAnsi="Times New Roman"/>
      <w:color w:val="000000"/>
      <w:sz w:val="24"/>
      <w:szCs w:val="24"/>
      <w:lang w:val="ru-RU" w:eastAsia="ru-RU"/>
    </w:rPr>
  </w:style>
  <w:style w:type="paragraph" w:styleId="BodyText2">
    <w:name w:val="Body Text 2"/>
    <w:basedOn w:val="Normal"/>
    <w:link w:val="BodyText2Char"/>
    <w:semiHidden/>
    <w:rsid w:val="00A05958"/>
    <w:pPr>
      <w:spacing w:after="0" w:line="240" w:lineRule="auto"/>
      <w:jc w:val="center"/>
    </w:pPr>
    <w:rPr>
      <w:rFonts w:ascii="Univers" w:eastAsia="Times New Roman" w:hAnsi="Univers"/>
      <w:b/>
      <w:caps/>
      <w:sz w:val="20"/>
      <w:szCs w:val="20"/>
      <w:lang w:val="en-GB"/>
    </w:rPr>
  </w:style>
  <w:style w:type="character" w:customStyle="1" w:styleId="BodyText2Char">
    <w:name w:val="Body Text 2 Char"/>
    <w:link w:val="BodyText2"/>
    <w:semiHidden/>
    <w:rsid w:val="00A05958"/>
    <w:rPr>
      <w:rFonts w:ascii="Univers" w:eastAsia="Times New Roman" w:hAnsi="Univers"/>
      <w:b/>
      <w:caps/>
      <w:lang w:val="en-GB" w:eastAsia="en-US"/>
    </w:rPr>
  </w:style>
  <w:style w:type="paragraph" w:customStyle="1" w:styleId="H1G">
    <w:name w:val="_ H_1_G"/>
    <w:basedOn w:val="Normal"/>
    <w:next w:val="Normal"/>
    <w:link w:val="H1GChar"/>
    <w:rsid w:val="00A05958"/>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character" w:customStyle="1" w:styleId="H1GChar">
    <w:name w:val="_ H_1_G Char"/>
    <w:link w:val="H1G"/>
    <w:rsid w:val="00A05958"/>
    <w:rPr>
      <w:rFonts w:ascii="Times New Roman" w:eastAsia="Times New Roman" w:hAnsi="Times New Roman"/>
      <w:b/>
      <w:sz w:val="24"/>
      <w:lang w:val="en-GB" w:eastAsia="en-US"/>
    </w:rPr>
  </w:style>
  <w:style w:type="character" w:customStyle="1" w:styleId="h-block">
    <w:name w:val="h-block"/>
    <w:rsid w:val="001B5C5D"/>
  </w:style>
  <w:style w:type="character" w:styleId="CommentReference">
    <w:name w:val="annotation reference"/>
    <w:uiPriority w:val="99"/>
    <w:semiHidden/>
    <w:unhideWhenUsed/>
    <w:rsid w:val="00EC07A4"/>
    <w:rPr>
      <w:sz w:val="16"/>
      <w:szCs w:val="16"/>
    </w:rPr>
  </w:style>
  <w:style w:type="paragraph" w:styleId="CommentText">
    <w:name w:val="annotation text"/>
    <w:basedOn w:val="Normal"/>
    <w:link w:val="CommentTextChar"/>
    <w:uiPriority w:val="99"/>
    <w:semiHidden/>
    <w:unhideWhenUsed/>
    <w:rsid w:val="00EC07A4"/>
    <w:rPr>
      <w:sz w:val="20"/>
      <w:szCs w:val="20"/>
    </w:rPr>
  </w:style>
  <w:style w:type="character" w:customStyle="1" w:styleId="CommentTextChar">
    <w:name w:val="Comment Text Char"/>
    <w:link w:val="CommentText"/>
    <w:uiPriority w:val="99"/>
    <w:semiHidden/>
    <w:rsid w:val="00EC07A4"/>
    <w:rPr>
      <w:lang w:val="en-US" w:eastAsia="en-US"/>
    </w:rPr>
  </w:style>
  <w:style w:type="paragraph" w:styleId="CommentSubject">
    <w:name w:val="annotation subject"/>
    <w:basedOn w:val="CommentText"/>
    <w:next w:val="CommentText"/>
    <w:link w:val="CommentSubjectChar"/>
    <w:uiPriority w:val="99"/>
    <w:semiHidden/>
    <w:unhideWhenUsed/>
    <w:rsid w:val="00EC07A4"/>
    <w:rPr>
      <w:b/>
      <w:bCs/>
    </w:rPr>
  </w:style>
  <w:style w:type="character" w:customStyle="1" w:styleId="CommentSubjectChar">
    <w:name w:val="Comment Subject Char"/>
    <w:link w:val="CommentSubject"/>
    <w:uiPriority w:val="99"/>
    <w:semiHidden/>
    <w:rsid w:val="00EC07A4"/>
    <w:rPr>
      <w:b/>
      <w:bCs/>
      <w:lang w:val="en-US" w:eastAsia="en-US"/>
    </w:rPr>
  </w:style>
  <w:style w:type="table" w:styleId="TableGrid">
    <w:name w:val="Table Grid"/>
    <w:basedOn w:val="TableNormal"/>
    <w:rsid w:val="0076431C"/>
    <w:pPr>
      <w:suppressAutoHyphens/>
      <w:spacing w:line="240" w:lineRule="atLeast"/>
    </w:pPr>
    <w:rPr>
      <w:rFonts w:ascii="Times New Roman" w:eastAsiaTheme="minorEastAsia"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80796">
      <w:bodyDiv w:val="1"/>
      <w:marLeft w:val="0"/>
      <w:marRight w:val="0"/>
      <w:marTop w:val="0"/>
      <w:marBottom w:val="0"/>
      <w:divBdr>
        <w:top w:val="none" w:sz="0" w:space="0" w:color="auto"/>
        <w:left w:val="none" w:sz="0" w:space="0" w:color="auto"/>
        <w:bottom w:val="none" w:sz="0" w:space="0" w:color="auto"/>
        <w:right w:val="none" w:sz="0" w:space="0" w:color="auto"/>
      </w:divBdr>
    </w:div>
    <w:div w:id="685979413">
      <w:bodyDiv w:val="1"/>
      <w:marLeft w:val="0"/>
      <w:marRight w:val="0"/>
      <w:marTop w:val="0"/>
      <w:marBottom w:val="0"/>
      <w:divBdr>
        <w:top w:val="none" w:sz="0" w:space="0" w:color="auto"/>
        <w:left w:val="none" w:sz="0" w:space="0" w:color="auto"/>
        <w:bottom w:val="none" w:sz="0" w:space="0" w:color="auto"/>
        <w:right w:val="none" w:sz="0" w:space="0" w:color="auto"/>
      </w:divBdr>
    </w:div>
    <w:div w:id="1044452362">
      <w:bodyDiv w:val="1"/>
      <w:marLeft w:val="0"/>
      <w:marRight w:val="0"/>
      <w:marTop w:val="0"/>
      <w:marBottom w:val="0"/>
      <w:divBdr>
        <w:top w:val="none" w:sz="0" w:space="0" w:color="auto"/>
        <w:left w:val="none" w:sz="0" w:space="0" w:color="auto"/>
        <w:bottom w:val="none" w:sz="0" w:space="0" w:color="auto"/>
        <w:right w:val="none" w:sz="0" w:space="0" w:color="auto"/>
      </w:divBdr>
    </w:div>
    <w:div w:id="1430151906">
      <w:bodyDiv w:val="1"/>
      <w:marLeft w:val="0"/>
      <w:marRight w:val="0"/>
      <w:marTop w:val="0"/>
      <w:marBottom w:val="0"/>
      <w:divBdr>
        <w:top w:val="none" w:sz="0" w:space="0" w:color="auto"/>
        <w:left w:val="none" w:sz="0" w:space="0" w:color="auto"/>
        <w:bottom w:val="none" w:sz="0" w:space="0" w:color="auto"/>
        <w:right w:val="none" w:sz="0" w:space="0" w:color="auto"/>
      </w:divBdr>
    </w:div>
    <w:div w:id="1476988192">
      <w:bodyDiv w:val="1"/>
      <w:marLeft w:val="0"/>
      <w:marRight w:val="0"/>
      <w:marTop w:val="0"/>
      <w:marBottom w:val="0"/>
      <w:divBdr>
        <w:top w:val="none" w:sz="0" w:space="0" w:color="auto"/>
        <w:left w:val="none" w:sz="0" w:space="0" w:color="auto"/>
        <w:bottom w:val="none" w:sz="0" w:space="0" w:color="auto"/>
        <w:right w:val="none" w:sz="0" w:space="0" w:color="auto"/>
      </w:divBdr>
    </w:div>
    <w:div w:id="1557427778">
      <w:bodyDiv w:val="1"/>
      <w:marLeft w:val="0"/>
      <w:marRight w:val="0"/>
      <w:marTop w:val="0"/>
      <w:marBottom w:val="0"/>
      <w:divBdr>
        <w:top w:val="none" w:sz="0" w:space="0" w:color="auto"/>
        <w:left w:val="none" w:sz="0" w:space="0" w:color="auto"/>
        <w:bottom w:val="none" w:sz="0" w:space="0" w:color="auto"/>
        <w:right w:val="none" w:sz="0" w:space="0" w:color="auto"/>
      </w:divBdr>
    </w:div>
    <w:div w:id="1680235790">
      <w:bodyDiv w:val="1"/>
      <w:marLeft w:val="0"/>
      <w:marRight w:val="0"/>
      <w:marTop w:val="0"/>
      <w:marBottom w:val="0"/>
      <w:divBdr>
        <w:top w:val="none" w:sz="0" w:space="0" w:color="auto"/>
        <w:left w:val="none" w:sz="0" w:space="0" w:color="auto"/>
        <w:bottom w:val="none" w:sz="0" w:space="0" w:color="auto"/>
        <w:right w:val="none" w:sz="0" w:space="0" w:color="auto"/>
      </w:divBdr>
    </w:div>
    <w:div w:id="1705206049">
      <w:bodyDiv w:val="1"/>
      <w:marLeft w:val="0"/>
      <w:marRight w:val="0"/>
      <w:marTop w:val="0"/>
      <w:marBottom w:val="0"/>
      <w:divBdr>
        <w:top w:val="none" w:sz="0" w:space="0" w:color="auto"/>
        <w:left w:val="none" w:sz="0" w:space="0" w:color="auto"/>
        <w:bottom w:val="none" w:sz="0" w:space="0" w:color="auto"/>
        <w:right w:val="none" w:sz="0" w:space="0" w:color="auto"/>
      </w:divBdr>
    </w:div>
    <w:div w:id="212025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829</Words>
  <Characters>4727</Characters>
  <Application>Microsoft Office Word</Application>
  <DocSecurity>0</DocSecurity>
  <Lines>39</Lines>
  <Paragraphs>11</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ECE-ISU</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E. Guichard</dc:creator>
  <cp:keywords/>
  <cp:lastModifiedBy>Francois Cuenot</cp:lastModifiedBy>
  <cp:revision>4</cp:revision>
  <cp:lastPrinted>2019-05-07T12:51:00Z</cp:lastPrinted>
  <dcterms:created xsi:type="dcterms:W3CDTF">2020-01-02T11:43:00Z</dcterms:created>
  <dcterms:modified xsi:type="dcterms:W3CDTF">2020-01-06T12:44:00Z</dcterms:modified>
</cp:coreProperties>
</file>