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03AC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03AC0" w:rsidP="00603AC0">
            <w:pPr>
              <w:jc w:val="right"/>
            </w:pPr>
            <w:r w:rsidRPr="00603AC0">
              <w:rPr>
                <w:sz w:val="40"/>
              </w:rPr>
              <w:t>ECE</w:t>
            </w:r>
            <w:r>
              <w:t>/TRANS/WP.29/GRBP/2020/4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03AC0" w:rsidP="00C97039">
            <w:pPr>
              <w:spacing w:before="240"/>
            </w:pPr>
            <w:r>
              <w:t>Distr. générale</w:t>
            </w:r>
          </w:p>
          <w:p w:rsidR="00603AC0" w:rsidRDefault="00603AC0" w:rsidP="00603AC0">
            <w:pPr>
              <w:spacing w:line="240" w:lineRule="exact"/>
            </w:pPr>
            <w:r>
              <w:t>11 novembre 2019</w:t>
            </w:r>
          </w:p>
          <w:p w:rsidR="00603AC0" w:rsidRDefault="00603AC0" w:rsidP="00603AC0">
            <w:pPr>
              <w:spacing w:line="240" w:lineRule="exact"/>
            </w:pPr>
            <w:r>
              <w:t>Français</w:t>
            </w:r>
          </w:p>
          <w:p w:rsidR="00603AC0" w:rsidRPr="00DB58B5" w:rsidRDefault="00603AC0" w:rsidP="00603AC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03AC0" w:rsidRDefault="00603AC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03AC0" w:rsidRDefault="00603AC0" w:rsidP="00F9573C">
      <w:pPr>
        <w:spacing w:before="120" w:after="120" w:line="240" w:lineRule="exact"/>
        <w:rPr>
          <w:b/>
        </w:rPr>
      </w:pPr>
      <w:r>
        <w:rPr>
          <w:b/>
        </w:rPr>
        <w:t xml:space="preserve">Groupe de travail du bruit </w:t>
      </w:r>
      <w:r w:rsidRPr="00603AC0">
        <w:rPr>
          <w:b/>
          <w:bCs/>
          <w:lang w:val="fr-FR"/>
        </w:rPr>
        <w:t>et des pneumatiques</w:t>
      </w:r>
    </w:p>
    <w:p w:rsidR="00603AC0" w:rsidRPr="00744CCE" w:rsidRDefault="00603AC0" w:rsidP="00603AC0">
      <w:pPr>
        <w:spacing w:before="120"/>
        <w:rPr>
          <w:rFonts w:eastAsia="Times New Roman"/>
          <w:b/>
        </w:rPr>
      </w:pPr>
      <w:r>
        <w:rPr>
          <w:b/>
          <w:bCs/>
          <w:lang w:val="fr-FR"/>
        </w:rPr>
        <w:t>Soixante et onzième session</w:t>
      </w:r>
    </w:p>
    <w:p w:rsidR="00603AC0" w:rsidRPr="00D315CD" w:rsidRDefault="00603AC0" w:rsidP="00603AC0">
      <w:pPr>
        <w:rPr>
          <w:bCs/>
        </w:rPr>
      </w:pPr>
      <w:r>
        <w:rPr>
          <w:lang w:val="fr-FR"/>
        </w:rPr>
        <w:t xml:space="preserve">Genève, 28-31 janvier 2020 </w:t>
      </w:r>
    </w:p>
    <w:p w:rsidR="00603AC0" w:rsidRPr="00D912FF" w:rsidRDefault="00603AC0" w:rsidP="00603AC0">
      <w:pPr>
        <w:ind w:right="1134"/>
        <w:rPr>
          <w:bCs/>
        </w:rPr>
      </w:pPr>
      <w:r>
        <w:rPr>
          <w:lang w:val="fr-FR"/>
        </w:rPr>
        <w:t>Point</w:t>
      </w:r>
      <w:r>
        <w:rPr>
          <w:lang w:val="fr-FR"/>
        </w:rPr>
        <w:t> </w:t>
      </w:r>
      <w:r>
        <w:rPr>
          <w:lang w:val="fr-FR"/>
        </w:rPr>
        <w:t>5</w:t>
      </w:r>
      <w:r>
        <w:rPr>
          <w:lang w:val="fr-FR"/>
        </w:rPr>
        <w:t> </w:t>
      </w:r>
      <w:r>
        <w:rPr>
          <w:lang w:val="fr-FR"/>
        </w:rPr>
        <w:t>c) de l’ordre du jour provisoire</w:t>
      </w:r>
    </w:p>
    <w:p w:rsidR="00603AC0" w:rsidRDefault="00603AC0" w:rsidP="00603AC0">
      <w:pPr>
        <w:spacing w:line="240" w:lineRule="exact"/>
      </w:pPr>
      <w:r>
        <w:rPr>
          <w:b/>
          <w:bCs/>
          <w:lang w:val="fr-FR"/>
        </w:rPr>
        <w:t>Pneumatiques</w:t>
      </w:r>
      <w:r>
        <w:rPr>
          <w:b/>
          <w:bCs/>
          <w:lang w:val="fr-FR"/>
        </w:rPr>
        <w:t> </w:t>
      </w:r>
      <w:r>
        <w:rPr>
          <w:b/>
          <w:bCs/>
          <w:lang w:val="fr-FR"/>
        </w:rPr>
        <w:t xml:space="preserve">: Règlement ONU </w:t>
      </w:r>
      <w:r w:rsidRPr="00603AC0">
        <w:rPr>
          <w:rFonts w:eastAsia="MS Mincho"/>
          <w:b/>
          <w:bCs/>
          <w:szCs w:val="22"/>
          <w:lang w:val="fr-FR"/>
        </w:rPr>
        <w:t>n</w:t>
      </w:r>
      <w:r w:rsidRPr="00603AC0">
        <w:rPr>
          <w:rFonts w:eastAsia="MS Mincho"/>
          <w:b/>
          <w:bCs/>
          <w:szCs w:val="22"/>
          <w:vertAlign w:val="superscript"/>
          <w:lang w:val="fr-FR"/>
        </w:rPr>
        <w:t>o</w:t>
      </w:r>
      <w:r>
        <w:rPr>
          <w:b/>
          <w:bCs/>
          <w:lang w:val="fr-FR"/>
        </w:rPr>
        <w:t> </w:t>
      </w:r>
      <w:r>
        <w:rPr>
          <w:b/>
          <w:bCs/>
          <w:lang w:val="fr-FR"/>
        </w:rPr>
        <w:t xml:space="preserve">109 (Pneumatiques </w:t>
      </w:r>
      <w:r>
        <w:rPr>
          <w:b/>
          <w:bCs/>
          <w:lang w:val="fr-FR"/>
        </w:rPr>
        <w:br/>
        <w:t>rechapés pour les véhicules utilitaires et leurs remorques)</w:t>
      </w:r>
    </w:p>
    <w:p w:rsidR="00603AC0" w:rsidRPr="00603AC0" w:rsidRDefault="00603AC0" w:rsidP="00603AC0">
      <w:pPr>
        <w:pStyle w:val="HChG"/>
      </w:pPr>
      <w:r>
        <w:rPr>
          <w:lang w:val="fr-FR"/>
        </w:rPr>
        <w:tab/>
      </w:r>
      <w:r>
        <w:rPr>
          <w:lang w:val="fr-FR"/>
        </w:rPr>
        <w:tab/>
      </w:r>
      <w:r w:rsidRPr="00603AC0">
        <w:rPr>
          <w:lang w:val="fr-FR"/>
        </w:rPr>
        <w:t xml:space="preserve">Proposition d’amendements au Règlement ONU </w:t>
      </w:r>
      <w:r w:rsidRPr="00603AC0">
        <w:rPr>
          <w:rFonts w:eastAsia="MS Mincho"/>
          <w:szCs w:val="22"/>
          <w:lang w:val="fr-FR"/>
        </w:rPr>
        <w:t>n</w:t>
      </w:r>
      <w:r w:rsidRPr="00603AC0">
        <w:rPr>
          <w:rFonts w:eastAsia="MS Mincho"/>
          <w:szCs w:val="22"/>
          <w:vertAlign w:val="superscript"/>
          <w:lang w:val="fr-FR"/>
        </w:rPr>
        <w:t>o</w:t>
      </w:r>
      <w:r>
        <w:rPr>
          <w:lang w:val="fr-FR"/>
        </w:rPr>
        <w:t> </w:t>
      </w:r>
      <w:r w:rsidRPr="00603AC0">
        <w:rPr>
          <w:lang w:val="fr-FR"/>
        </w:rPr>
        <w:t xml:space="preserve">109 </w:t>
      </w:r>
    </w:p>
    <w:p w:rsidR="00603AC0" w:rsidRPr="00603AC0" w:rsidRDefault="00603AC0" w:rsidP="00603AC0">
      <w:pPr>
        <w:pStyle w:val="H1G"/>
      </w:pPr>
      <w:r>
        <w:rPr>
          <w:lang w:val="fr-FR"/>
        </w:rPr>
        <w:tab/>
      </w:r>
      <w:r>
        <w:rPr>
          <w:lang w:val="fr-FR"/>
        </w:rPr>
        <w:tab/>
      </w:r>
      <w:r w:rsidRPr="00603AC0">
        <w:rPr>
          <w:lang w:val="fr-FR"/>
        </w:rPr>
        <w:t xml:space="preserve">Communication des experts de l’Organisation technique </w:t>
      </w:r>
      <w:r>
        <w:rPr>
          <w:lang w:val="fr-FR"/>
        </w:rPr>
        <w:br/>
      </w:r>
      <w:r w:rsidRPr="00603AC0">
        <w:rPr>
          <w:lang w:val="fr-FR"/>
        </w:rPr>
        <w:t>européenne du pneumatique et de la jante</w:t>
      </w:r>
      <w:r w:rsidRPr="00603AC0">
        <w:rPr>
          <w:b w:val="0"/>
          <w:sz w:val="20"/>
          <w:lang w:val="fr-FR"/>
        </w:rPr>
        <w:footnoteReference w:customMarkFollows="1" w:id="2"/>
        <w:t>*</w:t>
      </w:r>
    </w:p>
    <w:p w:rsidR="00603AC0" w:rsidRPr="00603AC0" w:rsidRDefault="00603AC0" w:rsidP="00603AC0">
      <w:pPr>
        <w:pStyle w:val="SingleTxtG"/>
        <w:ind w:firstLine="567"/>
      </w:pPr>
      <w:r w:rsidRPr="00603AC0">
        <w:rPr>
          <w:lang w:val="fr-FR"/>
        </w:rPr>
        <w:t xml:space="preserve">Le texte ci-après a été établi par les experts de l’Organisation technique européenne du pneumatique et de la jante (ETRTO). Les modifications qu’il est proposé d’apporter au texte actuel du Règlement ONU figurent en caractères gras pour les ajouts ou biffés pour les suppressions. </w:t>
      </w:r>
    </w:p>
    <w:p w:rsidR="00603AC0" w:rsidRPr="00603AC0" w:rsidRDefault="00603AC0" w:rsidP="00603AC0">
      <w:pPr>
        <w:pStyle w:val="HChG"/>
      </w:pPr>
      <w:r w:rsidRPr="00603AC0">
        <w:br w:type="page"/>
      </w:r>
      <w:r>
        <w:lastRenderedPageBreak/>
        <w:tab/>
      </w:r>
      <w:r w:rsidRPr="00603AC0">
        <w:rPr>
          <w:lang w:val="fr-FR"/>
        </w:rPr>
        <w:t xml:space="preserve">I. </w:t>
      </w:r>
      <w:r w:rsidRPr="00603AC0">
        <w:rPr>
          <w:lang w:val="fr-FR"/>
        </w:rPr>
        <w:tab/>
        <w:t>Proposition</w:t>
      </w:r>
    </w:p>
    <w:p w:rsidR="00603AC0" w:rsidRPr="00603AC0" w:rsidRDefault="00603AC0" w:rsidP="00603AC0">
      <w:pPr>
        <w:pStyle w:val="SingleTxtG"/>
        <w:rPr>
          <w:i/>
        </w:rPr>
      </w:pPr>
      <w:r w:rsidRPr="00603AC0">
        <w:rPr>
          <w:i/>
          <w:iCs/>
          <w:lang w:val="fr-FR"/>
        </w:rPr>
        <w:t>Annexe</w:t>
      </w:r>
      <w:r>
        <w:rPr>
          <w:i/>
          <w:iCs/>
          <w:lang w:val="fr-FR"/>
        </w:rPr>
        <w:t> </w:t>
      </w:r>
      <w:r w:rsidRPr="00603AC0">
        <w:rPr>
          <w:i/>
          <w:iCs/>
          <w:lang w:val="fr-FR"/>
        </w:rPr>
        <w:t>10</w:t>
      </w:r>
      <w:r w:rsidRPr="00603AC0">
        <w:rPr>
          <w:lang w:val="fr-FR"/>
        </w:rPr>
        <w:t xml:space="preserve">, </w:t>
      </w:r>
    </w:p>
    <w:p w:rsidR="00603AC0" w:rsidRPr="00603AC0" w:rsidRDefault="00603AC0" w:rsidP="00603AC0">
      <w:pPr>
        <w:pStyle w:val="SingleTxtG"/>
      </w:pPr>
      <w:r w:rsidRPr="00603AC0">
        <w:rPr>
          <w:i/>
          <w:iCs/>
          <w:lang w:val="fr-FR"/>
        </w:rPr>
        <w:t>Paragraphe 3.2.1</w:t>
      </w:r>
      <w:r w:rsidRPr="00603AC0">
        <w:rPr>
          <w:lang w:val="fr-FR"/>
        </w:rPr>
        <w:t>, lire</w:t>
      </w:r>
      <w:r>
        <w:rPr>
          <w:lang w:val="fr-FR"/>
        </w:rPr>
        <w:t> :</w:t>
      </w:r>
    </w:p>
    <w:p w:rsidR="00603AC0" w:rsidRPr="00603AC0" w:rsidRDefault="00603AC0" w:rsidP="00603AC0">
      <w:pPr>
        <w:pStyle w:val="SingleTxtG"/>
        <w:ind w:left="2268" w:hanging="1134"/>
      </w:pPr>
      <w:r w:rsidRPr="00603AC0">
        <w:rPr>
          <w:lang w:val="fr-FR"/>
        </w:rPr>
        <w:t>« 3.2.1</w:t>
      </w:r>
      <w:r w:rsidRPr="00603AC0">
        <w:rPr>
          <w:lang w:val="fr-FR"/>
        </w:rPr>
        <w:tab/>
      </w:r>
      <w:r>
        <w:rPr>
          <w:lang w:val="fr-FR"/>
        </w:rPr>
        <w:tab/>
      </w:r>
      <w:r w:rsidRPr="00603AC0">
        <w:rPr>
          <w:lang w:val="fr-FR"/>
        </w:rPr>
        <w:t>Pour chaque pneumatique à contrôler et pour le pneumatique de référence normalisé, les essais de freinage ABS doivent être répétés au moins six fois.</w:t>
      </w:r>
    </w:p>
    <w:p w:rsidR="00603AC0" w:rsidRPr="00603AC0" w:rsidRDefault="00603AC0" w:rsidP="00603AC0">
      <w:pPr>
        <w:pStyle w:val="SingleTxtG"/>
        <w:ind w:left="2268"/>
        <w:rPr>
          <w:b/>
        </w:rPr>
      </w:pPr>
      <w:r w:rsidRPr="00603AC0">
        <w:rPr>
          <w:b/>
          <w:bCs/>
          <w:lang w:val="fr-FR"/>
        </w:rPr>
        <w:t>Les zones où le freinage ABS est appliqué à fond ne doivent pas se chevaucher.</w:t>
      </w:r>
    </w:p>
    <w:p w:rsidR="00603AC0" w:rsidRPr="00603AC0" w:rsidRDefault="00603AC0" w:rsidP="00603AC0">
      <w:pPr>
        <w:pStyle w:val="SingleTxtG"/>
        <w:ind w:left="2268"/>
        <w:rPr>
          <w:b/>
        </w:rPr>
      </w:pPr>
      <w:r w:rsidRPr="00603AC0">
        <w:rPr>
          <w:b/>
          <w:bCs/>
          <w:lang w:val="fr-FR"/>
        </w:rPr>
        <w:t>Lors de la mise à l’essai d’un nouveau jeu de pneumatiques, il convient d’effectuer les essais après avoir décalé latéralement la trajectoire du véhicule afin de ne pas freiner sur les traces du pneumatique précédent.</w:t>
      </w:r>
    </w:p>
    <w:p w:rsidR="00603AC0" w:rsidRPr="00603AC0" w:rsidRDefault="00603AC0" w:rsidP="00603AC0">
      <w:pPr>
        <w:pStyle w:val="SingleTxtG"/>
        <w:ind w:left="2268"/>
        <w:rPr>
          <w:b/>
        </w:rPr>
      </w:pPr>
      <w:r w:rsidRPr="00603AC0">
        <w:rPr>
          <w:b/>
          <w:bCs/>
          <w:lang w:val="fr-FR"/>
        </w:rPr>
        <w:t>Lorsqu’il n’est plus possible d’éviter le chevauchement des zones d’application à fond du freinage ABS, la piste d’essai doit être remise en état.</w:t>
      </w:r>
    </w:p>
    <w:p w:rsidR="00603AC0" w:rsidRPr="00603AC0" w:rsidRDefault="00603AC0" w:rsidP="00603AC0">
      <w:pPr>
        <w:pStyle w:val="SingleTxtG"/>
        <w:ind w:left="2268"/>
        <w:rPr>
          <w:b/>
        </w:rPr>
      </w:pPr>
      <w:r w:rsidRPr="00603AC0">
        <w:rPr>
          <w:b/>
          <w:bCs/>
          <w:lang w:val="fr-FR"/>
        </w:rPr>
        <w:t>Séquence requise</w:t>
      </w:r>
      <w:r>
        <w:rPr>
          <w:b/>
          <w:bCs/>
          <w:lang w:val="fr-FR"/>
        </w:rPr>
        <w:t> :</w:t>
      </w:r>
    </w:p>
    <w:p w:rsidR="00603AC0" w:rsidRPr="00603AC0" w:rsidRDefault="00603AC0" w:rsidP="00603AC0">
      <w:pPr>
        <w:pStyle w:val="SingleTxtG"/>
        <w:ind w:left="2268"/>
        <w:rPr>
          <w:b/>
        </w:rPr>
      </w:pPr>
      <w:r w:rsidRPr="00603AC0">
        <w:rPr>
          <w:b/>
          <w:bCs/>
          <w:lang w:val="fr-FR"/>
        </w:rPr>
        <w:t>6 essais répétés du SRTT, puis décalage latéral en vue de la mise à l’essai du pneumatique suivant sur une nouvelle surface</w:t>
      </w:r>
      <w:r>
        <w:rPr>
          <w:b/>
          <w:bCs/>
          <w:lang w:val="fr-FR"/>
        </w:rPr>
        <w:t> ;</w:t>
      </w:r>
    </w:p>
    <w:p w:rsidR="00603AC0" w:rsidRPr="00603AC0" w:rsidRDefault="00603AC0" w:rsidP="00603AC0">
      <w:pPr>
        <w:pStyle w:val="SingleTxtG"/>
        <w:ind w:left="2268"/>
        <w:rPr>
          <w:b/>
        </w:rPr>
      </w:pPr>
      <w:r w:rsidRPr="00603AC0">
        <w:rPr>
          <w:b/>
          <w:bCs/>
          <w:lang w:val="fr-FR"/>
        </w:rPr>
        <w:t>6 essais répétés du pneumatique à contrôler 1, puis décalage latéral</w:t>
      </w:r>
      <w:r>
        <w:rPr>
          <w:b/>
          <w:bCs/>
          <w:lang w:val="fr-FR"/>
        </w:rPr>
        <w:t> ;</w:t>
      </w:r>
    </w:p>
    <w:p w:rsidR="00603AC0" w:rsidRPr="00603AC0" w:rsidRDefault="00603AC0" w:rsidP="00603AC0">
      <w:pPr>
        <w:pStyle w:val="SingleTxtG"/>
        <w:ind w:left="2268"/>
        <w:rPr>
          <w:b/>
        </w:rPr>
      </w:pPr>
      <w:r w:rsidRPr="00603AC0">
        <w:rPr>
          <w:b/>
          <w:bCs/>
          <w:lang w:val="fr-FR"/>
        </w:rPr>
        <w:t>6 essais répétés du pneumatique à contrôler 2, puis décalage latéral</w:t>
      </w:r>
      <w:r>
        <w:rPr>
          <w:b/>
          <w:bCs/>
          <w:lang w:val="fr-FR"/>
        </w:rPr>
        <w:t> ;</w:t>
      </w:r>
    </w:p>
    <w:p w:rsidR="00603AC0" w:rsidRPr="00603AC0" w:rsidRDefault="00603AC0" w:rsidP="00603AC0">
      <w:pPr>
        <w:pStyle w:val="SingleTxtG"/>
        <w:ind w:left="2268"/>
        <w:rPr>
          <w:i/>
        </w:rPr>
      </w:pPr>
      <w:r w:rsidRPr="00603AC0">
        <w:rPr>
          <w:b/>
          <w:bCs/>
          <w:lang w:val="fr-FR"/>
        </w:rPr>
        <w:t>6 essais répétés du SRTT, puis décalage latéral.</w:t>
      </w:r>
      <w:r w:rsidRPr="00603AC0">
        <w:rPr>
          <w:lang w:val="fr-FR"/>
        </w:rPr>
        <w:t> »</w:t>
      </w:r>
    </w:p>
    <w:p w:rsidR="00603AC0" w:rsidRPr="00603AC0" w:rsidRDefault="00603AC0" w:rsidP="00603AC0">
      <w:pPr>
        <w:pStyle w:val="SingleTxtG"/>
      </w:pPr>
      <w:r w:rsidRPr="00603AC0">
        <w:rPr>
          <w:i/>
          <w:iCs/>
          <w:lang w:val="fr-FR"/>
        </w:rPr>
        <w:t>Paragraphe 4.9.2</w:t>
      </w:r>
      <w:r w:rsidRPr="00603AC0">
        <w:rPr>
          <w:lang w:val="fr-FR"/>
        </w:rPr>
        <w:t>, lire</w:t>
      </w:r>
      <w:r>
        <w:rPr>
          <w:lang w:val="fr-FR"/>
        </w:rPr>
        <w:t> :</w:t>
      </w:r>
    </w:p>
    <w:p w:rsidR="00603AC0" w:rsidRPr="00603AC0" w:rsidRDefault="00603AC0" w:rsidP="00603AC0">
      <w:pPr>
        <w:pStyle w:val="SingleTxtG"/>
        <w:rPr>
          <w:bCs/>
        </w:rPr>
      </w:pPr>
      <w:r w:rsidRPr="00603AC0">
        <w:rPr>
          <w:lang w:val="fr-FR"/>
        </w:rPr>
        <w:t>« 4.9.2</w:t>
      </w:r>
      <w:r w:rsidRPr="00603AC0">
        <w:rPr>
          <w:lang w:val="fr-FR"/>
        </w:rPr>
        <w:tab/>
      </w:r>
      <w:r>
        <w:rPr>
          <w:lang w:val="fr-FR"/>
        </w:rPr>
        <w:tab/>
      </w:r>
      <w:r w:rsidRPr="00603AC0">
        <w:rPr>
          <w:lang w:val="fr-FR"/>
        </w:rPr>
        <w:t>Principe</w:t>
      </w:r>
    </w:p>
    <w:p w:rsidR="00603AC0" w:rsidRPr="00603AC0" w:rsidRDefault="00603AC0" w:rsidP="00603AC0">
      <w:pPr>
        <w:pStyle w:val="SingleTxtG"/>
        <w:ind w:left="2268"/>
        <w:rPr>
          <w:bCs/>
        </w:rPr>
      </w:pPr>
      <w:r w:rsidRPr="00603AC0">
        <w:rPr>
          <w:lang w:val="fr-FR"/>
        </w:rPr>
        <w:t xml:space="preserve">On utilise un pneumatique témoin et deux véhicules distincts pour évaluer un pneumatique à contrôler par comparaison avec un pneumatique de référence. </w:t>
      </w:r>
    </w:p>
    <w:p w:rsidR="00603AC0" w:rsidRPr="00603AC0" w:rsidRDefault="00603AC0" w:rsidP="00603AC0">
      <w:pPr>
        <w:pStyle w:val="SingleTxtG"/>
        <w:ind w:left="2268"/>
        <w:rPr>
          <w:bCs/>
        </w:rPr>
      </w:pPr>
      <w:r w:rsidRPr="00603AC0">
        <w:rPr>
          <w:lang w:val="fr-FR"/>
        </w:rPr>
        <w:t>Sur l’un des véhicules, on peut monter le pneumatique de référence et le pneumatique témoin ; sur l’autre, on peut monter le pneumatique témoin et le pneumatique à contrôler. Toutes les conditions doivent être conformes à celles décrites au paragraphe 4.7 ci-dessus.</w:t>
      </w:r>
    </w:p>
    <w:p w:rsidR="00603AC0" w:rsidRPr="00603AC0" w:rsidRDefault="00603AC0" w:rsidP="00603AC0">
      <w:pPr>
        <w:pStyle w:val="SingleTxtG"/>
        <w:ind w:left="2268"/>
        <w:rPr>
          <w:bCs/>
        </w:rPr>
      </w:pPr>
      <w:r w:rsidRPr="00603AC0">
        <w:rPr>
          <w:lang w:val="fr-FR"/>
        </w:rPr>
        <w:t>La première évaluation est une comparaison entre le pneumatique témoin et le pneumatique de référence. Le résultat (indice d’adhérence sur neige 1) indique l’efficacité relative du pneumatique témoin par rapport au pneumatique de référence.</w:t>
      </w:r>
    </w:p>
    <w:p w:rsidR="00603AC0" w:rsidRPr="00603AC0" w:rsidRDefault="00603AC0" w:rsidP="00603AC0">
      <w:pPr>
        <w:pStyle w:val="SingleTxtG"/>
        <w:ind w:left="2268"/>
        <w:rPr>
          <w:bCs/>
        </w:rPr>
      </w:pPr>
      <w:r w:rsidRPr="00603AC0">
        <w:rPr>
          <w:lang w:val="fr-FR"/>
        </w:rPr>
        <w:t>La seconde évaluation est une comparaison entre le pneumatique à contrôler et le pneumatique témoin. Le résultat (indice d’adhérence sur neige 2) indique l’efficacité relative du pneumatique à contrôler par rapport au pneumatique témoin.</w:t>
      </w:r>
    </w:p>
    <w:p w:rsidR="00603AC0" w:rsidRPr="00603AC0" w:rsidRDefault="00603AC0" w:rsidP="00603AC0">
      <w:pPr>
        <w:pStyle w:val="SingleTxtG"/>
        <w:ind w:left="2268"/>
        <w:rPr>
          <w:b/>
        </w:rPr>
      </w:pPr>
      <w:r w:rsidRPr="00603AC0">
        <w:rPr>
          <w:b/>
          <w:bCs/>
          <w:lang w:val="fr-FR"/>
        </w:rPr>
        <w:t>La seconde évaluation se déroule sur la même piste que la première.</w:t>
      </w:r>
      <w:r w:rsidRPr="00603AC0">
        <w:rPr>
          <w:lang w:val="fr-FR"/>
        </w:rPr>
        <w:t xml:space="preserve"> </w:t>
      </w:r>
      <w:r w:rsidRPr="00603AC0">
        <w:rPr>
          <w:b/>
          <w:bCs/>
          <w:lang w:val="fr-FR"/>
        </w:rPr>
        <w:t>La température du revêtement une fois mouillé devra se situer à ± 5 °C de la température relevée lors de la première évaluation.</w:t>
      </w:r>
      <w:r w:rsidRPr="00603AC0">
        <w:rPr>
          <w:lang w:val="fr-FR"/>
        </w:rPr>
        <w:t xml:space="preserve"> </w:t>
      </w:r>
      <w:r w:rsidRPr="00603AC0">
        <w:rPr>
          <w:b/>
          <w:bCs/>
          <w:lang w:val="fr-FR"/>
        </w:rPr>
        <w:t>Le jeu de pneumatiques témoins est le même que celui employé pour la première évaluation.</w:t>
      </w:r>
      <w:r w:rsidRPr="00603AC0">
        <w:rPr>
          <w:lang w:val="fr-FR"/>
        </w:rPr>
        <w:t xml:space="preserve"> </w:t>
      </w:r>
    </w:p>
    <w:p w:rsidR="00603AC0" w:rsidRPr="00603AC0" w:rsidRDefault="00603AC0" w:rsidP="00603AC0">
      <w:pPr>
        <w:pStyle w:val="SingleTxtG"/>
        <w:ind w:left="2268"/>
        <w:rPr>
          <w:b/>
        </w:rPr>
      </w:pPr>
      <w:r w:rsidRPr="00603AC0">
        <w:rPr>
          <w:b/>
          <w:bCs/>
          <w:lang w:val="fr-FR"/>
        </w:rPr>
        <w:t>L’indice d’adhérence sur neige du pneumatique à contrôler par rapport au pneumatique de référence s’obtient en multipliant les efficacités relatives calculées précédemment :</w:t>
      </w:r>
    </w:p>
    <w:p w:rsidR="00603AC0" w:rsidRPr="00603AC0" w:rsidRDefault="00603AC0" w:rsidP="00603AC0">
      <w:pPr>
        <w:pStyle w:val="SingleTxtG"/>
        <w:rPr>
          <w:i/>
        </w:rPr>
      </w:pPr>
      <w:r>
        <w:rPr>
          <w:b/>
          <w:bCs/>
          <w:lang w:val="fr-FR"/>
        </w:rPr>
        <w:tab/>
      </w:r>
      <w:r>
        <w:rPr>
          <w:b/>
          <w:bCs/>
          <w:lang w:val="fr-FR"/>
        </w:rPr>
        <w:tab/>
      </w:r>
      <w:r w:rsidRPr="00603AC0">
        <w:rPr>
          <w:b/>
          <w:bCs/>
          <w:lang w:val="fr-FR"/>
        </w:rPr>
        <w:t>Indice d’adhérence sur neige = SG1 × SG2.</w:t>
      </w:r>
      <w:r w:rsidRPr="00603AC0">
        <w:rPr>
          <w:lang w:val="fr-FR"/>
        </w:rPr>
        <w:t> »</w:t>
      </w:r>
    </w:p>
    <w:p w:rsidR="00603AC0" w:rsidRPr="00603AC0" w:rsidRDefault="00603AC0" w:rsidP="00603AC0">
      <w:pPr>
        <w:pStyle w:val="HChG"/>
        <w:rPr>
          <w:i/>
        </w:rPr>
      </w:pPr>
      <w:r w:rsidRPr="00603AC0">
        <w:rPr>
          <w:lang w:val="fr-FR"/>
        </w:rPr>
        <w:lastRenderedPageBreak/>
        <w:tab/>
        <w:t>II.</w:t>
      </w:r>
      <w:r w:rsidRPr="00603AC0">
        <w:rPr>
          <w:lang w:val="fr-FR"/>
        </w:rPr>
        <w:tab/>
        <w:t>Justification</w:t>
      </w:r>
    </w:p>
    <w:p w:rsidR="00603AC0" w:rsidRPr="00603AC0" w:rsidRDefault="00603AC0" w:rsidP="00603AC0">
      <w:pPr>
        <w:pStyle w:val="SingleTxtG"/>
      </w:pPr>
      <w:r w:rsidRPr="00603AC0">
        <w:rPr>
          <w:lang w:val="fr-FR"/>
        </w:rPr>
        <w:t>1.</w:t>
      </w:r>
      <w:r w:rsidRPr="00603AC0">
        <w:rPr>
          <w:lang w:val="fr-FR"/>
        </w:rPr>
        <w:tab/>
        <w:t>Dans le document ECE/TRANS/WP.29/GRRF/2016/40, le signe « ... », indiquant que la phrase se poursuivait, a été omis à la fin du paragraphe 3.2.1 modifié. Le reste du paragraphe a donc été supprimé. Le présent amendement vise à le réintroduire.</w:t>
      </w:r>
    </w:p>
    <w:p w:rsidR="00603AC0" w:rsidRPr="00603AC0" w:rsidRDefault="00603AC0" w:rsidP="00603AC0">
      <w:pPr>
        <w:pStyle w:val="SingleTxtG"/>
        <w:rPr>
          <w:lang w:val="en-GB"/>
        </w:rPr>
      </w:pPr>
      <w:r w:rsidRPr="00603AC0">
        <w:rPr>
          <w:lang w:val="fr-FR"/>
        </w:rPr>
        <w:t>2.</w:t>
      </w:r>
      <w:r w:rsidRPr="00603AC0">
        <w:rPr>
          <w:lang w:val="fr-FR"/>
        </w:rPr>
        <w:tab/>
        <w:t>Dans le document ECE/TRANS/WP.29/GRRF/2016/40, le signe « ... » avait été ajouté après la phrase modifiée pour souligner que la phrase se poursuivait mais, malheureusement, dans le document ECE/TRANS/WP.29/2017/9, le signe « ... » a été supprimé et le reste du paragraphe 4.9.2 a été supprimé. Le présent amendement vise à le réintroduire.</w:t>
      </w:r>
    </w:p>
    <w:p w:rsidR="00F9573C" w:rsidRPr="00603AC0" w:rsidRDefault="00603AC0" w:rsidP="00603AC0">
      <w:pPr>
        <w:pStyle w:val="SingleTxtG"/>
        <w:spacing w:before="240" w:after="0"/>
        <w:jc w:val="center"/>
        <w:rPr>
          <w:u w:val="single"/>
        </w:rPr>
      </w:pPr>
      <w:r>
        <w:rPr>
          <w:u w:val="single"/>
          <w:lang w:val="en-GB"/>
        </w:rPr>
        <w:tab/>
      </w:r>
      <w:r>
        <w:rPr>
          <w:u w:val="single"/>
          <w:lang w:val="en-GB"/>
        </w:rPr>
        <w:tab/>
      </w:r>
      <w:r>
        <w:rPr>
          <w:u w:val="single"/>
          <w:lang w:val="en-GB"/>
        </w:rPr>
        <w:tab/>
      </w:r>
    </w:p>
    <w:sectPr w:rsidR="00F9573C" w:rsidRPr="00603AC0" w:rsidSect="00603A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03" w:rsidRDefault="00EB0C03" w:rsidP="00F95C08">
      <w:pPr>
        <w:spacing w:line="240" w:lineRule="auto"/>
      </w:pPr>
    </w:p>
  </w:endnote>
  <w:endnote w:type="continuationSeparator" w:id="0">
    <w:p w:rsidR="00EB0C03" w:rsidRPr="00AC3823" w:rsidRDefault="00EB0C03" w:rsidP="00AC3823">
      <w:pPr>
        <w:pStyle w:val="Pieddepage"/>
      </w:pPr>
    </w:p>
  </w:endnote>
  <w:endnote w:type="continuationNotice" w:id="1">
    <w:p w:rsidR="00EB0C03" w:rsidRDefault="00EB0C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C0" w:rsidRPr="00603AC0" w:rsidRDefault="00603AC0" w:rsidP="00603AC0">
    <w:pPr>
      <w:pStyle w:val="Pieddepage"/>
      <w:tabs>
        <w:tab w:val="right" w:pos="9638"/>
      </w:tabs>
    </w:pPr>
    <w:r w:rsidRPr="00603AC0">
      <w:rPr>
        <w:b/>
        <w:sz w:val="18"/>
      </w:rPr>
      <w:fldChar w:fldCharType="begin"/>
    </w:r>
    <w:r w:rsidRPr="00603AC0">
      <w:rPr>
        <w:b/>
        <w:sz w:val="18"/>
      </w:rPr>
      <w:instrText xml:space="preserve"> PAGE  \* MERGEFORMAT </w:instrText>
    </w:r>
    <w:r w:rsidRPr="00603AC0">
      <w:rPr>
        <w:b/>
        <w:sz w:val="18"/>
      </w:rPr>
      <w:fldChar w:fldCharType="separate"/>
    </w:r>
    <w:r w:rsidRPr="00603AC0">
      <w:rPr>
        <w:b/>
        <w:noProof/>
        <w:sz w:val="18"/>
      </w:rPr>
      <w:t>2</w:t>
    </w:r>
    <w:r w:rsidRPr="00603AC0">
      <w:rPr>
        <w:b/>
        <w:sz w:val="18"/>
      </w:rPr>
      <w:fldChar w:fldCharType="end"/>
    </w:r>
    <w:r>
      <w:rPr>
        <w:b/>
        <w:sz w:val="18"/>
      </w:rPr>
      <w:tab/>
    </w:r>
    <w:r>
      <w:t>GE.19-19440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C0" w:rsidRPr="00603AC0" w:rsidRDefault="00603AC0" w:rsidP="00603AC0">
    <w:pPr>
      <w:pStyle w:val="Pieddepage"/>
      <w:tabs>
        <w:tab w:val="right" w:pos="9638"/>
      </w:tabs>
      <w:rPr>
        <w:b/>
        <w:sz w:val="18"/>
      </w:rPr>
    </w:pPr>
    <w:r>
      <w:t>GE.19-19440</w:t>
    </w:r>
    <w:r>
      <w:tab/>
    </w:r>
    <w:r w:rsidRPr="00603AC0">
      <w:rPr>
        <w:b/>
        <w:sz w:val="18"/>
      </w:rPr>
      <w:fldChar w:fldCharType="begin"/>
    </w:r>
    <w:r w:rsidRPr="00603AC0">
      <w:rPr>
        <w:b/>
        <w:sz w:val="18"/>
      </w:rPr>
      <w:instrText xml:space="preserve"> PAGE  \* MERGEFORMAT </w:instrText>
    </w:r>
    <w:r w:rsidRPr="00603AC0">
      <w:rPr>
        <w:b/>
        <w:sz w:val="18"/>
      </w:rPr>
      <w:fldChar w:fldCharType="separate"/>
    </w:r>
    <w:r w:rsidRPr="00603AC0">
      <w:rPr>
        <w:b/>
        <w:noProof/>
        <w:sz w:val="18"/>
      </w:rPr>
      <w:t>3</w:t>
    </w:r>
    <w:r w:rsidRPr="00603A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03AC0" w:rsidRDefault="00603AC0" w:rsidP="00603AC0">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19-19440  (F)    131119    081219</w:t>
    </w:r>
    <w:r>
      <w:rPr>
        <w:sz w:val="20"/>
      </w:rPr>
      <w:br/>
    </w:r>
    <w:r w:rsidRPr="00603AC0">
      <w:rPr>
        <w:rFonts w:ascii="C39T30Lfz" w:hAnsi="C39T30Lfz"/>
        <w:sz w:val="56"/>
      </w:rPr>
      <w:t></w:t>
    </w:r>
    <w:r w:rsidRPr="00603AC0">
      <w:rPr>
        <w:rFonts w:ascii="C39T30Lfz" w:hAnsi="C39T30Lfz"/>
        <w:sz w:val="56"/>
      </w:rPr>
      <w:t></w:t>
    </w:r>
    <w:r w:rsidRPr="00603AC0">
      <w:rPr>
        <w:rFonts w:ascii="C39T30Lfz" w:hAnsi="C39T30Lfz"/>
        <w:sz w:val="56"/>
      </w:rPr>
      <w:t></w:t>
    </w:r>
    <w:r w:rsidRPr="00603AC0">
      <w:rPr>
        <w:rFonts w:ascii="C39T30Lfz" w:hAnsi="C39T30Lfz"/>
        <w:sz w:val="56"/>
      </w:rPr>
      <w:t></w:t>
    </w:r>
    <w:r w:rsidRPr="00603AC0">
      <w:rPr>
        <w:rFonts w:ascii="C39T30Lfz" w:hAnsi="C39T30Lfz"/>
        <w:sz w:val="56"/>
      </w:rPr>
      <w:t></w:t>
    </w:r>
    <w:r w:rsidRPr="00603AC0">
      <w:rPr>
        <w:rFonts w:ascii="C39T30Lfz" w:hAnsi="C39T30Lfz"/>
        <w:sz w:val="56"/>
      </w:rPr>
      <w:t></w:t>
    </w:r>
    <w:r w:rsidRPr="00603AC0">
      <w:rPr>
        <w:rFonts w:ascii="C39T30Lfz" w:hAnsi="C39T30Lfz"/>
        <w:sz w:val="56"/>
      </w:rPr>
      <w:t></w:t>
    </w:r>
    <w:r w:rsidRPr="00603AC0">
      <w:rPr>
        <w:rFonts w:ascii="C39T30Lfz" w:hAnsi="C39T30Lfz"/>
        <w:sz w:val="56"/>
      </w:rPr>
      <w:t></w:t>
    </w:r>
    <w:r w:rsidRPr="00603AC0">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03" w:rsidRPr="00AC3823" w:rsidRDefault="00EB0C03" w:rsidP="00AC3823">
      <w:pPr>
        <w:pStyle w:val="Pieddepage"/>
        <w:tabs>
          <w:tab w:val="right" w:pos="2155"/>
        </w:tabs>
        <w:spacing w:after="80" w:line="240" w:lineRule="atLeast"/>
        <w:ind w:left="680"/>
        <w:rPr>
          <w:u w:val="single"/>
        </w:rPr>
      </w:pPr>
      <w:r>
        <w:rPr>
          <w:u w:val="single"/>
        </w:rPr>
        <w:tab/>
      </w:r>
    </w:p>
  </w:footnote>
  <w:footnote w:type="continuationSeparator" w:id="0">
    <w:p w:rsidR="00EB0C03" w:rsidRPr="00AC3823" w:rsidRDefault="00EB0C03" w:rsidP="00AC3823">
      <w:pPr>
        <w:pStyle w:val="Pieddepage"/>
        <w:tabs>
          <w:tab w:val="right" w:pos="2155"/>
        </w:tabs>
        <w:spacing w:after="80" w:line="240" w:lineRule="atLeast"/>
        <w:ind w:left="680"/>
        <w:rPr>
          <w:u w:val="single"/>
        </w:rPr>
      </w:pPr>
      <w:r>
        <w:rPr>
          <w:u w:val="single"/>
        </w:rPr>
        <w:tab/>
      </w:r>
    </w:p>
  </w:footnote>
  <w:footnote w:type="continuationNotice" w:id="1">
    <w:p w:rsidR="00EB0C03" w:rsidRPr="00AC3823" w:rsidRDefault="00EB0C03">
      <w:pPr>
        <w:spacing w:line="240" w:lineRule="auto"/>
        <w:rPr>
          <w:sz w:val="2"/>
          <w:szCs w:val="2"/>
        </w:rPr>
      </w:pPr>
    </w:p>
  </w:footnote>
  <w:footnote w:id="2">
    <w:p w:rsidR="00603AC0" w:rsidRPr="00C477C8" w:rsidRDefault="00603AC0" w:rsidP="00603AC0">
      <w:pPr>
        <w:pStyle w:val="Notedebasdepage"/>
        <w:rPr>
          <w:szCs w:val="18"/>
        </w:rPr>
      </w:pPr>
      <w:r>
        <w:rPr>
          <w:lang w:val="fr-FR"/>
        </w:rPr>
        <w:tab/>
        <w:t>*</w:t>
      </w:r>
      <w:r>
        <w:rPr>
          <w:lang w:val="fr-FR"/>
        </w:rPr>
        <w:tab/>
        <w:t xml:space="preserve">Conformément au programme de travail du Comité des transports intérieurs pour 2020 tel qu’il figure dans le projet de budget-programme pour 2020 (A/74/6 (partie V, sect. 20), par 20.37),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C0" w:rsidRPr="00603AC0" w:rsidRDefault="00603AC0">
    <w:pPr>
      <w:pStyle w:val="En-tte"/>
    </w:pPr>
    <w:fldSimple w:instr=" TITLE  \* MERGEFORMAT ">
      <w:r w:rsidR="00BC1FEE">
        <w:t>ECE/TRANS/WP.29/GRBP/2020/4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C0" w:rsidRPr="00603AC0" w:rsidRDefault="00603AC0" w:rsidP="00603AC0">
    <w:pPr>
      <w:pStyle w:val="En-tte"/>
      <w:jc w:val="right"/>
    </w:pPr>
    <w:fldSimple w:instr=" TITLE  \* MERGEFORMAT ">
      <w:r w:rsidR="00BC1FEE">
        <w:t>ECE/TRANS/WP.29/GRBP/2020/4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0C0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03AC0"/>
    <w:rsid w:val="0071601D"/>
    <w:rsid w:val="007A62E6"/>
    <w:rsid w:val="007F20FA"/>
    <w:rsid w:val="0080684C"/>
    <w:rsid w:val="00871C75"/>
    <w:rsid w:val="008776DC"/>
    <w:rsid w:val="00884C4A"/>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C1FEE"/>
    <w:rsid w:val="00C02897"/>
    <w:rsid w:val="00C97039"/>
    <w:rsid w:val="00D3439C"/>
    <w:rsid w:val="00DB1831"/>
    <w:rsid w:val="00DD3BFD"/>
    <w:rsid w:val="00DF6678"/>
    <w:rsid w:val="00E0299A"/>
    <w:rsid w:val="00E85C74"/>
    <w:rsid w:val="00EA6547"/>
    <w:rsid w:val="00EB0C03"/>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C9D84"/>
  <w15:docId w15:val="{56396173-83A9-4EA2-A361-B2BD5BE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625</Words>
  <Characters>3402</Characters>
  <Application>Microsoft Office Word</Application>
  <DocSecurity>0</DocSecurity>
  <Lines>82</Lines>
  <Paragraphs>49</Paragraphs>
  <ScaleCrop>false</ScaleCrop>
  <HeadingPairs>
    <vt:vector size="2" baseType="variant">
      <vt:variant>
        <vt:lpstr>Titre</vt:lpstr>
      </vt:variant>
      <vt:variant>
        <vt:i4>1</vt:i4>
      </vt:variant>
    </vt:vector>
  </HeadingPairs>
  <TitlesOfParts>
    <vt:vector size="1" baseType="lpstr">
      <vt:lpstr>ECE/TRANS/WP.29/GRBP/2020/4</vt:lpstr>
    </vt:vector>
  </TitlesOfParts>
  <Company>DCM</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ECE/TRANS/WP.29/GRBP/2020/4</dc:title>
  <dc:subject/>
  <dc:creator>Edith BOURION</dc:creator>
  <cp:keywords/>
  <cp:lastModifiedBy>Edith Bourion</cp:lastModifiedBy>
  <cp:revision>2</cp:revision>
  <cp:lastPrinted>2019-12-08T13:51:00Z</cp:lastPrinted>
  <dcterms:created xsi:type="dcterms:W3CDTF">2019-12-08T14:10:00Z</dcterms:created>
  <dcterms:modified xsi:type="dcterms:W3CDTF">2019-12-08T14:10:00Z</dcterms:modified>
</cp:coreProperties>
</file>