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1EFE4D7" w14:textId="77777777" w:rsidTr="00387CD4">
        <w:trPr>
          <w:trHeight w:hRule="exact" w:val="851"/>
        </w:trPr>
        <w:tc>
          <w:tcPr>
            <w:tcW w:w="142" w:type="dxa"/>
            <w:tcBorders>
              <w:bottom w:val="single" w:sz="4" w:space="0" w:color="auto"/>
            </w:tcBorders>
          </w:tcPr>
          <w:p w14:paraId="256A6821" w14:textId="77777777" w:rsidR="002D5AAC" w:rsidRDefault="002D5AAC" w:rsidP="00C212F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E2972A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71F96FB" w14:textId="77777777" w:rsidR="002D5AAC" w:rsidRDefault="00C212F4" w:rsidP="00C212F4">
            <w:pPr>
              <w:jc w:val="right"/>
            </w:pPr>
            <w:r w:rsidRPr="00C212F4">
              <w:rPr>
                <w:sz w:val="40"/>
              </w:rPr>
              <w:t>ECE</w:t>
            </w:r>
            <w:r>
              <w:t>/TRANS/2020/19</w:t>
            </w:r>
          </w:p>
        </w:tc>
      </w:tr>
      <w:tr w:rsidR="002D5AAC" w:rsidRPr="007F6111" w14:paraId="23023983" w14:textId="77777777" w:rsidTr="00387CD4">
        <w:trPr>
          <w:trHeight w:hRule="exact" w:val="2835"/>
        </w:trPr>
        <w:tc>
          <w:tcPr>
            <w:tcW w:w="1280" w:type="dxa"/>
            <w:gridSpan w:val="2"/>
            <w:tcBorders>
              <w:top w:val="single" w:sz="4" w:space="0" w:color="auto"/>
              <w:bottom w:val="single" w:sz="12" w:space="0" w:color="auto"/>
            </w:tcBorders>
          </w:tcPr>
          <w:p w14:paraId="5B2AD4C9" w14:textId="77777777" w:rsidR="002D5AAC" w:rsidRDefault="002E5067" w:rsidP="00387CD4">
            <w:pPr>
              <w:spacing w:before="120"/>
              <w:jc w:val="center"/>
            </w:pPr>
            <w:r>
              <w:rPr>
                <w:noProof/>
                <w:lang w:val="fr-CH" w:eastAsia="fr-CH"/>
              </w:rPr>
              <w:drawing>
                <wp:inline distT="0" distB="0" distL="0" distR="0" wp14:anchorId="6B91BA75" wp14:editId="50AAFE7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532043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AD808EC" w14:textId="77777777" w:rsidR="002D5AAC" w:rsidRDefault="00C212F4" w:rsidP="00387CD4">
            <w:pPr>
              <w:spacing w:before="240"/>
              <w:rPr>
                <w:lang w:val="en-US"/>
              </w:rPr>
            </w:pPr>
            <w:r>
              <w:rPr>
                <w:lang w:val="en-US"/>
              </w:rPr>
              <w:t>Distr.: General</w:t>
            </w:r>
          </w:p>
          <w:p w14:paraId="0CDB0AE6" w14:textId="496619A1" w:rsidR="00C212F4" w:rsidRDefault="00C212F4" w:rsidP="00C212F4">
            <w:pPr>
              <w:spacing w:line="240" w:lineRule="exact"/>
              <w:rPr>
                <w:lang w:val="en-US"/>
              </w:rPr>
            </w:pPr>
            <w:r>
              <w:rPr>
                <w:lang w:val="en-US"/>
              </w:rPr>
              <w:t>14 January 20</w:t>
            </w:r>
            <w:r w:rsidR="006449FC">
              <w:rPr>
                <w:lang w:val="en-US"/>
              </w:rPr>
              <w:t>20</w:t>
            </w:r>
          </w:p>
          <w:p w14:paraId="4A3DBFC5" w14:textId="77777777" w:rsidR="00C212F4" w:rsidRDefault="00C212F4" w:rsidP="00C212F4">
            <w:pPr>
              <w:spacing w:line="240" w:lineRule="exact"/>
              <w:rPr>
                <w:lang w:val="en-US"/>
              </w:rPr>
            </w:pPr>
            <w:r>
              <w:rPr>
                <w:lang w:val="en-US"/>
              </w:rPr>
              <w:t>Russian</w:t>
            </w:r>
          </w:p>
          <w:p w14:paraId="3DF2B478" w14:textId="77777777" w:rsidR="00C212F4" w:rsidRPr="008D53B6" w:rsidRDefault="00C212F4" w:rsidP="00C212F4">
            <w:pPr>
              <w:spacing w:line="240" w:lineRule="exact"/>
              <w:rPr>
                <w:lang w:val="en-US"/>
              </w:rPr>
            </w:pPr>
            <w:r>
              <w:rPr>
                <w:lang w:val="en-US"/>
              </w:rPr>
              <w:t>Original: English</w:t>
            </w:r>
          </w:p>
        </w:tc>
      </w:tr>
    </w:tbl>
    <w:p w14:paraId="276508DE" w14:textId="77777777" w:rsidR="00C212F4" w:rsidRDefault="008A37C8" w:rsidP="00255343">
      <w:pPr>
        <w:spacing w:before="120"/>
        <w:rPr>
          <w:b/>
          <w:sz w:val="28"/>
          <w:szCs w:val="28"/>
        </w:rPr>
      </w:pPr>
      <w:r w:rsidRPr="00245892">
        <w:rPr>
          <w:b/>
          <w:sz w:val="28"/>
          <w:szCs w:val="28"/>
        </w:rPr>
        <w:t>Европейская экономическая комиссия</w:t>
      </w:r>
    </w:p>
    <w:p w14:paraId="6A1201EA" w14:textId="77777777" w:rsidR="00C212F4" w:rsidRPr="00C212F4" w:rsidRDefault="00C212F4" w:rsidP="00C212F4">
      <w:pPr>
        <w:spacing w:before="120"/>
        <w:rPr>
          <w:sz w:val="40"/>
          <w:szCs w:val="28"/>
        </w:rPr>
      </w:pPr>
      <w:r w:rsidRPr="00C212F4">
        <w:rPr>
          <w:sz w:val="28"/>
        </w:rPr>
        <w:t>Комитет по внутреннему транспорту</w:t>
      </w:r>
    </w:p>
    <w:p w14:paraId="4FE062F8" w14:textId="77777777" w:rsidR="00C212F4" w:rsidRPr="00662205" w:rsidRDefault="00C212F4" w:rsidP="00C212F4">
      <w:pPr>
        <w:spacing w:before="120"/>
        <w:rPr>
          <w:b/>
          <w:bCs/>
        </w:rPr>
      </w:pPr>
      <w:r>
        <w:rPr>
          <w:b/>
          <w:bCs/>
        </w:rPr>
        <w:t>Восемьдесят вторая сессия</w:t>
      </w:r>
    </w:p>
    <w:p w14:paraId="6E41B2AF" w14:textId="77777777" w:rsidR="00C212F4" w:rsidRPr="00662205" w:rsidRDefault="00C212F4" w:rsidP="00C212F4">
      <w:pPr>
        <w:tabs>
          <w:tab w:val="left" w:pos="4820"/>
        </w:tabs>
        <w:rPr>
          <w:b/>
          <w:bCs/>
        </w:rPr>
      </w:pPr>
      <w:r>
        <w:t>Женева, 25</w:t>
      </w:r>
      <w:r w:rsidRPr="00533D7B">
        <w:t>–</w:t>
      </w:r>
      <w:r>
        <w:t>28 февраля 2020 года</w:t>
      </w:r>
      <w:r>
        <w:br/>
        <w:t>Пункт 5 d) предварительной повестки дня</w:t>
      </w:r>
      <w:r>
        <w:br/>
      </w:r>
      <w:r>
        <w:rPr>
          <w:b/>
          <w:bCs/>
        </w:rPr>
        <w:t xml:space="preserve">Стратегические вопросы партнерства и технической </w:t>
      </w:r>
      <w:r>
        <w:rPr>
          <w:b/>
          <w:bCs/>
        </w:rPr>
        <w:br/>
        <w:t>помощи:</w:t>
      </w:r>
      <w:r w:rsidRPr="00C212F4">
        <w:rPr>
          <w:b/>
          <w:bCs/>
        </w:rPr>
        <w:t xml:space="preserve"> </w:t>
      </w:r>
      <w:r>
        <w:rPr>
          <w:rFonts w:eastAsiaTheme="minorEastAsia"/>
          <w:b/>
          <w:bCs/>
          <w:lang w:eastAsia="zh-CN" w:bidi="ar-DZ"/>
        </w:rPr>
        <w:t>П</w:t>
      </w:r>
      <w:r>
        <w:rPr>
          <w:b/>
          <w:bCs/>
        </w:rPr>
        <w:t xml:space="preserve">роект годового доклада о деятельности </w:t>
      </w:r>
      <w:r>
        <w:rPr>
          <w:b/>
          <w:bCs/>
        </w:rPr>
        <w:br/>
        <w:t>вспомогательных органов Комитета в</w:t>
      </w:r>
      <w:r w:rsidRPr="00533D7B">
        <w:rPr>
          <w:b/>
          <w:bCs/>
        </w:rPr>
        <w:t xml:space="preserve"> </w:t>
      </w:r>
      <w:r>
        <w:rPr>
          <w:b/>
          <w:bCs/>
        </w:rPr>
        <w:t>2019 году</w:t>
      </w:r>
    </w:p>
    <w:p w14:paraId="6970E7AC" w14:textId="77777777" w:rsidR="00C212F4" w:rsidRPr="00662205" w:rsidRDefault="00C212F4" w:rsidP="00C212F4">
      <w:pPr>
        <w:pStyle w:val="HChG"/>
      </w:pPr>
      <w:r>
        <w:tab/>
      </w:r>
      <w:r>
        <w:tab/>
      </w:r>
      <w:r>
        <w:rPr>
          <w:bCs/>
        </w:rPr>
        <w:t>Проект годового доклада Отдела устойчивого транспорта Европейской экономической комиссии Организации Объединенных Наций за 2019 год</w:t>
      </w:r>
    </w:p>
    <w:p w14:paraId="2B749451" w14:textId="77777777" w:rsidR="00C212F4" w:rsidRPr="00662205" w:rsidRDefault="00C212F4" w:rsidP="00C212F4">
      <w:pPr>
        <w:pStyle w:val="H1G"/>
      </w:pPr>
      <w:r>
        <w:tab/>
      </w:r>
      <w:r>
        <w:tab/>
      </w:r>
      <w:r>
        <w:rPr>
          <w:bCs/>
        </w:rPr>
        <w:t>Записка секретариата</w:t>
      </w:r>
      <w:r w:rsidRPr="007F6111">
        <w:rPr>
          <w:rStyle w:val="FootnoteReference"/>
          <w:b w:val="0"/>
          <w:sz w:val="20"/>
          <w:vertAlign w:val="baseline"/>
        </w:rPr>
        <w:footnoteReference w:customMarkFollows="1" w:id="1"/>
        <w:t>*</w:t>
      </w:r>
    </w:p>
    <w:p w14:paraId="326AB14E" w14:textId="77777777" w:rsidR="00C212F4" w:rsidRPr="00662205" w:rsidRDefault="00C212F4" w:rsidP="00C212F4">
      <w:pPr>
        <w:pStyle w:val="HChG"/>
      </w:pPr>
      <w:r>
        <w:tab/>
        <w:t>I.</w:t>
      </w:r>
      <w:r>
        <w:tab/>
      </w:r>
      <w:r>
        <w:rPr>
          <w:bCs/>
        </w:rPr>
        <w:t>Принятие Стратегии КВТ на период до 2030 года: важная веха для внутреннего транспорта</w:t>
      </w:r>
      <w:bookmarkStart w:id="1" w:name="_Hlk29203161"/>
    </w:p>
    <w:bookmarkEnd w:id="1"/>
    <w:p w14:paraId="4220DAEC" w14:textId="77777777" w:rsidR="00C212F4" w:rsidRPr="00662205" w:rsidRDefault="00C212F4" w:rsidP="00C212F4">
      <w:pPr>
        <w:pStyle w:val="SingleTxtG"/>
      </w:pPr>
      <w:r>
        <w:t>1.</w:t>
      </w:r>
      <w:r>
        <w:tab/>
        <w:t xml:space="preserve">2019 год стал важной вехой для внутреннего транспорта: Комитет по внутреннему транспорту (КВТ) Европейской экономической комиссии Организации Объединенных Наций (ЕЭК) при участии правительств, председателей и заместителей председателей административных комитетов и рабочих групп по внутреннему транспорту принял Стратегию КВТ на период до 2030 года (Стратегия КВТ, </w:t>
      </w:r>
      <w:hyperlink r:id="rId8" w:history="1">
        <w:r w:rsidRPr="009A00EB">
          <w:rPr>
            <w:rStyle w:val="Hyperlink"/>
          </w:rPr>
          <w:t>ECE/TRANS/288/Add.2</w:t>
        </w:r>
      </w:hyperlink>
      <w:r>
        <w:t>). Соответствующее мероприятие состоялось в ходе девятой сессии с ограниченным участием только для правительств в рамках восемьдесят первой сессии КВТ и стало кульминационным моментом двухлетних обсуждений и всесторонних консультаций с государствами-членами и рабочими группами/</w:t>
      </w:r>
      <w:r w:rsidR="00713400">
        <w:br/>
      </w:r>
      <w:r>
        <w:t>Председателями.</w:t>
      </w:r>
    </w:p>
    <w:p w14:paraId="017B648F" w14:textId="77777777" w:rsidR="00C212F4" w:rsidRPr="00662205" w:rsidRDefault="00C212F4" w:rsidP="00C212F4">
      <w:pPr>
        <w:pStyle w:val="SingleTxtG"/>
      </w:pPr>
      <w:r>
        <w:t>2.</w:t>
      </w:r>
      <w:r>
        <w:tab/>
        <w:t>Стратегия КВТ признает Комитет в качестве платформы Организации Объединенных Наций по внутреннему транспорту, работа которой основана на четырех ключевых компонентах, нацеленных на согласование усилий по развитию внутреннего транспорта во всем мире и создание наиболее безопасной и устойчивой системы мобильности. К этим четырем компонентам относятся:</w:t>
      </w:r>
    </w:p>
    <w:p w14:paraId="75CD66BC" w14:textId="77777777" w:rsidR="00C212F4" w:rsidRPr="00C212F4" w:rsidRDefault="00C212F4" w:rsidP="00C212F4">
      <w:pPr>
        <w:pStyle w:val="SingleTxtG"/>
      </w:pPr>
      <w:r>
        <w:tab/>
      </w:r>
      <w:r>
        <w:tab/>
      </w:r>
      <w:r w:rsidRPr="00C212F4">
        <w:t>a)</w:t>
      </w:r>
      <w:r w:rsidRPr="00C212F4">
        <w:tab/>
        <w:t>продвижение и поддержка функционирования конвенций Организации Объединенных Наций в области транспорта, которые стимулируют использование безопасных и высоких стандартов во всем мире;</w:t>
      </w:r>
    </w:p>
    <w:p w14:paraId="63EB419E" w14:textId="77777777" w:rsidR="00C212F4" w:rsidRPr="00C212F4" w:rsidRDefault="00C212F4" w:rsidP="00C212F4">
      <w:pPr>
        <w:pStyle w:val="SingleTxtG"/>
      </w:pPr>
      <w:r>
        <w:lastRenderedPageBreak/>
        <w:tab/>
      </w:r>
      <w:r>
        <w:tab/>
      </w:r>
      <w:r w:rsidRPr="00C212F4">
        <w:t>b)</w:t>
      </w:r>
      <w:r w:rsidRPr="00C212F4">
        <w:tab/>
        <w:t>поддержка развития новых технологий и инноваций в секторе транспорта с помощью универсальных стандартов, с тем чтобы, например, транспортные средства могли использоваться в различных странах; кроме того, стандарты устанавливаются также в целях ускорения технического прогресса через сотрудничество;</w:t>
      </w:r>
    </w:p>
    <w:p w14:paraId="5341316D" w14:textId="77777777" w:rsidR="00C212F4" w:rsidRPr="00713400" w:rsidRDefault="00C212F4" w:rsidP="00C212F4">
      <w:pPr>
        <w:pStyle w:val="SingleTxtG"/>
      </w:pPr>
      <w:r>
        <w:tab/>
      </w:r>
      <w:r>
        <w:tab/>
      </w:r>
      <w:r w:rsidRPr="00C212F4">
        <w:t>c)</w:t>
      </w:r>
      <w:r w:rsidRPr="00C212F4">
        <w:tab/>
        <w:t xml:space="preserve">поощрение межрегионального и глобального диалога по вопросам политики в области внутреннего транспорта, и здесь Комитет по внутреннему транспорту служит важнейшей платформой для такого диалога на протяжении последних семи десятилетий; </w:t>
      </w:r>
      <w:r w:rsidR="00713400">
        <w:t>и</w:t>
      </w:r>
    </w:p>
    <w:p w14:paraId="0711F313" w14:textId="77777777" w:rsidR="00C212F4" w:rsidRPr="00C212F4" w:rsidRDefault="00C212F4" w:rsidP="00C212F4">
      <w:pPr>
        <w:pStyle w:val="SingleTxtG"/>
      </w:pPr>
      <w:r>
        <w:tab/>
      </w:r>
      <w:r>
        <w:tab/>
      </w:r>
      <w:r w:rsidRPr="00C212F4">
        <w:t>d)</w:t>
      </w:r>
      <w:r w:rsidRPr="00C212F4">
        <w:tab/>
        <w:t xml:space="preserve">содействие обеспечению устойчивой связности и мобильности в секторе внутреннего транспорта на региональном и межрегиональном уровнях. </w:t>
      </w:r>
    </w:p>
    <w:p w14:paraId="56A6D686" w14:textId="77777777" w:rsidR="00C212F4" w:rsidRPr="00662205" w:rsidRDefault="00C212F4" w:rsidP="00C212F4">
      <w:pPr>
        <w:pStyle w:val="SingleTxtG"/>
      </w:pPr>
      <w:r>
        <w:t>3.</w:t>
      </w:r>
      <w:r>
        <w:tab/>
        <w:t>Принятие Стратегии КВТ знаменует собой дальнейшее расширение конвенций, относящихся к ведению Комитета, для охвата всех 193 государств –</w:t>
      </w:r>
      <w:r w:rsidR="00713400">
        <w:t> </w:t>
      </w:r>
      <w:r>
        <w:t>членов Организации Объединенных Наций. Это означает содействие расширенному присоединению к правовым документам и инструментам, которые действуют в качестве общей основы для более безопасной, устойчивой и доступной мобильности, и обеспечение их более эффективного осуществления. Это станет поистине важной вехой для сектора внутреннего транспорта, которая принесет преимущества как государствам – членам ЕЭК, так и всем государствам –</w:t>
      </w:r>
      <w:r w:rsidR="00713400">
        <w:t> </w:t>
      </w:r>
      <w:r>
        <w:t>членам Организации Объединенных Наций.</w:t>
      </w:r>
    </w:p>
    <w:p w14:paraId="5980BC7A" w14:textId="77777777" w:rsidR="00C212F4" w:rsidRPr="00662205" w:rsidRDefault="00C212F4" w:rsidP="00C212F4">
      <w:pPr>
        <w:pStyle w:val="SingleTxtG"/>
      </w:pPr>
      <w:r>
        <w:t>4.</w:t>
      </w:r>
      <w:r>
        <w:tab/>
        <w:t>Отдел устойчивого транспорта предоставляет секретариатскую поддержку для КВТ ЕЭК, его 20 рабочих групп, а также Комитета экспертов Экономического и Социального Совета (ЭКОСОС) по перевозке опасных грузов и согласованной на глобальном уровне системе классификации опасности и маркировки химической продукции и его двух вспомогательных подкомитетов. Помимо этого, Отдел устойчивого транспорта обеспечивает также секретариатское обслуживание 12 договорных органов, которые проводят регулярные совещания для обновления и изменения правовых актов Организации Объединенных Наций, относящихся к их ведению.</w:t>
      </w:r>
    </w:p>
    <w:p w14:paraId="3ACB8071" w14:textId="77777777" w:rsidR="00C212F4" w:rsidRPr="00662205" w:rsidRDefault="00C212F4" w:rsidP="00C212F4">
      <w:pPr>
        <w:pStyle w:val="SingleTxtG"/>
      </w:pPr>
      <w:r>
        <w:t>5.</w:t>
      </w:r>
      <w:r>
        <w:tab/>
        <w:t>Кроме того, Отдел устойчивого транспорта ведет сотрудничество с Отделом транспорта Экономической и социальной комиссии для Азии и Тихого океана (ЭСКАТО), а также обслуживает Проектную рабочую группу по транспорту Специальной программы Организации Объединенных Наций для экономик Центральной Азии (СПЕКА). Отдел устойчивого транспорта является исполнительным учреждением по проектам Трансъевропейских автомагистралей (ТЕА) и Трансъевропейской железнодорожной магистрали (ТЕЖ). Европейское региональное бюро Всемирной организации здравоохранения (ВОЗ) и отделы устойчивого транспорта и окружающей среды ЕЭК являются секретариатом Общеевропейской программы по транспорту, окружающей среде и охране здоровья (ОПТОСОЗ). С 1999 года Отдел устойчивого транспорта предоставляет внебюджетные секретариатские услуги системе МДП. С 2015 года Отдел устойчивого транспорта оказывает также внебюджетные секретариатские услуги Специальному посланнику Генерального секретаря Организации Объединенных Наций по безопасности дорожного движения. Наконец, начиная с 2018 года Отдел устойчивого транспорта предоставляет внебюджетные секретариатские услуги Целевому фонду Организации Объединенных Наций по безопасности дорожного движения.</w:t>
      </w:r>
    </w:p>
    <w:p w14:paraId="2C0B4D03" w14:textId="77777777" w:rsidR="00C212F4" w:rsidRPr="00533D7B" w:rsidRDefault="00C212F4" w:rsidP="00C212F4">
      <w:pPr>
        <w:pStyle w:val="HChG"/>
      </w:pPr>
      <w:r>
        <w:tab/>
        <w:t>II.</w:t>
      </w:r>
      <w:r>
        <w:tab/>
      </w:r>
      <w:r>
        <w:rPr>
          <w:bCs/>
        </w:rPr>
        <w:t xml:space="preserve">Воздействие внутреннего транспорта на глобальном </w:t>
      </w:r>
      <w:r>
        <w:rPr>
          <w:bCs/>
        </w:rPr>
        <w:br/>
        <w:t>и региональном уровнях</w:t>
      </w:r>
    </w:p>
    <w:p w14:paraId="48963D63" w14:textId="77777777" w:rsidR="00C212F4" w:rsidRPr="00533D7B" w:rsidRDefault="00C212F4" w:rsidP="00C212F4">
      <w:pPr>
        <w:pStyle w:val="SingleTxtG"/>
      </w:pPr>
      <w:r>
        <w:t>6.</w:t>
      </w:r>
      <w:r>
        <w:tab/>
        <w:t>Принятие Стратегии КВТ обеспечивает повышение отдачи от работы КВТ с точки зрения влияния на повседневную жизнь людей. Расширение нормативной базы внутреннего транспорта повышает эффективность, безопасность и устойчивость различных видов внутреннего транспорта. К наиболее существенным результатам этой работы относятся в том числе следующие:</w:t>
      </w:r>
    </w:p>
    <w:p w14:paraId="46BDDBE0" w14:textId="77777777" w:rsidR="00C212F4" w:rsidRPr="00533D7B" w:rsidRDefault="00C212F4" w:rsidP="00C212F4">
      <w:pPr>
        <w:pStyle w:val="Bullet1G"/>
        <w:numPr>
          <w:ilvl w:val="0"/>
          <w:numId w:val="22"/>
        </w:numPr>
      </w:pPr>
      <w:r>
        <w:lastRenderedPageBreak/>
        <w:t>ежегодно в мире 89% новых произведенных легковых и грузовых автомобилей и автобусов и 53% новых произведенных мотоциклов удовлетворяют положениям правил ООН либо глобальных технических правил ООН;</w:t>
      </w:r>
    </w:p>
    <w:p w14:paraId="7CA90334" w14:textId="77777777" w:rsidR="00C212F4" w:rsidRPr="00533D7B" w:rsidRDefault="00C212F4" w:rsidP="00C212F4">
      <w:pPr>
        <w:pStyle w:val="Bullet1G"/>
        <w:numPr>
          <w:ilvl w:val="0"/>
          <w:numId w:val="22"/>
        </w:numPr>
      </w:pPr>
      <w:r>
        <w:t>только в Европе ежегодно выдается от 150 до 200 м</w:t>
      </w:r>
      <w:r w:rsidR="00B52B34">
        <w:t>лн</w:t>
      </w:r>
      <w:r>
        <w:t xml:space="preserve"> накладных для совершения международных перевозок в рамках Конвенции о международной дорожной перевозке грузов (КДПГ), а с учетом национальных грузовых перевозок эта цифра возрастает примерно до 1 млрд накладных;</w:t>
      </w:r>
    </w:p>
    <w:p w14:paraId="7AECD221" w14:textId="77777777" w:rsidR="00C212F4" w:rsidRPr="00533D7B" w:rsidRDefault="00C212F4" w:rsidP="00C212F4">
      <w:pPr>
        <w:pStyle w:val="Bullet1G"/>
        <w:numPr>
          <w:ilvl w:val="0"/>
          <w:numId w:val="22"/>
        </w:numPr>
      </w:pPr>
      <w:r>
        <w:t>более 450 м</w:t>
      </w:r>
      <w:r>
        <w:rPr>
          <w:lang w:eastAsia="zh-CN" w:bidi="ar-DZ"/>
        </w:rPr>
        <w:t xml:space="preserve">лн </w:t>
      </w:r>
      <w:r>
        <w:t>транспортных средств в Европе, Центральной Азии, Северной Африке и на Ближнем Востоке используют зеленые карты; 129 стран выдают миллионы водительских удостоверений международного образца;</w:t>
      </w:r>
    </w:p>
    <w:p w14:paraId="6A464016" w14:textId="77777777" w:rsidR="00C212F4" w:rsidRPr="00533D7B" w:rsidRDefault="00C212F4" w:rsidP="00C212F4">
      <w:pPr>
        <w:pStyle w:val="Bullet1G"/>
        <w:numPr>
          <w:ilvl w:val="0"/>
          <w:numId w:val="22"/>
        </w:numPr>
      </w:pPr>
      <w:r>
        <w:t>более 12 млн пассажирских и грузовых транспортных средств используют тахографы в регионе ЕЭК, за исключением Северной Америки;</w:t>
      </w:r>
    </w:p>
    <w:p w14:paraId="24156ED3" w14:textId="77777777" w:rsidR="00C212F4" w:rsidRPr="007939AF" w:rsidRDefault="00C212F4" w:rsidP="00C212F4">
      <w:pPr>
        <w:pStyle w:val="Bullet1G"/>
        <w:numPr>
          <w:ilvl w:val="0"/>
          <w:numId w:val="22"/>
        </w:numPr>
      </w:pPr>
      <w:r>
        <w:t>в 2019 году 34 000 уполномоченных перевозчиков в 62 странах осуществили 858 100 перевозок МДП; помимо прочего, исследования показывают, что страны, применяющие Конвенцию МДП, демонстрируют увеличение национального ВВП на 0,14–1,31%, а для развивающихся стран, не имеющих выхода к морю (РСНВМ), выгоды могут быть еще более значительными;</w:t>
      </w:r>
    </w:p>
    <w:p w14:paraId="65495E88" w14:textId="77777777" w:rsidR="00C212F4" w:rsidRPr="00533D7B" w:rsidRDefault="00C212F4" w:rsidP="00C212F4">
      <w:pPr>
        <w:pStyle w:val="Bullet1G"/>
        <w:numPr>
          <w:ilvl w:val="0"/>
          <w:numId w:val="22"/>
        </w:numPr>
      </w:pPr>
      <w:r>
        <w:t xml:space="preserve"> транспортная статистика государств –</w:t>
      </w:r>
      <w:r w:rsidR="00713400">
        <w:t> </w:t>
      </w:r>
      <w:r>
        <w:t>членов ЕЭК становится все более сопоставимой благодаря глоссарию, разработанному в ЕЭК в сотрудничестве с Международным транспортным форумом (МТФ) и Евростатом;</w:t>
      </w:r>
    </w:p>
    <w:p w14:paraId="4ABC64FE" w14:textId="77777777" w:rsidR="00C212F4" w:rsidRPr="00533D7B" w:rsidRDefault="00C212F4" w:rsidP="00C212F4">
      <w:pPr>
        <w:pStyle w:val="Bullet1G"/>
        <w:numPr>
          <w:ilvl w:val="0"/>
          <w:numId w:val="22"/>
        </w:numPr>
      </w:pPr>
      <w:r>
        <w:t>с 1998 по 2016 год общая протяженность сети водных путей категории E увеличилась с 27 711 км до 29 238 км, а доля водных путей категории E, соответствующих стандартам СМВП, выросла с 79% до 83%</w:t>
      </w:r>
      <w:r w:rsidR="00713400">
        <w:t>;</w:t>
      </w:r>
    </w:p>
    <w:p w14:paraId="387B3918" w14:textId="77777777" w:rsidR="00C212F4" w:rsidRPr="00533D7B" w:rsidRDefault="00C212F4" w:rsidP="00C212F4">
      <w:pPr>
        <w:pStyle w:val="Bullet1G"/>
        <w:numPr>
          <w:ilvl w:val="0"/>
          <w:numId w:val="22"/>
        </w:numPr>
      </w:pPr>
      <w:r>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обеспечивает безопасную перевозку глубокозамороженных и охлажденных пищевых продуктов, с тем чтобы пищевые продукты доставлялись получателю в оптимальной кондиции и были пригодны для питания людей.</w:t>
      </w:r>
    </w:p>
    <w:p w14:paraId="6A4A18DF" w14:textId="77777777" w:rsidR="00C212F4" w:rsidRPr="00533D7B" w:rsidRDefault="00C212F4" w:rsidP="00C212F4">
      <w:pPr>
        <w:pStyle w:val="SingleTxtG"/>
      </w:pPr>
      <w:r>
        <w:t>7.</w:t>
      </w:r>
      <w:r>
        <w:tab/>
        <w:t>Наглядным примером практического влияния работы Отдела устойчивого транспорта на повседневную жизнь служит организация перевозок опасных грузов и согласование классификации опасности и маркировки химической продукции. Эта</w:t>
      </w:r>
      <w:r w:rsidR="00B52B34">
        <w:t> </w:t>
      </w:r>
      <w:r>
        <w:t>работа имеет важнейшее значение и оказывает глобальное влияние. Так,</w:t>
      </w:r>
      <w:r w:rsidR="00B52B34">
        <w:t> </w:t>
      </w:r>
      <w:r>
        <w:t>например:</w:t>
      </w:r>
    </w:p>
    <w:p w14:paraId="37A903F8" w14:textId="77777777" w:rsidR="00C212F4" w:rsidRPr="00533D7B" w:rsidRDefault="00C212F4" w:rsidP="00C212F4">
      <w:pPr>
        <w:pStyle w:val="Bullet1G"/>
        <w:numPr>
          <w:ilvl w:val="0"/>
          <w:numId w:val="22"/>
        </w:numPr>
      </w:pPr>
      <w:r>
        <w:t>в 2017 году только в государствах – членах Европейского союза на основании Европейского соглашения о международной дорожной перевозке опасных грузов (ДОПОГ) было перевезено более 82 млрд тонно-километров опасных грузов;</w:t>
      </w:r>
    </w:p>
    <w:p w14:paraId="6A0A1C94" w14:textId="77777777" w:rsidR="00C212F4" w:rsidRPr="00533D7B" w:rsidRDefault="00C212F4" w:rsidP="00C212F4">
      <w:pPr>
        <w:pStyle w:val="Bullet1G"/>
        <w:numPr>
          <w:ilvl w:val="0"/>
          <w:numId w:val="22"/>
        </w:numPr>
      </w:pPr>
      <w:r>
        <w:t>в 2018 году в Соединенных Штатах Америки было перевезено 435 млн опасных грузов, причем 99,997% из них без инцидентов; правила США по перевозке опасных грузов основаны на Типовых правилах, разработанных Подкомитетом экспертов ЭКОСОС по перевозке опасных грузов.</w:t>
      </w:r>
    </w:p>
    <w:p w14:paraId="20F751A7" w14:textId="77777777" w:rsidR="00C212F4" w:rsidRPr="00533D7B" w:rsidRDefault="00C212F4" w:rsidP="00C212F4">
      <w:pPr>
        <w:pStyle w:val="SingleTxtG"/>
      </w:pPr>
      <w:r>
        <w:t>8.</w:t>
      </w:r>
      <w:r>
        <w:tab/>
        <w:t>Эти правила распространяются на значительную часть перевозимых грузов, к</w:t>
      </w:r>
      <w:r w:rsidR="00B52B34">
        <w:t> </w:t>
      </w:r>
      <w:r>
        <w:t>которым относятся такие товары, как батареи, краски, растворители и разбавители краски, аэрозоли, духи, некоторые дезодоранты, клеи и многие другие изделия, которыми люди пользуются ежедневно. Около 80% всех опасных грузов представляют собой легковоспламеняющиеся жидкости, такие как бензин, мазуты, клеи и спирты. В</w:t>
      </w:r>
      <w:r>
        <w:rPr>
          <w:lang w:val="en-US"/>
        </w:rPr>
        <w:t> </w:t>
      </w:r>
      <w:r>
        <w:t xml:space="preserve">мире производится 16 млрд единиц аэрозолей (из них 5,5 млрд в Европе). Таким образом, ввиду повсеместного распространения таких товаров около 10% от всех контейнерных перевозок в мире приходится на опасные грузы, причем они перевозятся всеми видами транспорта. </w:t>
      </w:r>
    </w:p>
    <w:p w14:paraId="4B043F1F" w14:textId="77777777" w:rsidR="00C212F4" w:rsidRPr="00533D7B" w:rsidRDefault="00C212F4" w:rsidP="00C212F4">
      <w:pPr>
        <w:pStyle w:val="SingleTxtG"/>
      </w:pPr>
      <w:r>
        <w:t>9.</w:t>
      </w:r>
      <w:r>
        <w:tab/>
        <w:t xml:space="preserve">В русле тенденции к цифровизации существенно растет использование аккумуляторных батарей, поскольку самые различные изделия, которые раньше </w:t>
      </w:r>
      <w:r>
        <w:lastRenderedPageBreak/>
        <w:t>подключались к сети, теперь все чаще становятся беспроводными. Батареи упаковываются и транспортируются по всему миру всеми видами транспорта в соответствии с Правилами Организации Объединенных Наций по перевозке опасных грузов. О росте этого сектора можно судить по некоторым примерам, приведенным ниже.</w:t>
      </w:r>
    </w:p>
    <w:p w14:paraId="7CF65EBA" w14:textId="77777777" w:rsidR="00C212F4" w:rsidRPr="00533D7B" w:rsidRDefault="00C212F4" w:rsidP="00C212F4">
      <w:pPr>
        <w:pStyle w:val="Bullet1G"/>
        <w:numPr>
          <w:ilvl w:val="0"/>
          <w:numId w:val="22"/>
        </w:numPr>
        <w:rPr>
          <w:rFonts w:asciiTheme="majorBidi" w:hAnsiTheme="majorBidi" w:cstheme="majorBidi"/>
        </w:rPr>
      </w:pPr>
      <w:r>
        <w:t>Мировой рынок литиевых батарей для легковых и средних/большегрузных транспортных средств, как ожидается, вырастет с 7,8 млрд долл. США в 2015</w:t>
      </w:r>
      <w:r w:rsidR="00B52B34">
        <w:t> </w:t>
      </w:r>
      <w:r>
        <w:t xml:space="preserve">году до 30,6 млрд долл. к 2024 году. Ежегодно продается от 10 миллионов до нескольких миллиардов мобильных телефонов, планшетных ПК и ноутбуков, в которых используются литиевые батареи. </w:t>
      </w:r>
    </w:p>
    <w:p w14:paraId="129CF6F1" w14:textId="77777777" w:rsidR="00C212F4" w:rsidRPr="00533D7B" w:rsidRDefault="00C212F4" w:rsidP="00C212F4">
      <w:pPr>
        <w:pStyle w:val="Bullet1G"/>
        <w:numPr>
          <w:ilvl w:val="0"/>
          <w:numId w:val="22"/>
        </w:numPr>
      </w:pPr>
      <w:r>
        <w:t>Согласно одному из исследований, оценочный рост веса отгруженных батарей, экспортируемых из азиатских стран (где производится большинство литиевых батарей)</w:t>
      </w:r>
      <w:r w:rsidR="00713400">
        <w:t>,</w:t>
      </w:r>
      <w:r>
        <w:t xml:space="preserve"> увеличился с менее чем 100 000 тонн в 2000 году до более чем 1 500 000 тонн в 2018 году. Вес общего количества перевезенных с 2000 года единиц превышает 2 300 млрд тонн. Если перевести это в мегаватт-часы, то рост становится еще более существенным. В 2000 году было произведено практически 0 МВт⋅ч батарей в год, но в последующие 20 лет эта цифра росла по экспоненте. В 2015 году эта цифра выросла до 90 000 МВт⋅ч, и к 2020 году, как ожидается, она достигнет 250 000, а к 2030 году – почти 900 000.</w:t>
      </w:r>
    </w:p>
    <w:p w14:paraId="2ABA2849" w14:textId="77777777" w:rsidR="00C212F4" w:rsidRPr="00533D7B" w:rsidRDefault="00C212F4" w:rsidP="00C212F4">
      <w:pPr>
        <w:pStyle w:val="SingleTxtG"/>
      </w:pPr>
      <w:r>
        <w:t>10.</w:t>
      </w:r>
      <w:r>
        <w:tab/>
        <w:t>Отдел устойчивого транспорта также обслуживает работающий в рамках ЭКОСОС орган, который занимается согласованием на глобальном уровне классификации опасности химической продукции и средств оповещения об опасных химических веществах. Этот орган разрабатывает рекомендации, которые в настоящее время осуществляются во всем мире и определяют общие критерии классификации и маркировки для обеспечения одинакового уровня защиты работников и потребителей от опасностей, связанных с химическими веществами, во всем мире. Согласно исследованию, проведенному ВОЗ в 2004 году, 4,9 млн смертей (8,3% от общего числа) и 86 млн лет жизни с поправкой на инвалидность (ГЖПИ) (5,7% от общего числа) были обусловлены воздействием отдельных химикатов на окружающую среду, а также воздействием на людей при работе с такими химическими веществами. Согласно этим данным, это составляет 1,7% всех заболеваний в мире (в ГЖПИ), или 2,0% всех смертей. По оценкам МОТ, ежегодно 2,78 млн работников этой сферы умирают от несчастных случаев на производстве или профессиональных заболеваний (из них 2,4 млн – от соответствующих болезней). В этой связи СГС имеет ключевое значение для защиты людей и окружающей среды: она предоставляет пользователям информацию об опасностях, связанных с химическими веществами, и о мерах предосторожности, которые необходимо принимать, чтобы избежать или свести к минимуму их воздействие.</w:t>
      </w:r>
    </w:p>
    <w:p w14:paraId="42A83CDB" w14:textId="77777777" w:rsidR="00C212F4" w:rsidRPr="00533D7B" w:rsidRDefault="00C212F4" w:rsidP="00C212F4">
      <w:pPr>
        <w:pStyle w:val="HChG"/>
      </w:pPr>
      <w:r>
        <w:tab/>
        <w:t>III.</w:t>
      </w:r>
      <w:r>
        <w:tab/>
      </w:r>
      <w:r>
        <w:rPr>
          <w:bCs/>
        </w:rPr>
        <w:t>Достижения Отдела устойчивого транспорта в 2019 году</w:t>
      </w:r>
    </w:p>
    <w:p w14:paraId="4B336A36" w14:textId="77777777" w:rsidR="00C212F4" w:rsidRPr="00533D7B" w:rsidRDefault="00C212F4" w:rsidP="00C212F4">
      <w:pPr>
        <w:pStyle w:val="H1G"/>
      </w:pPr>
      <w:r>
        <w:tab/>
        <w:t>A.</w:t>
      </w:r>
      <w:r>
        <w:tab/>
      </w:r>
      <w:r>
        <w:rPr>
          <w:bCs/>
        </w:rPr>
        <w:t>Ежегодная сессия Комитета по внутреннему транспорту</w:t>
      </w:r>
    </w:p>
    <w:p w14:paraId="0E7E6C7E" w14:textId="77777777" w:rsidR="00C212F4" w:rsidRPr="00533D7B" w:rsidRDefault="00C212F4" w:rsidP="00C212F4">
      <w:pPr>
        <w:pStyle w:val="SingleTxtG"/>
      </w:pPr>
      <w:bookmarkStart w:id="2" w:name="_Hlk25587857"/>
      <w:r>
        <w:t>11.</w:t>
      </w:r>
      <w:r>
        <w:tab/>
        <w:t xml:space="preserve">В начале года состоялась восемьдесят первая сессия Комитета по внутреннему транспорту (Женева, 19–22 февраля 2019 года). Сегмент высокого уровня по вопросам политики был посвящен теме </w:t>
      </w:r>
      <w:r w:rsidRPr="00713400">
        <w:t>«</w:t>
      </w:r>
      <w:r w:rsidRPr="00713400">
        <w:rPr>
          <w:iCs/>
        </w:rPr>
        <w:t>Автоматизация на транспорте»</w:t>
      </w:r>
      <w:r w:rsidRPr="00713400">
        <w:t xml:space="preserve">; </w:t>
      </w:r>
      <w:r>
        <w:t>в нем приняли участие министры транспорта из стран Африки, Азии, Европы и Ближнего Востока, а</w:t>
      </w:r>
      <w:r w:rsidR="00B52B34">
        <w:t> </w:t>
      </w:r>
      <w:r>
        <w:t xml:space="preserve">также около 400 участников из 75 стран, в том числе главы и высокопоставленные представители межправительственных и неправительственных организаций и других ключевых заинтересованных сторон в области внутреннего транспорта. Основным итогом этого сегмента (см. </w:t>
      </w:r>
      <w:hyperlink r:id="rId9" w:history="1">
        <w:r w:rsidRPr="009A00EB">
          <w:rPr>
            <w:rStyle w:val="Hyperlink"/>
          </w:rPr>
          <w:t>ECE/TRANS/288/Add.1</w:t>
        </w:r>
      </w:hyperlink>
      <w:r>
        <w:t>) стала резолюция министров «Укрепление сотрудничества, согласования и интеграции в эпоху цифровых технологий и автоматизации транспорта», принятая министрами и главами делегаций стран Африки, Азии, Европы, Ближнего Востока и Латинской Америки (</w:t>
      </w:r>
      <w:hyperlink r:id="rId10" w:history="1">
        <w:r w:rsidRPr="009A00EB">
          <w:rPr>
            <w:rStyle w:val="Hyperlink"/>
          </w:rPr>
          <w:t>ECE/TRANS/288</w:t>
        </w:r>
      </w:hyperlink>
      <w:r>
        <w:t xml:space="preserve">, приложения I и II). </w:t>
      </w:r>
    </w:p>
    <w:p w14:paraId="2314CD35" w14:textId="77777777" w:rsidR="00C212F4" w:rsidRPr="00533D7B" w:rsidRDefault="00C212F4" w:rsidP="00C212F4">
      <w:pPr>
        <w:pStyle w:val="SingleTxtG"/>
      </w:pPr>
      <w:r>
        <w:lastRenderedPageBreak/>
        <w:t>12.</w:t>
      </w:r>
      <w:r>
        <w:tab/>
        <w:t>Комитет принял также текст новой Конвенции об облегчении условий пересечения государственных границ при международной железнодорожной перевозке пассажиров, багажа и товаробагажа, которая стала 59-й конвенцией, относящейся к ведению Комитета, и поручил секретариату передать этот текст депозитарию, с тем чтобы он мог быть открыт для подписания. Новая Конвенция была открыта для присоединения в апреле 2019 года.</w:t>
      </w:r>
    </w:p>
    <w:p w14:paraId="70111CE7" w14:textId="77777777" w:rsidR="00C212F4" w:rsidRPr="00533D7B" w:rsidRDefault="00C212F4" w:rsidP="00C212F4">
      <w:pPr>
        <w:pStyle w:val="H1G"/>
      </w:pPr>
      <w:bookmarkStart w:id="3" w:name="_Hlk24617802"/>
      <w:bookmarkEnd w:id="2"/>
      <w:r>
        <w:tab/>
        <w:t>B.</w:t>
      </w:r>
      <w:r>
        <w:tab/>
      </w:r>
      <w:r>
        <w:rPr>
          <w:bCs/>
        </w:rPr>
        <w:t>Безопасность дорожного движения</w:t>
      </w:r>
    </w:p>
    <w:bookmarkEnd w:id="3"/>
    <w:p w14:paraId="5B8EC207" w14:textId="77777777" w:rsidR="00C212F4" w:rsidRPr="00533D7B" w:rsidRDefault="00C212F4" w:rsidP="00C212F4">
      <w:pPr>
        <w:pStyle w:val="H23G"/>
      </w:pPr>
      <w:r>
        <w:tab/>
        <w:t>1.</w:t>
      </w:r>
      <w:r>
        <w:tab/>
      </w:r>
      <w:r>
        <w:rPr>
          <w:bCs/>
        </w:rPr>
        <w:t>Целевой фонд Организации Объединенных Наций по безопасности дорожного движения</w:t>
      </w:r>
    </w:p>
    <w:p w14:paraId="0EB666FB" w14:textId="77777777" w:rsidR="00C212F4" w:rsidRPr="00533D7B" w:rsidRDefault="00C212F4" w:rsidP="00C212F4">
      <w:pPr>
        <w:pStyle w:val="SingleTxtG"/>
      </w:pPr>
      <w:r>
        <w:t>13.</w:t>
      </w:r>
      <w:r>
        <w:tab/>
        <w:t xml:space="preserve">Фонд Организации Объединенных Наций по безопасности дорожного движения (ЮНРСТФ) был создан в апреле 2018 года, и в 2019 году добился ряда значительных успехов. 9 октября ЮНРСТФ объявил о своем первом официальном конкурсе заявок. В ходе конкурса, который был открыт до 4 декабря 2019 года </w:t>
      </w:r>
      <w:r>
        <w:br/>
        <w:t>(23:59 по ЦЕВ), было выделено 4 млн долл. США на утвержденные проекты, направленные на снижение количества смертельных случаев в результате ДТП. Приоритет отдавался проектам, нацеленным на отдельные страны, и многострановым проектам, которые призваны оказать непосредственное и ощутимое воздействие.</w:t>
      </w:r>
    </w:p>
    <w:p w14:paraId="069955E6" w14:textId="77777777" w:rsidR="00C212F4" w:rsidRPr="00533D7B" w:rsidRDefault="00C212F4" w:rsidP="00C212F4">
      <w:pPr>
        <w:pStyle w:val="H23G"/>
      </w:pPr>
      <w:r>
        <w:tab/>
        <w:t>2.</w:t>
      </w:r>
      <w:r>
        <w:tab/>
      </w:r>
      <w:r>
        <w:rPr>
          <w:bCs/>
        </w:rPr>
        <w:t>Глобальный форум по безопасности дорожного движения (WP.1)</w:t>
      </w:r>
    </w:p>
    <w:p w14:paraId="4380FA33" w14:textId="77777777" w:rsidR="00C212F4" w:rsidRPr="00533D7B" w:rsidRDefault="00C212F4" w:rsidP="00C212F4">
      <w:pPr>
        <w:pStyle w:val="SingleTxtG"/>
      </w:pPr>
      <w:r>
        <w:t>14.</w:t>
      </w:r>
      <w:r>
        <w:tab/>
        <w:t>Группа экспертов по дорожным знакам и сигналам (GERSS), являющаяся вспомогательным органом Глобального форума по безопасности дорожного движения (WP.1), завершила полный обзор Конвенции о дорожных знаках и сигналах 1968 года и дополняющего ее Европейского соглашения 1971 года. Был подготовлен заключительный доклад Группы (ECE/TRANS/WP.1/2019/4), а также исчерпывающий набор предложений по поправкам (ECE/TRANS/WP.1/2019/5) для рассмотрения договаривающимися сторонами. Ожидается, что в 2020 году Группа обратит свое внимание на дорожные знаки, которые можно было бы с пользой для дела включить в Конвенцию 1968 года.</w:t>
      </w:r>
    </w:p>
    <w:p w14:paraId="460B3F5C" w14:textId="77777777" w:rsidR="00C212F4" w:rsidRPr="00533D7B" w:rsidRDefault="00C212F4" w:rsidP="00C212F4">
      <w:pPr>
        <w:pStyle w:val="SingleTxtG"/>
      </w:pPr>
      <w:r>
        <w:t>15.</w:t>
      </w:r>
      <w:r>
        <w:tab/>
        <w:t>Кроме того, WP.1 при содействии экспертов GERSS разработал электронную версию Конвенции о дорожных знаках и сигналах 1968 года под названием e-CoRSS. В 2020 году она будет доступна в онлайновой форме.</w:t>
      </w:r>
    </w:p>
    <w:p w14:paraId="388A752E" w14:textId="77777777" w:rsidR="00C212F4" w:rsidRPr="00533D7B" w:rsidRDefault="00C212F4" w:rsidP="00C212F4">
      <w:pPr>
        <w:pStyle w:val="SingleTxtG"/>
      </w:pPr>
      <w:r>
        <w:t>16.</w:t>
      </w:r>
      <w:r>
        <w:tab/>
        <w:t xml:space="preserve">Периодичность работы и отдыха профессиональных водителей по-прежнему считается одним из важных элементов безопасности дорожного движения. В 2019 году в статью 14 Европейского соглашения, касающегося работы экипажей транспортных средств, производящих международные автомобильные перевозки (ЕСТР), были внесены поправки, с тем чтобы сделать возможным присоединение к нему Ливана. Наблюдается также прогресс на пути присоединения к этому соглашению Алжира, Израиля, Иордании, Марокко и Туниса. Рабочая группа по автомобильному транспорту (SC.1) и ее вспомогательный орган – Группа экспертов по ЕСТР – продолжили работу по согласованию режимов ЕСТР в договаривающихся сторонах – членах Европейского союза и в договаривающихся сторонах, не входящих в Европейский союз, после внедрения смарт-тахографов в Европейском союзе в июне 2019 года. </w:t>
      </w:r>
    </w:p>
    <w:p w14:paraId="32BE2780" w14:textId="77777777" w:rsidR="00C212F4" w:rsidRPr="00533D7B" w:rsidRDefault="00C212F4" w:rsidP="00C212F4">
      <w:pPr>
        <w:pStyle w:val="SingleTxtG"/>
        <w:ind w:left="567"/>
        <w:rPr>
          <w:b/>
          <w:bCs/>
        </w:rPr>
      </w:pPr>
      <w:r w:rsidRPr="00734625">
        <w:rPr>
          <w:b/>
          <w:bCs/>
        </w:rPr>
        <w:t>3.</w:t>
      </w:r>
      <w:r w:rsidRPr="00734625">
        <w:rPr>
          <w:b/>
          <w:bCs/>
        </w:rPr>
        <w:tab/>
      </w:r>
      <w:r>
        <w:rPr>
          <w:b/>
          <w:bCs/>
        </w:rPr>
        <w:t>Публикация</w:t>
      </w:r>
    </w:p>
    <w:p w14:paraId="43FE1F68" w14:textId="77777777" w:rsidR="00C212F4" w:rsidRPr="00533D7B" w:rsidRDefault="00C212F4" w:rsidP="00C212F4">
      <w:pPr>
        <w:pStyle w:val="SingleTxtG"/>
      </w:pPr>
      <w:r>
        <w:t>17.</w:t>
      </w:r>
      <w:r>
        <w:tab/>
        <w:t xml:space="preserve">В новой публикации, озаглавленной «Изменения в области безопасности дорожного движения за год до истечения срока достижения цели устойчивого развития, связанной с сокращением вдвое численности жертв дорожно-транспортных происшествий: концепция безопасного системного подхода для более безопасных дорог», представлена новая концепция для национальных систем обеспечения безопасности дорожного движения, которая призвана способствовать решению проблемы глобального кризиса в области безопасности дорожного движения в период </w:t>
      </w:r>
      <w:r>
        <w:lastRenderedPageBreak/>
        <w:t>после 2020 года, в ответ на озабоченность Генеральной Ассамблеи в связи с истечением в 2020 году сроков, отведенных для выполнения задачи 3.6 ЦУР</w:t>
      </w:r>
      <w:r>
        <w:rPr>
          <w:rStyle w:val="FootnoteReference"/>
        </w:rPr>
        <w:footnoteReference w:id="2"/>
      </w:r>
      <w:r>
        <w:t xml:space="preserve">. </w:t>
      </w:r>
    </w:p>
    <w:p w14:paraId="0707C4AF" w14:textId="77777777" w:rsidR="00C212F4" w:rsidRPr="00533D7B" w:rsidRDefault="00C212F4" w:rsidP="00C212F4">
      <w:pPr>
        <w:pStyle w:val="SingleTxtG"/>
      </w:pPr>
      <w:r>
        <w:t>18.</w:t>
      </w:r>
      <w:r>
        <w:tab/>
        <w:t>В ней представлен опыт стран, добившихся хороших результатов в области обеспечения безопасности дорожного движения, и относительные успехи, которые наблюдаются в области управления безопасностью на морском транспорте и в гражданской авиации, в сопоставлении с глобальными усилиями по повышению безопасности дорожного движения. На основе этих данных дается всеобъемлющая картина систем обеспечения безопасности дорожного движения, которые способны организовать эффективную работу по предотвращению ДТП, обеспечению защиты людей в случае ДТП, спасению людей после ДТП, а также извлечению уроков из возникающих ДТП. Эти системы включают все необходимые элементы на национальном уровне, а также опираются на регулятивную поддержку на международном уровне со стороны КВТ и его вспомогательных органов.</w:t>
      </w:r>
    </w:p>
    <w:p w14:paraId="50111044" w14:textId="77777777" w:rsidR="00C212F4" w:rsidRPr="00533D7B" w:rsidRDefault="00C212F4" w:rsidP="00C212F4">
      <w:pPr>
        <w:pStyle w:val="H1G"/>
      </w:pPr>
      <w:r>
        <w:tab/>
        <w:t>C.</w:t>
      </w:r>
      <w:r>
        <w:tab/>
      </w:r>
      <w:r>
        <w:rPr>
          <w:bCs/>
        </w:rPr>
        <w:t>Автомобильный транспорт</w:t>
      </w:r>
    </w:p>
    <w:p w14:paraId="39A9DE5D" w14:textId="77777777" w:rsidR="00C212F4" w:rsidRPr="00533D7B" w:rsidRDefault="00C212F4" w:rsidP="00C212F4">
      <w:pPr>
        <w:pStyle w:val="H23G"/>
      </w:pPr>
      <w:bookmarkStart w:id="4" w:name="_Hlk24617861"/>
      <w:bookmarkStart w:id="5" w:name="_Hlk24536599"/>
      <w:r>
        <w:tab/>
      </w:r>
      <w:r>
        <w:tab/>
      </w:r>
      <w:r>
        <w:rPr>
          <w:bCs/>
        </w:rPr>
        <w:t>Рабочая группа по автомобильному транспорту (SC.1)</w:t>
      </w:r>
    </w:p>
    <w:bookmarkEnd w:id="4"/>
    <w:p w14:paraId="44C47193" w14:textId="77777777" w:rsidR="00C212F4" w:rsidRPr="00533D7B" w:rsidRDefault="00C212F4" w:rsidP="00C212F4">
      <w:pPr>
        <w:pStyle w:val="SingleTxtG"/>
      </w:pPr>
      <w:r>
        <w:t>19.</w:t>
      </w:r>
      <w:r>
        <w:tab/>
        <w:t>В 2019 году шесть новых участников присоединились к Дополнительному протоколу к Конвенции о договоре международной дорожной перевозки грузов, касающемуся электронной накладной (e-CMR), в</w:t>
      </w:r>
      <w:r w:rsidR="00713400">
        <w:t xml:space="preserve"> </w:t>
      </w:r>
      <w:r>
        <w:t>результате чего число договаривающихся сторон достигло 23. С учетом этих вновь присоединивши</w:t>
      </w:r>
      <w:r w:rsidR="00713400">
        <w:t>х</w:t>
      </w:r>
      <w:r>
        <w:t>ся стран число договаривающихся сторон данного правового документа удвоилось за последние два года, что отражает движение в сторону перехода на электронный документооборот как альтернативу бумажной документации.</w:t>
      </w:r>
    </w:p>
    <w:p w14:paraId="3F45DB6F" w14:textId="77777777" w:rsidR="00C212F4" w:rsidRPr="00533D7B" w:rsidRDefault="00C212F4" w:rsidP="00C212F4">
      <w:pPr>
        <w:pStyle w:val="SingleTxtG"/>
      </w:pPr>
      <w:bookmarkStart w:id="6" w:name="_Hlk24539063"/>
      <w:r>
        <w:t>20.</w:t>
      </w:r>
      <w:r>
        <w:tab/>
        <w:t>SC.1 создала неофициальную группу экспертов для подготовки документа с подробным изложением исследований и других мер, рекомендованных для целей внедрения e-CMR, для представления на одной из будущих сессий Комитета.</w:t>
      </w:r>
      <w:bookmarkEnd w:id="6"/>
    </w:p>
    <w:p w14:paraId="760012A7" w14:textId="77777777" w:rsidR="00C212F4" w:rsidRPr="00533D7B" w:rsidRDefault="00C212F4" w:rsidP="00C212F4">
      <w:pPr>
        <w:pStyle w:val="SingleTxtG"/>
      </w:pPr>
      <w:r>
        <w:t>21.</w:t>
      </w:r>
      <w:r>
        <w:tab/>
        <w:t xml:space="preserve">SC.1 пересмотрела свою деятельность в контексте Стратегии КВТ и теперь будет включать вопрос о безопасной и устойчивой дорожной инфраструктуре в повестку дня всех своих будущих сессий. SC.1 также подтвердила свою роль в качестве региональной платформы для обмена информацией об «умных» дорогах и других аспектах цифровизации, в том числе об услугах и документах, связанных с автомобильным транспортом. </w:t>
      </w:r>
    </w:p>
    <w:bookmarkEnd w:id="5"/>
    <w:p w14:paraId="7BD88EFE" w14:textId="77777777" w:rsidR="00C212F4" w:rsidRPr="00533D7B" w:rsidRDefault="00C212F4" w:rsidP="00C212F4">
      <w:pPr>
        <w:pStyle w:val="H1G"/>
      </w:pPr>
      <w:r>
        <w:tab/>
        <w:t>D.</w:t>
      </w:r>
      <w:r>
        <w:tab/>
      </w:r>
      <w:r>
        <w:rPr>
          <w:bCs/>
        </w:rPr>
        <w:t>Железнодорожный транспорт</w:t>
      </w:r>
    </w:p>
    <w:p w14:paraId="3DF2B011" w14:textId="77777777" w:rsidR="00C212F4" w:rsidRPr="00533D7B" w:rsidRDefault="00C212F4" w:rsidP="00C212F4">
      <w:pPr>
        <w:pStyle w:val="H23G"/>
        <w:rPr>
          <w:rFonts w:eastAsiaTheme="minorEastAsia"/>
        </w:rPr>
      </w:pPr>
      <w:bookmarkStart w:id="7" w:name="_Hlk24617890"/>
      <w:r>
        <w:tab/>
      </w:r>
      <w:r>
        <w:tab/>
      </w:r>
      <w:r>
        <w:rPr>
          <w:bCs/>
        </w:rPr>
        <w:t>Железнодорожный транспорт</w:t>
      </w:r>
      <w:r>
        <w:t xml:space="preserve"> </w:t>
      </w:r>
    </w:p>
    <w:bookmarkEnd w:id="7"/>
    <w:p w14:paraId="22595784" w14:textId="77777777" w:rsidR="00C212F4" w:rsidRPr="00330001" w:rsidRDefault="00C212F4" w:rsidP="00C212F4">
      <w:pPr>
        <w:pStyle w:val="SingleTxtG"/>
        <w:rPr>
          <w:rFonts w:eastAsia="SimSun"/>
          <w:lang w:eastAsia="fr-FR"/>
        </w:rPr>
      </w:pPr>
      <w:r w:rsidRPr="00330001">
        <w:rPr>
          <w:rFonts w:eastAsia="SimSun"/>
          <w:lang w:eastAsia="fr-FR"/>
        </w:rPr>
        <w:t>22.</w:t>
      </w:r>
      <w:r w:rsidRPr="00330001">
        <w:rPr>
          <w:rFonts w:eastAsia="SimSun"/>
          <w:lang w:eastAsia="fr-FR"/>
        </w:rPr>
        <w:tab/>
        <w:t xml:space="preserve">Опираясь на успехи, достигнутые в предыдущие годы, Рабочая группа по железнодорожному транспорту продолжила вносить передовой вклад в работу, касающуюся стратегий и регулирования в этом секторе. В ходе сессии Рабочей группы состоялось рабочее совещание на тему </w:t>
      </w:r>
      <w:r>
        <w:rPr>
          <w:rFonts w:eastAsia="SimSun"/>
          <w:lang w:eastAsia="fr-FR"/>
        </w:rPr>
        <w:t>«</w:t>
      </w:r>
      <w:r w:rsidRPr="00330001">
        <w:rPr>
          <w:rFonts w:eastAsia="SimSun"/>
          <w:lang w:eastAsia="fr-FR"/>
        </w:rPr>
        <w:t>Повышение конкурентоспособности железнодорожных грузовых перевозок: скоординированное развитие железнодорожной сети с уделением особого внимания вопросам совместной работы на правительственном и отраслевом уровнях в контексте ЕАТС</w:t>
      </w:r>
      <w:r>
        <w:rPr>
          <w:rFonts w:eastAsia="SimSun"/>
          <w:lang w:eastAsia="fr-FR"/>
        </w:rPr>
        <w:t xml:space="preserve"> (</w:t>
      </w:r>
      <w:r>
        <w:rPr>
          <w:rFonts w:eastAsia="SimSun"/>
        </w:rPr>
        <w:t>е</w:t>
      </w:r>
      <w:r w:rsidRPr="00330001">
        <w:rPr>
          <w:rFonts w:eastAsia="SimSun"/>
          <w:lang w:eastAsia="fr-FR"/>
        </w:rPr>
        <w:t>вроазиатски</w:t>
      </w:r>
      <w:r>
        <w:rPr>
          <w:rFonts w:eastAsia="SimSun"/>
          <w:lang w:eastAsia="fr-FR"/>
        </w:rPr>
        <w:t>х</w:t>
      </w:r>
      <w:r w:rsidRPr="00330001">
        <w:rPr>
          <w:rFonts w:eastAsia="SimSun"/>
          <w:lang w:eastAsia="fr-FR"/>
        </w:rPr>
        <w:t xml:space="preserve"> транспортны</w:t>
      </w:r>
      <w:r>
        <w:rPr>
          <w:rFonts w:eastAsia="SimSun"/>
          <w:lang w:eastAsia="fr-FR"/>
        </w:rPr>
        <w:t>х</w:t>
      </w:r>
      <w:r w:rsidRPr="00330001">
        <w:rPr>
          <w:rFonts w:eastAsia="SimSun"/>
          <w:lang w:eastAsia="fr-FR"/>
        </w:rPr>
        <w:t xml:space="preserve"> связ</w:t>
      </w:r>
      <w:r>
        <w:rPr>
          <w:rFonts w:eastAsia="SimSun"/>
          <w:lang w:eastAsia="fr-FR"/>
        </w:rPr>
        <w:t>ей</w:t>
      </w:r>
      <w:r w:rsidRPr="00330001">
        <w:rPr>
          <w:rFonts w:eastAsia="SimSun"/>
          <w:lang w:eastAsia="fr-FR"/>
        </w:rPr>
        <w:t>)</w:t>
      </w:r>
      <w:r>
        <w:rPr>
          <w:rFonts w:eastAsia="SimSun"/>
          <w:lang w:eastAsia="fr-FR"/>
        </w:rPr>
        <w:t>».</w:t>
      </w:r>
      <w:r w:rsidRPr="00330001">
        <w:rPr>
          <w:rFonts w:eastAsia="SimSun"/>
          <w:lang w:eastAsia="fr-FR"/>
        </w:rPr>
        <w:t xml:space="preserve"> Более 60 делегатов обменялись мнениями, передовым опытом и конкретными примерами в контексте наилучших путей повышения конкурентоспособности грузовых перевозок и увеличения доли железнодорожн</w:t>
      </w:r>
      <w:r>
        <w:rPr>
          <w:rFonts w:eastAsia="SimSun"/>
          <w:lang w:eastAsia="fr-FR"/>
        </w:rPr>
        <w:t xml:space="preserve">ого транспорта </w:t>
      </w:r>
      <w:r w:rsidRPr="00330001">
        <w:rPr>
          <w:rFonts w:eastAsia="SimSun"/>
          <w:lang w:eastAsia="fr-FR"/>
        </w:rPr>
        <w:t>на рынке перевозок между Востоком и Западом, особенно в странах, не име</w:t>
      </w:r>
      <w:r>
        <w:rPr>
          <w:rFonts w:eastAsia="SimSun"/>
          <w:lang w:eastAsia="fr-FR"/>
        </w:rPr>
        <w:t>ющих выхода к морю. П</w:t>
      </w:r>
      <w:r w:rsidRPr="00330001">
        <w:rPr>
          <w:rFonts w:eastAsia="SimSun"/>
          <w:lang w:eastAsia="fr-FR"/>
        </w:rPr>
        <w:t>родолжались также усилия по доработке правового документа по единому железнодорожному праву, направленного на повышение конкурентоспособности железных дорог; в настоящее время ведутся переговоры по тексту конвенции о договоре перевозки.</w:t>
      </w:r>
    </w:p>
    <w:p w14:paraId="587F268A" w14:textId="77777777" w:rsidR="00C212F4" w:rsidRPr="00330001" w:rsidRDefault="00C212F4" w:rsidP="00C212F4">
      <w:pPr>
        <w:pStyle w:val="SingleTxtG"/>
        <w:rPr>
          <w:rFonts w:eastAsia="SimSun"/>
          <w:lang w:eastAsia="fr-FR"/>
        </w:rPr>
      </w:pPr>
      <w:r w:rsidRPr="00330001">
        <w:rPr>
          <w:rFonts w:eastAsia="SimSun"/>
          <w:lang w:eastAsia="fr-FR"/>
        </w:rPr>
        <w:lastRenderedPageBreak/>
        <w:t>23.</w:t>
      </w:r>
      <w:r w:rsidRPr="00330001">
        <w:rPr>
          <w:rFonts w:eastAsia="SimSun"/>
          <w:lang w:eastAsia="fr-FR"/>
        </w:rPr>
        <w:tab/>
        <w:t xml:space="preserve">Ведется работа по обновлению Европейского соглашения о международных магистральных железнодорожных линиях (СМЖЛ), с тем чтобы облегчить его использование государствами-членами и стимулировать присоединение к нему большего числа стран. Эта работа будет продолжаться путем обновления совместного онлайн-инструментария параметров СМЖЛ-СЛКП, нацеленного на повышение прозрачности технической информации по железнодорожному транспорту для операторов. </w:t>
      </w:r>
    </w:p>
    <w:p w14:paraId="20F64FD4" w14:textId="77777777" w:rsidR="00C212F4" w:rsidRPr="00330001" w:rsidRDefault="00C212F4" w:rsidP="00C212F4">
      <w:pPr>
        <w:pStyle w:val="SingleTxtG"/>
        <w:rPr>
          <w:rFonts w:eastAsia="SimSun"/>
          <w:lang w:eastAsia="fr-FR"/>
        </w:rPr>
      </w:pPr>
      <w:r w:rsidRPr="00330001">
        <w:rPr>
          <w:rFonts w:eastAsia="SimSun"/>
          <w:lang w:eastAsia="fr-FR"/>
        </w:rPr>
        <w:t>24.</w:t>
      </w:r>
      <w:r w:rsidRPr="00330001">
        <w:rPr>
          <w:rFonts w:eastAsia="SimSun"/>
          <w:lang w:eastAsia="fr-FR"/>
        </w:rPr>
        <w:tab/>
        <w:t>Вопросы финансирования железнодорожной инфраструктуры обсуждались в контексте нынешней и будущей роли Люксембургского протокола к Кейптаунской конвенции о подвижном оборудовании, а также мер, которые позволят государствам-членам облегчить обновление своих парков подвижного состава.</w:t>
      </w:r>
    </w:p>
    <w:p w14:paraId="24614DBC" w14:textId="77777777" w:rsidR="00C212F4" w:rsidRPr="00330001" w:rsidRDefault="00C212F4" w:rsidP="00C212F4">
      <w:pPr>
        <w:pStyle w:val="SingleTxtG"/>
        <w:rPr>
          <w:rFonts w:eastAsia="SimSun"/>
          <w:lang w:eastAsia="fr-FR"/>
        </w:rPr>
      </w:pPr>
      <w:r w:rsidRPr="00330001">
        <w:rPr>
          <w:rFonts w:eastAsia="SimSun"/>
          <w:lang w:eastAsia="fr-FR"/>
        </w:rPr>
        <w:t>25.</w:t>
      </w:r>
      <w:r w:rsidRPr="00330001">
        <w:rPr>
          <w:rFonts w:eastAsia="SimSun"/>
          <w:lang w:eastAsia="fr-FR"/>
        </w:rPr>
        <w:tab/>
        <w:t xml:space="preserve">Была завершена работа над Конвенцией об облегчении условий пересечения границ при международной железнодорожной перевозке пассажиров, багажа и товаробагажа, и Конвенция была открыта для подписания. Эта ставшая уже </w:t>
      </w:r>
      <w:r>
        <w:rPr>
          <w:rFonts w:eastAsia="SimSun"/>
          <w:lang w:eastAsia="fr-FR"/>
        </w:rPr>
        <w:br/>
      </w:r>
      <w:r w:rsidRPr="00330001">
        <w:rPr>
          <w:rFonts w:eastAsia="SimSun"/>
          <w:lang w:eastAsia="fr-FR"/>
        </w:rPr>
        <w:t>59-й конвенция ЕЭК ООН позволит облегчить международные пассажирские перевозки по сети железных дорог, что приведет к увеличению рыночной доли этого сектора и будет способствовать дальнейшему сокращению выбросов CO</w:t>
      </w:r>
      <w:r w:rsidRPr="00330001">
        <w:rPr>
          <w:rFonts w:eastAsia="SimSun"/>
          <w:vertAlign w:val="subscript"/>
          <w:lang w:eastAsia="fr-FR"/>
        </w:rPr>
        <w:t>2</w:t>
      </w:r>
      <w:r w:rsidRPr="00330001">
        <w:rPr>
          <w:rFonts w:eastAsia="SimSun"/>
          <w:lang w:eastAsia="fr-FR"/>
        </w:rPr>
        <w:t xml:space="preserve"> и достижению Повестки дня в области устойчивого развития.</w:t>
      </w:r>
    </w:p>
    <w:p w14:paraId="43EFF758" w14:textId="77777777" w:rsidR="00C212F4" w:rsidRPr="00533D7B" w:rsidRDefault="00C212F4" w:rsidP="00C212F4">
      <w:pPr>
        <w:pStyle w:val="SingleTxtG"/>
      </w:pPr>
      <w:r>
        <w:t>26.</w:t>
      </w:r>
      <w:r>
        <w:tab/>
        <w:t xml:space="preserve">Рабочая группа по железнодорожному транспорту (SC.2) продолжила работу над единым железнодорожным правом (ЕЖП) через посредство своей группы экспертов, в состав которой входят представители правительств, международных организаций и транспортной отрасли. Группа экспертов обсудила вопрос о сфере охвата ЕЖП и его преобразовании в юридически обязательный документ. Пилотная перевозка с использованием договора перевозки ЕЖП была проведена в апреле 2019 года по коридору Азербайджан – Грузия – Турция. Транспортировка грузов по этому коридору была осуществлена одновременно с использованием договора перевозки ЕЖП и существующей правовой документации. </w:t>
      </w:r>
    </w:p>
    <w:p w14:paraId="67F0C0D6" w14:textId="77777777" w:rsidR="00C212F4" w:rsidRPr="00533D7B" w:rsidRDefault="00C212F4" w:rsidP="00C212F4">
      <w:pPr>
        <w:pStyle w:val="SingleTxtG"/>
      </w:pPr>
      <w:r>
        <w:t>27.</w:t>
      </w:r>
      <w:r>
        <w:tab/>
        <w:t xml:space="preserve">Значительный прогресс был достигнут в работе по проекту Трансъевропейской железнодорожной магистрали. Близится к завершению этап II Генерального плана высокоскоростной железнодорожной магистрали ТЕЖ, по итогам которого в регионе появится конкретный инструмент для оказания помощи государствам-членам в определении наиболее подходящих областей для инвестирования в скоростные железнодорожные сети. </w:t>
      </w:r>
    </w:p>
    <w:p w14:paraId="1A22B1BA" w14:textId="77777777" w:rsidR="00C212F4" w:rsidRPr="00533D7B" w:rsidRDefault="00C212F4" w:rsidP="00C212F4">
      <w:pPr>
        <w:pStyle w:val="H1G"/>
      </w:pPr>
      <w:r>
        <w:tab/>
        <w:t>E.</w:t>
      </w:r>
      <w:r>
        <w:tab/>
      </w:r>
      <w:r>
        <w:rPr>
          <w:bCs/>
        </w:rPr>
        <w:t>Тенденции и экономика транспорта</w:t>
      </w:r>
    </w:p>
    <w:p w14:paraId="4008FA32" w14:textId="77777777" w:rsidR="00C212F4" w:rsidRPr="00533D7B" w:rsidRDefault="00C212F4" w:rsidP="00C212F4">
      <w:pPr>
        <w:pStyle w:val="H23G"/>
      </w:pPr>
      <w:r>
        <w:tab/>
        <w:t>1.</w:t>
      </w:r>
      <w:r>
        <w:tab/>
      </w:r>
      <w:r>
        <w:rPr>
          <w:bCs/>
        </w:rPr>
        <w:t>Тенденции и экономика транспорта</w:t>
      </w:r>
    </w:p>
    <w:p w14:paraId="337330E6" w14:textId="77777777" w:rsidR="00C212F4" w:rsidRPr="00533D7B" w:rsidRDefault="00C212F4" w:rsidP="00C212F4">
      <w:pPr>
        <w:pStyle w:val="SingleTxtG"/>
      </w:pPr>
      <w:r>
        <w:t>28.</w:t>
      </w:r>
      <w:r>
        <w:tab/>
        <w:t>3–4 сентября 2019 года в Женеве Рабочая группа по тенденциям и экономике транспорта (WP.5) и Организация по безопасности и сотрудничеству в Европе (ОБСЕ) совместно с другими партнерами организовали рабочее совещание по укреплению безопасности на внутренних грузовых маршрутах. Оно собрало 50 экспертов по вопросам безопасности и должностных лиц в секторе транспорта, которые обсудили риски, связанные с преступностью и обеспечением безопасности; использование Конвенции МДП и пилотных проектов eTIR для снижения этих рисков; а также значение WP.5 и Дискуссионного форума ЕЭК по безопасности на внутреннем транспорте как платформы для обсуждения вопросов безопасности на транспорте. С более подробной информацией об этом рабочем совещании можно ознакомиться на</w:t>
      </w:r>
      <w:r w:rsidR="009A00EB">
        <w:t xml:space="preserve"> </w:t>
      </w:r>
      <w:hyperlink r:id="rId11" w:history="1">
        <w:r w:rsidR="009A00EB" w:rsidRPr="009A00EB">
          <w:rPr>
            <w:rStyle w:val="Hyperlink"/>
          </w:rPr>
          <w:t>веб-сайте ЕЭК</w:t>
        </w:r>
      </w:hyperlink>
      <w:r>
        <w:t>.</w:t>
      </w:r>
    </w:p>
    <w:p w14:paraId="6527AE23" w14:textId="77777777" w:rsidR="00C212F4" w:rsidRPr="00533D7B" w:rsidRDefault="00C212F4" w:rsidP="00C212F4">
      <w:pPr>
        <w:pStyle w:val="SingleTxtG"/>
      </w:pPr>
      <w:r>
        <w:t>29.</w:t>
      </w:r>
      <w:r>
        <w:tab/>
        <w:t xml:space="preserve">2 сентября 2019 года в Женеве WP.5 и Канцелярия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развивающимся государствам организовали рабочее совещание, в котором приняли участие представители от развивающихся стран, не имеющих выхода к морю (РСНВМ). Участники рабочего совещания отметили, что РСНВМ имеют более высокие транспортные издержки и их экспорт менее конкурентоспособен по сравнению со </w:t>
      </w:r>
      <w:r>
        <w:lastRenderedPageBreak/>
        <w:t>странами, омываемыми морями. Участники рекомендовали WP.5 провести обзор существующих подходов и методологий для измерения экономической ценности международных транспортных коридоров, с тем чтобы обеспечить для регионов, не имеющих выхода к морю, сухопутную связь с морем. С более подробной информацией можно ознакомиться на</w:t>
      </w:r>
      <w:r w:rsidR="009A00EB">
        <w:t xml:space="preserve"> </w:t>
      </w:r>
      <w:hyperlink r:id="rId12" w:history="1">
        <w:r w:rsidR="009A00EB" w:rsidRPr="009A00EB">
          <w:rPr>
            <w:rStyle w:val="Hyperlink"/>
          </w:rPr>
          <w:t>веб-сайте ЕЭК</w:t>
        </w:r>
      </w:hyperlink>
      <w:r>
        <w:t xml:space="preserve">. </w:t>
      </w:r>
    </w:p>
    <w:p w14:paraId="3E50529A" w14:textId="77777777" w:rsidR="00C212F4" w:rsidRPr="00533D7B" w:rsidRDefault="00C212F4" w:rsidP="00C212F4">
      <w:pPr>
        <w:pStyle w:val="H23G"/>
      </w:pPr>
      <w:r>
        <w:tab/>
        <w:t>2.</w:t>
      </w:r>
      <w:r>
        <w:tab/>
      </w:r>
      <w:r>
        <w:rPr>
          <w:bCs/>
        </w:rPr>
        <w:t>Общеевропейская программа по транспорту, окружающей среде и охране здоровья (ОПТОСОЗ)</w:t>
      </w:r>
    </w:p>
    <w:p w14:paraId="2A7DA847" w14:textId="77777777" w:rsidR="00C212F4" w:rsidRPr="00D347E3" w:rsidRDefault="00C212F4" w:rsidP="00C212F4">
      <w:pPr>
        <w:pStyle w:val="SingleTxtG"/>
        <w:rPr>
          <w:rFonts w:eastAsia="SimSun"/>
          <w:lang w:eastAsia="fr-FR"/>
        </w:rPr>
      </w:pPr>
      <w:bookmarkStart w:id="8" w:name="_Hlk25591379"/>
      <w:r w:rsidRPr="00D347E3">
        <w:rPr>
          <w:rFonts w:eastAsia="SimSun"/>
          <w:lang w:eastAsia="fr-FR"/>
        </w:rPr>
        <w:t>30.</w:t>
      </w:r>
      <w:r w:rsidRPr="00D347E3">
        <w:rPr>
          <w:rFonts w:eastAsia="SimSun"/>
          <w:lang w:eastAsia="fr-FR"/>
        </w:rPr>
        <w:tab/>
        <w:t xml:space="preserve">В 2019 году работа секретариата в основном была сосредоточена на завершении подготовки к предстоящему пятому Совещанию высокого уровня по транспорту, окружающей среде и охране здоровья, однако были также завершены несколько важнейших исследований, которые окажут непосредственное влияние на развитие устойчивой мобильности. Исследование </w:t>
      </w:r>
      <w:r w:rsidRPr="00036317">
        <w:rPr>
          <w:rFonts w:eastAsia="SimSun"/>
          <w:lang w:eastAsia="fr-FR"/>
        </w:rPr>
        <w:t>«</w:t>
      </w:r>
      <w:r w:rsidRPr="00036317">
        <w:rPr>
          <w:rFonts w:eastAsia="SimSun"/>
          <w:iCs/>
          <w:lang w:eastAsia="fr-FR"/>
        </w:rPr>
        <w:t>Экологичные рабочие места на транспорте</w:t>
      </w:r>
      <w:r w:rsidRPr="00036317">
        <w:rPr>
          <w:rFonts w:eastAsia="SimSun"/>
          <w:lang w:eastAsia="fr-FR"/>
        </w:rPr>
        <w:t xml:space="preserve">» </w:t>
      </w:r>
      <w:r w:rsidRPr="00D347E3">
        <w:rPr>
          <w:rFonts w:eastAsia="SimSun"/>
          <w:lang w:eastAsia="fr-FR"/>
        </w:rPr>
        <w:t xml:space="preserve">позволило выявить общие изменения в сфере занятости, которые произошли в результате увеличения инвестиций в общественный транспорт и продолжающегося процесса электрификации частного автотранспорта. </w:t>
      </w:r>
      <w:r w:rsidRPr="00032B21">
        <w:rPr>
          <w:rFonts w:eastAsia="SimSun"/>
          <w:i/>
          <w:iCs/>
          <w:lang w:eastAsia="fr-FR"/>
        </w:rPr>
        <w:t>Генеральный план по развитию велосипедного движения</w:t>
      </w:r>
      <w:r w:rsidRPr="00D347E3">
        <w:rPr>
          <w:rFonts w:eastAsia="SimSun"/>
          <w:lang w:eastAsia="fr-FR"/>
        </w:rPr>
        <w:t xml:space="preserve"> определяет всеобъемлющую стратегию развития велосипедного движения в регионе для нужд сектора и государств-членов.</w:t>
      </w:r>
    </w:p>
    <w:p w14:paraId="31AD6677" w14:textId="77777777" w:rsidR="00C212F4" w:rsidRPr="00533D7B" w:rsidRDefault="00C212F4" w:rsidP="00C212F4">
      <w:pPr>
        <w:pStyle w:val="SingleTxtG"/>
      </w:pPr>
      <w:r>
        <w:t>31.</w:t>
      </w:r>
      <w:r>
        <w:tab/>
        <w:t>В 2019 году Общеевропейской программой по транспорту, окружающей среде и охране здоровья (ОПТОСОЗ) и WP.5 было опубликовано Руководство по устойчивой городской мобильности и территориальному планированию. Руководство было подготовлено согласно решению Руководящего комитета ОПТОСОЗ, принятому на его пятнадцатой сессии (ноябрь 2017 года), и решению КВТ, принятому на его восьмидесятой сессии (февраль 2018 года), и было разработано при поддержке из внебюджетных средств, предоставленных правительством Российской Федерации. Эта публикация призвана помочь государствам – членам ЕЭК интегрировать цели в области транспорта, здравоохранения, поддержания качества жизни и охраны окружающей среды в политику городского развития и территориально-пространственного планирования. Ожидается, что ее презентация состоится на Совещании высокого уровня ОПТОСОЗ, запланированном на 2020 год.</w:t>
      </w:r>
    </w:p>
    <w:bookmarkEnd w:id="8"/>
    <w:p w14:paraId="64409F52" w14:textId="77777777" w:rsidR="00C212F4" w:rsidRPr="00533D7B" w:rsidRDefault="00C212F4" w:rsidP="00C212F4">
      <w:pPr>
        <w:pStyle w:val="H23G"/>
      </w:pPr>
      <w:r>
        <w:tab/>
        <w:t>3.</w:t>
      </w:r>
      <w:r>
        <w:tab/>
      </w:r>
      <w:r>
        <w:rPr>
          <w:bCs/>
        </w:rPr>
        <w:t>ЕАТС – Международный центр мониторинга транспортной инфраструктуры</w:t>
      </w:r>
    </w:p>
    <w:p w14:paraId="1E2D008E" w14:textId="77777777" w:rsidR="00C212F4" w:rsidRPr="00533D7B" w:rsidRDefault="00C212F4" w:rsidP="00C212F4">
      <w:pPr>
        <w:pStyle w:val="SingleTxtG"/>
      </w:pPr>
      <w:r>
        <w:t>32.</w:t>
      </w:r>
      <w:r>
        <w:tab/>
        <w:t xml:space="preserve">Признавая, что финансирование евро-азиатских транспортных связей по-прежнему сопряжено с серьезными проблемами, ЕЭК берет на себя ведущую роль в создании международного центра мониторинга транспортной инфраструктуры. Этот центр, создаваемый в рамках внебюджетного проекта и полностью финансируемый Исламским банком развития, принесет пользу странам Организации экономического сотрудничества (ОЭС) в Центральной Азии и на Южном Кавказе. </w:t>
      </w:r>
    </w:p>
    <w:p w14:paraId="3F7B136A" w14:textId="77777777" w:rsidR="00C212F4" w:rsidRPr="00533D7B" w:rsidRDefault="00C212F4" w:rsidP="00C212F4">
      <w:pPr>
        <w:pStyle w:val="SingleTxtG"/>
      </w:pPr>
      <w:r>
        <w:t>33.</w:t>
      </w:r>
      <w:r>
        <w:tab/>
        <w:t xml:space="preserve">Центр мониторинга создается в качестве онлайновой платформы с использованием географической информационной системы (ГИС), которая позволяет правительствам осуществлять подготовку проектов в области транспортной инфраструктуры, при этом международные финансовые учреждения могут определять проекты, которые они хотели бы финансировать. С момента запуска в 2017 году были определены транспортные подсектора в качестве приоритетных областей для сбора данных, а также были созданы шаблоны для сбора данных для использования в смежных проектах. Срок реализации проекта был продлен до марта 2021 года. С более подробной информацией можно ознакомиться </w:t>
      </w:r>
      <w:hyperlink r:id="rId13" w:history="1">
        <w:r w:rsidRPr="00B52B34">
          <w:rPr>
            <w:rStyle w:val="Hyperlink"/>
          </w:rPr>
          <w:t>здесь</w:t>
        </w:r>
      </w:hyperlink>
      <w:r>
        <w:t>.</w:t>
      </w:r>
    </w:p>
    <w:p w14:paraId="6FA49C73" w14:textId="77777777" w:rsidR="00C212F4" w:rsidRPr="00533D7B" w:rsidRDefault="00C212F4" w:rsidP="00C212F4">
      <w:pPr>
        <w:pStyle w:val="H23G"/>
      </w:pPr>
      <w:r>
        <w:tab/>
        <w:t>4.</w:t>
      </w:r>
      <w:r>
        <w:tab/>
      </w:r>
      <w:r>
        <w:rPr>
          <w:bCs/>
        </w:rPr>
        <w:t>Показатели устойчивой связности инфраструктуры внутреннего транспорта</w:t>
      </w:r>
      <w:r>
        <w:t xml:space="preserve"> </w:t>
      </w:r>
    </w:p>
    <w:p w14:paraId="1912EAE8" w14:textId="77777777" w:rsidR="00C212F4" w:rsidRPr="00533D7B" w:rsidRDefault="00C212F4" w:rsidP="00C212F4">
      <w:pPr>
        <w:pStyle w:val="SingleTxtG"/>
      </w:pPr>
      <w:r>
        <w:t>34.</w:t>
      </w:r>
      <w:r>
        <w:tab/>
        <w:t xml:space="preserve">В настоящее время реализуется финансируемый по линии Счета развития Организации Объединенных Наций проект под названием «Устойчивая связность транспортной инфраструктуры и достижение целей устойчивого развития в области транспорта в отдельных не имеющих выхода к морю странах и странах транзита/промежуточных странах». Этот проект, осуществляемый под руководством Отдела устойчивого транспорта и при поддержке Экономической и социальной комиссии для Западной Азии и Экономической комиссии для Латинской Америки и Карибского бассейна, направлен на разработку набора показателей устойчивой </w:t>
      </w:r>
      <w:r>
        <w:lastRenderedPageBreak/>
        <w:t>связности инфраструктуры внутреннего транспорта. Разрабатываемые в настоящее время показатели структурированы по трем основным компонентам устойчивости (экономическому, социальному и экологическому) и применяются во всех четырех секторах внутреннего транспорта: автомобильном, железнодорожном, внутреннем водном и интермодальном. На первом этапе проект будет опробоваться в Грузии, Казахстане, Сербии, Иордании и Парагвае.</w:t>
      </w:r>
    </w:p>
    <w:p w14:paraId="05CA74F7" w14:textId="77777777" w:rsidR="00C212F4" w:rsidRPr="00533D7B" w:rsidRDefault="00C212F4" w:rsidP="00C212F4">
      <w:pPr>
        <w:pStyle w:val="SingleTxtG"/>
      </w:pPr>
      <w:r>
        <w:t>35.</w:t>
      </w:r>
      <w:r>
        <w:tab/>
        <w:t xml:space="preserve">Основной целью проекта является разработка инструмента, позволяющего странам измерять степень связности инфраструктуры как внутри страны, так и на двусторонней/субрегиональной основе, а также с точки зрения «мягкой» и «твердой» инфраструктуры. Это позволит лицам, ответственным за разработку политики, оценивать степень внешнеэкономической связности своей страны с точки зрения эффективности наземного транспорта, логистики, торговли, таможенных процедур и контроля на границах. </w:t>
      </w:r>
    </w:p>
    <w:p w14:paraId="42F5E16D" w14:textId="77777777" w:rsidR="00C212F4" w:rsidRPr="00533D7B" w:rsidRDefault="00C212F4" w:rsidP="00C212F4">
      <w:pPr>
        <w:pStyle w:val="H1G"/>
      </w:pPr>
      <w:r>
        <w:tab/>
        <w:t>F.</w:t>
      </w:r>
      <w:r>
        <w:tab/>
      </w:r>
      <w:r>
        <w:rPr>
          <w:bCs/>
        </w:rPr>
        <w:t>Внутренний водный транспорт</w:t>
      </w:r>
    </w:p>
    <w:p w14:paraId="6DD5E730" w14:textId="77777777" w:rsidR="00C212F4" w:rsidRPr="00533D7B" w:rsidRDefault="00C212F4" w:rsidP="00C212F4">
      <w:pPr>
        <w:pStyle w:val="H23G"/>
      </w:pPr>
      <w:r>
        <w:tab/>
        <w:t>1.</w:t>
      </w:r>
      <w:r>
        <w:tab/>
      </w:r>
      <w:r>
        <w:rPr>
          <w:bCs/>
        </w:rPr>
        <w:t>Стратегические документы</w:t>
      </w:r>
    </w:p>
    <w:p w14:paraId="42131F6A" w14:textId="77777777" w:rsidR="00C212F4" w:rsidRPr="00533D7B" w:rsidRDefault="00C212F4" w:rsidP="00C212F4">
      <w:pPr>
        <w:pStyle w:val="H23G"/>
      </w:pPr>
      <w:r>
        <w:tab/>
        <w:t>a)</w:t>
      </w:r>
      <w:r>
        <w:tab/>
        <w:t>«</w:t>
      </w:r>
      <w:r>
        <w:rPr>
          <w:bCs/>
        </w:rPr>
        <w:t>Белая книга» по эффективному и устойчивому развитию внутреннего водного транспорта в Европе</w:t>
      </w:r>
    </w:p>
    <w:p w14:paraId="72A8EC76" w14:textId="77777777" w:rsidR="00C212F4" w:rsidRPr="00533D7B" w:rsidRDefault="00C212F4" w:rsidP="00C212F4">
      <w:pPr>
        <w:pStyle w:val="SingleTxtG"/>
      </w:pPr>
      <w:r>
        <w:t>36.</w:t>
      </w:r>
      <w:r>
        <w:tab/>
        <w:t>SC.3 в ходе своей шестьдесят третьей сессии приняла новую «Белую книгу» по</w:t>
      </w:r>
      <w:r w:rsidR="00B52B34">
        <w:t> </w:t>
      </w:r>
      <w:r>
        <w:t xml:space="preserve">эффективному и устойчивому развитию внутреннего водного транспорта в Европе. Она стала третьим подобным документом, охватывающим регион ЕЭК. В этом издании представлен обзор сектора за период, истекший с момента публикации первой «Белой книги» в 2011 году. </w:t>
      </w:r>
    </w:p>
    <w:p w14:paraId="55846B98" w14:textId="77777777" w:rsidR="00C212F4" w:rsidRPr="00533D7B" w:rsidRDefault="00C212F4" w:rsidP="00C212F4">
      <w:pPr>
        <w:pStyle w:val="SingleTxtG"/>
        <w:rPr>
          <w:rStyle w:val="SingleTxtGChar"/>
          <w:rFonts w:eastAsiaTheme="minorEastAsia"/>
        </w:rPr>
      </w:pPr>
      <w:r>
        <w:t>37.</w:t>
      </w:r>
      <w:r>
        <w:tab/>
        <w:t xml:space="preserve">В «Белой книге» ЕЭК описываются текущее состояние сети водных путей категории Е в соответствии с Европейским соглашением о важнейших внутренних водных путях международного значения (СМВП), прогресс, достигнутый в осуществлении соглашения, а также текущие и планируемые крупные инфраструктурные проекты. В «Белой книге» освещаются эволюция институциональной и нормативной базы внутреннего судоходства с 2011 года, а также недавние программы и мероприятия ЕЭК, Европейского союза, речных комиссий и Европейского комитета по разработке общих стандартов в области внутреннего судоходства (КЕСНИ). Кроме того, в ней рассматривается текущая работа и приоритеты на предстоящие годы на международном уровне. Решение этих задач тесным образом связано с реализацией целей устойчивого развития и осуществлением Вроцлавской декларации министров. </w:t>
      </w:r>
    </w:p>
    <w:p w14:paraId="54208274" w14:textId="77777777" w:rsidR="00C212F4" w:rsidRPr="00533D7B" w:rsidRDefault="00C212F4" w:rsidP="00C212F4">
      <w:pPr>
        <w:pStyle w:val="H23G"/>
      </w:pPr>
      <w:r>
        <w:tab/>
        <w:t>b)</w:t>
      </w:r>
      <w:r>
        <w:tab/>
      </w:r>
      <w:r>
        <w:rPr>
          <w:bCs/>
        </w:rPr>
        <w:t>Последующие меры в связи с Вроцлавской декларацией министров</w:t>
      </w:r>
      <w:bookmarkStart w:id="9" w:name="_Hlk24618037"/>
    </w:p>
    <w:p w14:paraId="7E398CFB" w14:textId="77777777" w:rsidR="00C212F4" w:rsidRPr="00533D7B" w:rsidRDefault="00C212F4" w:rsidP="00C212F4">
      <w:pPr>
        <w:pStyle w:val="SingleTxtG"/>
      </w:pPr>
      <w:r>
        <w:t>38.</w:t>
      </w:r>
      <w:r>
        <w:tab/>
        <w:t>В соответствии с декларацией министров «Судоходство по внутренним водным путям во всемирном контексте», принятой на Международной конференции по внутреннему водному транспорту (18 и 19 апреля 2018 года, Вроцлав (Польша)), и</w:t>
      </w:r>
      <w:r w:rsidR="00B52B34">
        <w:t> </w:t>
      </w:r>
      <w:r>
        <w:t xml:space="preserve">резолюцией КВТ № 265 «Содействие развитию внутреннего водного транспорта», SC.3 приняла рекомендации для государств-членов по мониторингу осуществления этой декларации, с тем чтобы иметь возможность отчитываться о достигнутом прогрессе на будущих сессиях Комитета. </w:t>
      </w:r>
    </w:p>
    <w:bookmarkEnd w:id="9"/>
    <w:p w14:paraId="00E26828" w14:textId="77777777" w:rsidR="00C212F4" w:rsidRPr="00533D7B" w:rsidRDefault="00C212F4" w:rsidP="00C212F4">
      <w:pPr>
        <w:pStyle w:val="H23G"/>
      </w:pPr>
      <w:r>
        <w:tab/>
        <w:t>2.</w:t>
      </w:r>
      <w:r>
        <w:tab/>
      </w:r>
      <w:r>
        <w:rPr>
          <w:bCs/>
        </w:rPr>
        <w:t>Изменения в сфере регулирования и результаты работы неофициальных групп экспертов</w:t>
      </w:r>
      <w:bookmarkStart w:id="10" w:name="_Hlk24618082"/>
    </w:p>
    <w:p w14:paraId="08C27A76" w14:textId="77777777" w:rsidR="00C212F4" w:rsidRPr="00533D7B" w:rsidRDefault="00C212F4" w:rsidP="00C212F4">
      <w:pPr>
        <w:pStyle w:val="SingleTxtG"/>
      </w:pPr>
      <w:r>
        <w:t>39.</w:t>
      </w:r>
      <w:r>
        <w:tab/>
        <w:t xml:space="preserve">На своей шестьдесят третьей сессии SC.3 приняла «дорожную карту» для ратификации, принятия, утверждения СМВП и присоединения к нему в целях содействия его осуществлению, увеличения числа договаривающихся сторон и осуществления новой Стратегии КВТ по увеличению числа государств, присоединившихся к конвенциям Организации Объединенных Наций по транспорту. Сводный текст СМВП был издан в качестве документа ECE/TRANS/120/Rev.4. В дополнение к этому была опубликована обновленная карта СМВП, которая </w:t>
      </w:r>
      <w:r>
        <w:lastRenderedPageBreak/>
        <w:t xml:space="preserve">доступна на </w:t>
      </w:r>
      <w:hyperlink r:id="rId14" w:history="1">
        <w:r w:rsidRPr="00B52B34">
          <w:rPr>
            <w:rStyle w:val="Hyperlink"/>
          </w:rPr>
          <w:t>веб-странице SC.3</w:t>
        </w:r>
      </w:hyperlink>
      <w:r>
        <w:t xml:space="preserve"> как в виде приложения ГИС, так и в виде версии для печати в формате pdf.</w:t>
      </w:r>
    </w:p>
    <w:p w14:paraId="27E0AFA0" w14:textId="77777777" w:rsidR="00C212F4" w:rsidRPr="00533D7B" w:rsidRDefault="00C212F4" w:rsidP="00C212F4">
      <w:pPr>
        <w:pStyle w:val="SingleTxtG"/>
      </w:pPr>
      <w:r>
        <w:t>40.</w:t>
      </w:r>
      <w:r>
        <w:tab/>
        <w:t xml:space="preserve">В 2019 году Рабочая группа приняла добавление № 2 к третьему пересмотренному варианту Перечня основных характеристик и параметров сети водных путей категории Е («Синяя книга»). Обновленная информация также доступна в </w:t>
      </w:r>
      <w:hyperlink r:id="rId15" w:history="1">
        <w:r w:rsidRPr="00B52B34">
          <w:rPr>
            <w:rStyle w:val="Hyperlink"/>
          </w:rPr>
          <w:t>онлайновой базе данных «Синей книги»</w:t>
        </w:r>
      </w:hyperlink>
      <w:r>
        <w:t>.</w:t>
      </w:r>
    </w:p>
    <w:p w14:paraId="71BE5949" w14:textId="77777777" w:rsidR="00C212F4" w:rsidRPr="00533D7B" w:rsidRDefault="00C212F4" w:rsidP="00C212F4">
      <w:pPr>
        <w:pStyle w:val="SingleTxtG"/>
      </w:pPr>
      <w:r>
        <w:t>41.</w:t>
      </w:r>
      <w:r>
        <w:tab/>
        <w:t xml:space="preserve">SC.3 и ее вспомогательные органы продолжили усилия, направленные на осуществление и обновление пятого пересмотренного издания Европейских правил судоходства по внутренним водным путям (ЕПСВВП). Работа по обновлению </w:t>
      </w:r>
      <w:r w:rsidR="00036317">
        <w:br/>
      </w:r>
      <w:r>
        <w:t>5-го варианта ЕПСВВП будет продолжена в 2020 году с целью подготовки в 2021 году следующего, шестого пересмотренного варианта.</w:t>
      </w:r>
    </w:p>
    <w:p w14:paraId="2E744B01" w14:textId="77777777" w:rsidR="00C212F4" w:rsidRDefault="00C212F4" w:rsidP="00C212F4">
      <w:pPr>
        <w:pStyle w:val="SingleTxtG"/>
      </w:pPr>
      <w:bookmarkStart w:id="11" w:name="_Hlk24618116"/>
      <w:bookmarkEnd w:id="10"/>
      <w:r>
        <w:t>42.</w:t>
      </w:r>
      <w:r>
        <w:tab/>
        <w:t xml:space="preserve">В 2019 году SC.3: </w:t>
      </w:r>
    </w:p>
    <w:p w14:paraId="3E6E42CD" w14:textId="77777777" w:rsidR="00C212F4" w:rsidRPr="00533D7B" w:rsidRDefault="00C212F4" w:rsidP="00C212F4">
      <w:pPr>
        <w:pStyle w:val="Bullet1G"/>
        <w:numPr>
          <w:ilvl w:val="0"/>
          <w:numId w:val="22"/>
        </w:numPr>
      </w:pPr>
      <w:r>
        <w:t>приняла поправку № 1 к Рекомендациям, касающимся согласованных на европейском уровне технических предписаний, применимых к судам внутреннего плавания (2-й пересмотренный вариант резолюции № 61), в качестве своей резолюции № 93;</w:t>
      </w:r>
    </w:p>
    <w:p w14:paraId="2705795B" w14:textId="77777777" w:rsidR="00C212F4" w:rsidRPr="00533D7B" w:rsidRDefault="00C212F4" w:rsidP="00C212F4">
      <w:pPr>
        <w:pStyle w:val="Bullet1G"/>
        <w:numPr>
          <w:ilvl w:val="0"/>
          <w:numId w:val="22"/>
        </w:numPr>
      </w:pPr>
      <w:r>
        <w:t xml:space="preserve">пересмотрела резолюцию № 21 «Предотвращение загрязнения внутренних водных путей с судов» и приняла ее резолюцией № 94; </w:t>
      </w:r>
    </w:p>
    <w:p w14:paraId="180D6B75" w14:textId="77777777" w:rsidR="00C212F4" w:rsidRPr="00533D7B" w:rsidRDefault="00C212F4" w:rsidP="00C212F4">
      <w:pPr>
        <w:pStyle w:val="Bullet1G"/>
        <w:numPr>
          <w:ilvl w:val="0"/>
          <w:numId w:val="22"/>
        </w:numPr>
      </w:pPr>
      <w:r>
        <w:t xml:space="preserve">продолжила работу, направленную на развитие прогулочного судоходства. Была завершена работа над обновленной Европейской сетью прогулочного судоходства по внутренним водным путям (AGNP), которая была размещена на веб-странице SC.3. </w:t>
      </w:r>
      <w:hyperlink r:id="rId16" w:history="1">
        <w:r w:rsidRPr="00B52B34">
          <w:rPr>
            <w:rStyle w:val="Hyperlink"/>
          </w:rPr>
          <w:t>База данных образцов МУС</w:t>
        </w:r>
      </w:hyperlink>
      <w:r>
        <w:t xml:space="preserve"> была дополнена новыми образцами МУС, переданными Ирландией, Литвой, Хорватией и Южной Африкой.</w:t>
      </w:r>
    </w:p>
    <w:bookmarkEnd w:id="11"/>
    <w:p w14:paraId="55E02159" w14:textId="77777777" w:rsidR="00C212F4" w:rsidRPr="00533D7B" w:rsidRDefault="00C212F4" w:rsidP="00C212F4">
      <w:pPr>
        <w:pStyle w:val="H23G"/>
      </w:pPr>
      <w:r>
        <w:tab/>
        <w:t>3.</w:t>
      </w:r>
      <w:r>
        <w:tab/>
      </w:r>
      <w:r>
        <w:rPr>
          <w:bCs/>
        </w:rPr>
        <w:t>Ключевые темы для внутреннего водного транспорта в 2019 году</w:t>
      </w:r>
    </w:p>
    <w:p w14:paraId="126C35DE" w14:textId="77777777" w:rsidR="00C212F4" w:rsidRPr="00533D7B" w:rsidRDefault="00C212F4" w:rsidP="00C212F4">
      <w:pPr>
        <w:pStyle w:val="H23G"/>
      </w:pPr>
      <w:r>
        <w:tab/>
        <w:t>a)</w:t>
      </w:r>
      <w:r>
        <w:tab/>
      </w:r>
      <w:r>
        <w:rPr>
          <w:bCs/>
        </w:rPr>
        <w:t>Инновации в секторе внутреннего водного транспорта: технологии РИС</w:t>
      </w:r>
      <w:r w:rsidRPr="00036317">
        <w:rPr>
          <w:rStyle w:val="FootnoteReference"/>
          <w:b w:val="0"/>
        </w:rPr>
        <w:footnoteReference w:id="3"/>
      </w:r>
      <w:r>
        <w:rPr>
          <w:bCs/>
        </w:rPr>
        <w:t>, автоматизированное судоходство, «умное судоходство»</w:t>
      </w:r>
      <w:r>
        <w:t xml:space="preserve"> </w:t>
      </w:r>
      <w:bookmarkStart w:id="12" w:name="_Hlk24618187"/>
    </w:p>
    <w:p w14:paraId="5C5B33A7" w14:textId="77777777" w:rsidR="00C212F4" w:rsidRPr="00533D7B" w:rsidRDefault="00C212F4" w:rsidP="00C212F4">
      <w:pPr>
        <w:pStyle w:val="SingleTxtG"/>
      </w:pPr>
      <w:r>
        <w:t>43.</w:t>
      </w:r>
      <w:r>
        <w:tab/>
        <w:t xml:space="preserve">Инновации во внутреннем судоходстве в настоящее время являются ключевой темой для внутреннего водного транспорта, в частности, в силу того потенциала, который они создают для сокращения выбросов с судов и повышения энергоэффективности флота. </w:t>
      </w:r>
    </w:p>
    <w:bookmarkEnd w:id="12"/>
    <w:p w14:paraId="31D97BBD" w14:textId="77777777" w:rsidR="00C212F4" w:rsidRPr="00533D7B" w:rsidRDefault="00C212F4" w:rsidP="00C212F4">
      <w:pPr>
        <w:pStyle w:val="H23G"/>
      </w:pPr>
      <w:r>
        <w:tab/>
        <w:t>b)</w:t>
      </w:r>
      <w:r>
        <w:tab/>
      </w:r>
      <w:r>
        <w:rPr>
          <w:bCs/>
        </w:rPr>
        <w:t>Речные информационные службы</w:t>
      </w:r>
    </w:p>
    <w:p w14:paraId="7F6CD4FA" w14:textId="77777777" w:rsidR="00C212F4" w:rsidRPr="00533D7B" w:rsidRDefault="00C212F4" w:rsidP="00C212F4">
      <w:pPr>
        <w:pStyle w:val="SingleTxtG"/>
      </w:pPr>
      <w:r>
        <w:t>44.</w:t>
      </w:r>
      <w:r>
        <w:tab/>
        <w:t>В 2019 году SC.3/WP.3 завершила пересмотр Рекомендации, касающейся системы отображения электронных карт и информации для внутреннего судоходства (СОЭНКИ ВС) (резолюция № 48), и Международного стандарта для извещений судоводителям во внутреннем судоходстве (резолюция № 80) в тесном сотрудничестве с председателями Международной группы экспертов по СОЭНКИ и Международной группы экспертов по извещениям судоводителям. На своей шестьдесят третьей сессии</w:t>
      </w:r>
      <w:r w:rsidR="00036317">
        <w:t> </w:t>
      </w:r>
      <w:r>
        <w:t xml:space="preserve">SC.3 приняла a) Рекомендацию, касающуюся системы отображения электронных карт и информации для внутреннего судоходства (4-й пересмотренный вариант резолюции № 48), в качестве своей резолюции № 96 и b) Международный стандарт для извещений судоводителям во внутреннем судоходстве </w:t>
      </w:r>
      <w:r w:rsidR="00036317">
        <w:br/>
      </w:r>
      <w:r>
        <w:t>(1-й пересмотренный вариант резолюции № 80) в качестве своей резолюции № 97.</w:t>
      </w:r>
    </w:p>
    <w:p w14:paraId="0D337A6D" w14:textId="77777777" w:rsidR="00C212F4" w:rsidRPr="00533D7B" w:rsidRDefault="00C212F4" w:rsidP="00C212F4">
      <w:pPr>
        <w:pStyle w:val="H23G"/>
        <w:rPr>
          <w:i/>
        </w:rPr>
      </w:pPr>
      <w:r>
        <w:tab/>
        <w:t>c)</w:t>
      </w:r>
      <w:r>
        <w:tab/>
      </w:r>
      <w:r>
        <w:rPr>
          <w:bCs/>
        </w:rPr>
        <w:t>Автоматизация и «умное судоходство»</w:t>
      </w:r>
      <w:bookmarkStart w:id="13" w:name="_Hlk24618220"/>
    </w:p>
    <w:p w14:paraId="0AEC67F7" w14:textId="77777777" w:rsidR="00C212F4" w:rsidRPr="00533D7B" w:rsidRDefault="00C212F4" w:rsidP="00C212F4">
      <w:pPr>
        <w:pStyle w:val="SingleTxtG"/>
      </w:pPr>
      <w:r>
        <w:t>45.</w:t>
      </w:r>
      <w:r>
        <w:tab/>
        <w:t>В 2019 году обе рабочие группы продолжили обсуждение вопросов, касающихся автоматизированного судоходства и «умного судоходства» на</w:t>
      </w:r>
      <w:r w:rsidR="00036317">
        <w:t> </w:t>
      </w:r>
      <w:r>
        <w:t xml:space="preserve">внутренних водных путях. На своей шестьдесят третьей сессии SC.3 приняла резолюцию «Укрепление международного сотрудничества в поддержку развития </w:t>
      </w:r>
      <w:r w:rsidR="00713400">
        <w:lastRenderedPageBreak/>
        <w:t>"</w:t>
      </w:r>
      <w:r>
        <w:t>умного судоходства</w:t>
      </w:r>
      <w:r w:rsidR="00713400">
        <w:t>"</w:t>
      </w:r>
      <w:r>
        <w:t xml:space="preserve"> на внутренних водных путях» в качестве своей резолюции</w:t>
      </w:r>
      <w:r w:rsidR="00036317">
        <w:t> </w:t>
      </w:r>
      <w:r>
        <w:t>№</w:t>
      </w:r>
      <w:r w:rsidR="00036317">
        <w:t> </w:t>
      </w:r>
      <w:r>
        <w:t>95. Кроме того, SC.3 одобрила «дорожную карту» для международного сотрудничества, направленную на поощрение и развитие «умного судоходства» на</w:t>
      </w:r>
      <w:r w:rsidR="00036317">
        <w:t> </w:t>
      </w:r>
      <w:r>
        <w:t>внутренних водных путях. Обсуждение вопроса о согласовании нормативно-правовой базы и стратегически</w:t>
      </w:r>
      <w:r w:rsidR="00713400">
        <w:t>х</w:t>
      </w:r>
      <w:r>
        <w:t xml:space="preserve"> област</w:t>
      </w:r>
      <w:r w:rsidR="00713400">
        <w:t>ях</w:t>
      </w:r>
      <w:r>
        <w:t xml:space="preserve"> для стимулирования инноваций во внутреннем судоходстве, инициированное Бельгией на пятьдесят пятой сессии SC.3/WP.3, было продолжено в рамках SC.3, которая поддержала предложение о проведении анализа международных конвенций и соглашений и резолюций ЕЭК, касающихся внутреннего водного транспорта, в целях обеспечения возможности автоматизированного судоходства и призвала государства-члены поддержать и продолжить эту работу. </w:t>
      </w:r>
    </w:p>
    <w:bookmarkEnd w:id="13"/>
    <w:p w14:paraId="2A5D2355" w14:textId="77777777" w:rsidR="00C212F4" w:rsidRPr="00533D7B" w:rsidRDefault="00C212F4" w:rsidP="00C212F4">
      <w:pPr>
        <w:pStyle w:val="H23G"/>
      </w:pPr>
      <w:r>
        <w:tab/>
        <w:t>4.</w:t>
      </w:r>
      <w:r>
        <w:tab/>
      </w:r>
      <w:r>
        <w:rPr>
          <w:bCs/>
        </w:rPr>
        <w:t>Публикации по внутреннему водному транспорту</w:t>
      </w:r>
    </w:p>
    <w:p w14:paraId="52213AFC" w14:textId="77777777" w:rsidR="00C212F4" w:rsidRPr="00533D7B" w:rsidRDefault="00C212F4" w:rsidP="00C212F4">
      <w:pPr>
        <w:pStyle w:val="H23G"/>
      </w:pPr>
      <w:bookmarkStart w:id="14" w:name="_Hlk24618248"/>
      <w:r>
        <w:tab/>
        <w:t>a)</w:t>
      </w:r>
      <w:r>
        <w:tab/>
      </w:r>
      <w:r>
        <w:rPr>
          <w:bCs/>
        </w:rPr>
        <w:t>Европейские правила сигнализации на внутренних водных путях (СИГВВП)</w:t>
      </w:r>
    </w:p>
    <w:p w14:paraId="5FE0BDD8" w14:textId="77777777" w:rsidR="00C212F4" w:rsidRPr="00533D7B" w:rsidRDefault="00C212F4" w:rsidP="00C212F4">
      <w:pPr>
        <w:pStyle w:val="SingleTxtG"/>
      </w:pPr>
      <w:r>
        <w:t>46.</w:t>
      </w:r>
      <w:r>
        <w:tab/>
        <w:t xml:space="preserve">Европейские правила сигнализации на внутренних водных путях (СИГВВП), принятые SC.3 в 2018 году в качестве резолюции № 90, заменили 2-й пересмотренный вариант резолюции № 22 и 2-й пересмотренный вариант резолюции № 59. Европейские правила СИГВВП содержат рекомендации по расстановке и применению знаков судоходной обстановки на европейских внутренних водных путях, предусмотренных пятым пересмотренным вариантом ЕПСВВП (TRANS/SC.3/115/Rev.5), и предназначены для администраций и компетентных органов по водным путям. Они были подготовлены при участии речных комиссий и Группы экспертов по ЕПСВВП, а также с привлечением материалов, полученных от председателей Совместной международной группы экспертов по </w:t>
      </w:r>
      <w:r>
        <w:rPr>
          <w:lang w:val="en-US" w:bidi="ar-DZ"/>
        </w:rPr>
        <w:t>VTT</w:t>
      </w:r>
      <w:r>
        <w:t xml:space="preserve"> и СОЭНКИ и Международной ассоциацией морских средств навигации и маячных служб (МАМС). Деятельность ЕЭК, направленная на повышение безопасности судоходства по внутренним водным путям в общеевропейском формате, и усилия по согласованию правил судоходства способствуют достижению цели 9 в области устойчивого развития.</w:t>
      </w:r>
      <w:bookmarkEnd w:id="14"/>
    </w:p>
    <w:p w14:paraId="4BE001AD" w14:textId="77777777" w:rsidR="00C212F4" w:rsidRPr="00533D7B" w:rsidRDefault="00C212F4" w:rsidP="00C212F4">
      <w:pPr>
        <w:pStyle w:val="H23G"/>
      </w:pPr>
      <w:r>
        <w:tab/>
        <w:t>b)</w:t>
      </w:r>
      <w:r>
        <w:tab/>
      </w:r>
      <w:r>
        <w:rPr>
          <w:bCs/>
        </w:rPr>
        <w:t>2-й пересмотренный вариант резолюции № 61</w:t>
      </w:r>
      <w:r>
        <w:t xml:space="preserve"> </w:t>
      </w:r>
      <w:bookmarkStart w:id="15" w:name="_Hlk24618275"/>
    </w:p>
    <w:p w14:paraId="6BAD2D80" w14:textId="77777777" w:rsidR="00C212F4" w:rsidRPr="00533D7B" w:rsidRDefault="00C212F4" w:rsidP="00C212F4">
      <w:pPr>
        <w:pStyle w:val="SingleTxtG"/>
      </w:pPr>
      <w:r>
        <w:t>47.</w:t>
      </w:r>
      <w:r>
        <w:tab/>
        <w:t>Общеевропейские рекомендации для судов внутреннего плавания направлены на установление согласованного режима технических требований к судам, участвующим в международных перевозках грузов и пассажиров. Эти рекомендации являются результатом усилий правительств, направленных на унификацию отличающихся друг от друга правил, действующих в различных международных организациях и в странах – членах ЕЭК.</w:t>
      </w:r>
    </w:p>
    <w:p w14:paraId="6DB777AA" w14:textId="77777777" w:rsidR="00C212F4" w:rsidRPr="00533D7B" w:rsidRDefault="00C212F4" w:rsidP="00C212F4">
      <w:pPr>
        <w:pStyle w:val="SingleTxtG"/>
      </w:pPr>
      <w:r>
        <w:t>48.</w:t>
      </w:r>
      <w:r>
        <w:tab/>
        <w:t>Впервые рекомендации были приняты Рабочей группой по внутреннему водному транспорту (SC.3) в 1975 году резолюцией № 17, и с тех пор они постоянно пересматриваются и обновляются.</w:t>
      </w:r>
      <w:bookmarkEnd w:id="15"/>
    </w:p>
    <w:p w14:paraId="3276B1D0" w14:textId="77777777" w:rsidR="00C212F4" w:rsidRPr="00533D7B" w:rsidRDefault="00C212F4" w:rsidP="00C212F4">
      <w:pPr>
        <w:pStyle w:val="H1G"/>
      </w:pPr>
      <w:r>
        <w:tab/>
        <w:t>G.</w:t>
      </w:r>
      <w:r>
        <w:tab/>
      </w:r>
      <w:r>
        <w:rPr>
          <w:bCs/>
        </w:rPr>
        <w:t>Статистика транспорта</w:t>
      </w:r>
      <w:r>
        <w:t xml:space="preserve"> </w:t>
      </w:r>
    </w:p>
    <w:p w14:paraId="0E90588D" w14:textId="77777777" w:rsidR="00C212F4" w:rsidRPr="00533D7B" w:rsidRDefault="00C212F4" w:rsidP="00C212F4">
      <w:pPr>
        <w:pStyle w:val="H23G"/>
      </w:pPr>
      <w:r>
        <w:tab/>
        <w:t>1.</w:t>
      </w:r>
      <w:r>
        <w:tab/>
      </w:r>
      <w:r>
        <w:rPr>
          <w:bCs/>
        </w:rPr>
        <w:t>Работа по мониторингу и отчетности в области достижения целей устойчивого развития</w:t>
      </w:r>
    </w:p>
    <w:p w14:paraId="52A1C07C" w14:textId="77777777" w:rsidR="00C212F4" w:rsidRPr="00533D7B" w:rsidRDefault="00C212F4" w:rsidP="00C212F4">
      <w:pPr>
        <w:pStyle w:val="SingleTxtG"/>
      </w:pPr>
      <w:r>
        <w:t>49.</w:t>
      </w:r>
      <w:r>
        <w:tab/>
        <w:t xml:space="preserve">WP.6 продолжила выступать в качестве форума для обсуждения связанных с транспортом целей устойчивого развития. На совещании в июне 2019 года секретариат представил план улучшения мониторинга показателя </w:t>
      </w:r>
      <w:r w:rsidRPr="000E4C08">
        <w:t>9.1.2</w:t>
      </w:r>
      <w:r>
        <w:t xml:space="preserve"> достижения целей устойчивого развития</w:t>
      </w:r>
      <w:r w:rsidRPr="00474C0D">
        <w:t xml:space="preserve"> </w:t>
      </w:r>
      <w:r w:rsidRPr="00036317">
        <w:rPr>
          <w:iCs/>
        </w:rPr>
        <w:t>«Объем пассажирских и грузовых перевозок в разбивке по видам транспорта»</w:t>
      </w:r>
      <w:r>
        <w:rPr>
          <w:i/>
          <w:iCs/>
        </w:rPr>
        <w:t xml:space="preserve"> </w:t>
      </w:r>
      <w:r>
        <w:t>через создание вики-страницы, где показано, каким образом все страны в настоящее время осуществляют мониторинг показателя 9.1.2 (что позволит обмениваться передовым опытом), и секретариат планирует опубликовать руководство по национальному мониторингу этого показателя в 2020 году.</w:t>
      </w:r>
    </w:p>
    <w:p w14:paraId="226235C8" w14:textId="77777777" w:rsidR="00C212F4" w:rsidRPr="00533D7B" w:rsidRDefault="00C212F4" w:rsidP="00C212F4">
      <w:pPr>
        <w:pStyle w:val="SingleTxtG"/>
      </w:pPr>
      <w:r>
        <w:t>50.</w:t>
      </w:r>
      <w:r>
        <w:tab/>
        <w:t xml:space="preserve">Что касается мониторинга показателя </w:t>
      </w:r>
      <w:r w:rsidRPr="000E4C08">
        <w:t>11.2.1</w:t>
      </w:r>
      <w:r>
        <w:t xml:space="preserve"> достижения целей устойчивого развития</w:t>
      </w:r>
      <w:r w:rsidRPr="00474C0D">
        <w:t xml:space="preserve"> </w:t>
      </w:r>
      <w:r w:rsidRPr="00036317">
        <w:rPr>
          <w:iCs/>
        </w:rPr>
        <w:t xml:space="preserve">«Доля населения, имеющего удобный доступ к общественному транспорту, </w:t>
      </w:r>
      <w:r w:rsidRPr="00036317">
        <w:rPr>
          <w:iCs/>
        </w:rPr>
        <w:lastRenderedPageBreak/>
        <w:t xml:space="preserve">в разбивке по полу, возрасту и наличию/отсутствию инвалидности», </w:t>
      </w:r>
      <w:r w:rsidRPr="00036317">
        <w:t>т</w:t>
      </w:r>
      <w:r>
        <w:t>о секретариат разослал странам обследование по вопросу о наличии данных для статистики по трамвайным линиям и метро – области, которая в настоящее время не охвачена на международном уровне. Ответы были в подавляющем большинстве положительными, и в настоящее время секретариат начинает сбор данных, публикация которых запланирована на 2020 год.</w:t>
      </w:r>
    </w:p>
    <w:p w14:paraId="2CB6003D" w14:textId="77777777" w:rsidR="00C212F4" w:rsidRPr="00533D7B" w:rsidRDefault="00C212F4" w:rsidP="00C212F4">
      <w:pPr>
        <w:pStyle w:val="H23G"/>
      </w:pPr>
      <w:r>
        <w:tab/>
        <w:t>2.</w:t>
      </w:r>
      <w:r>
        <w:tab/>
      </w:r>
      <w:r>
        <w:rPr>
          <w:bCs/>
        </w:rPr>
        <w:t>Публикации 2019 года</w:t>
      </w:r>
    </w:p>
    <w:p w14:paraId="5D34020B" w14:textId="77777777" w:rsidR="00C212F4" w:rsidRPr="00533D7B" w:rsidRDefault="00C212F4" w:rsidP="00C212F4">
      <w:pPr>
        <w:pStyle w:val="SingleTxtG"/>
      </w:pPr>
      <w:r>
        <w:t>51.</w:t>
      </w:r>
      <w:r>
        <w:tab/>
        <w:t>В июле 2019 года WP.6 опубликовала пятое издание Глоссария по статистике транспорта в партнерстве с Евростатом и Международным транспортным форумом. Эта публикация дает возможность органам, собирающим транспортную статистику на национальном и местном уровнях, использовать общие определения современных и актуальных транспортных терминов, что позволяет проводить содержательный сопоставительный анализ международных данных. Эти общие определения помогут странам осуществлять последовательный мониторинг связанных с транспортом показателей достижения целей устойчивого развития.</w:t>
      </w:r>
    </w:p>
    <w:p w14:paraId="2F3F50B1" w14:textId="77777777" w:rsidR="00C212F4" w:rsidRPr="00533D7B" w:rsidRDefault="00C212F4" w:rsidP="00C212F4">
      <w:pPr>
        <w:pStyle w:val="SingleTxtG"/>
      </w:pPr>
      <w:r>
        <w:t>52.</w:t>
      </w:r>
      <w:r>
        <w:tab/>
        <w:t xml:space="preserve">В конце 2019 года была выпущена публикация </w:t>
      </w:r>
      <w:r w:rsidRPr="00036317">
        <w:rPr>
          <w:iCs/>
        </w:rPr>
        <w:t>«Статистика дорожно-транспортных происшествий в Европе и Северной Америке»</w:t>
      </w:r>
      <w:r w:rsidRPr="00036317">
        <w:t>.</w:t>
      </w:r>
      <w:r>
        <w:t xml:space="preserve"> В этой публикации сравниваются статистические данные по безопасности дорожного движения по различным странам с разбивкой по типам участников дорожного движения, локализации и времени. В этой последней публикации представлена новая, более подробная таблица, касающаяся смертельных случаев, с разбивкой как по полу, так и по возрасту, что позволит находить детально проработанные стратегические решения, специально подобранные для конкретных проблемных областей. В результате расширения информационно-разъяснительной работы, проводимой секретариатом, доступность данных находится на самом высоком за всю историю уровне.</w:t>
      </w:r>
    </w:p>
    <w:p w14:paraId="2B0750F9" w14:textId="77777777" w:rsidR="00C212F4" w:rsidRPr="00533D7B" w:rsidRDefault="00C212F4" w:rsidP="00C212F4">
      <w:pPr>
        <w:pStyle w:val="H1G"/>
      </w:pPr>
      <w:r>
        <w:tab/>
        <w:t>H.</w:t>
      </w:r>
      <w:r>
        <w:tab/>
      </w:r>
      <w:r>
        <w:rPr>
          <w:bCs/>
        </w:rPr>
        <w:t>Перевозка скоропортящихся пищевых продуктов</w:t>
      </w:r>
    </w:p>
    <w:p w14:paraId="52BA1C8C" w14:textId="77777777" w:rsidR="00C212F4" w:rsidRPr="005E07A3" w:rsidRDefault="00C212F4" w:rsidP="00C212F4">
      <w:pPr>
        <w:pStyle w:val="SingleTxtG"/>
        <w:rPr>
          <w:rFonts w:asciiTheme="majorBidi" w:hAnsiTheme="majorBidi" w:cstheme="majorBidi"/>
          <w:color w:val="000000" w:themeColor="text1"/>
        </w:rPr>
      </w:pPr>
      <w:r>
        <w:t>53.</w:t>
      </w:r>
      <w:r>
        <w:tab/>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призвано обеспечить эффективную, безопасную и гигиеничную перевозку глубокозамороженных и охлажденных пищевых продуктов, не создающую опасности для здоровья людей. Участниками СПС являются 50 стран, включая страны, не являющиеся членами ЕЭК (Марокко, Тунис и Саудовская Аравия). Кроме того, некоторые страны приняли СПС в качестве основы для своего законодательства. Соглашение:</w:t>
      </w:r>
    </w:p>
    <w:p w14:paraId="48E61AA0" w14:textId="77777777" w:rsidR="00C212F4" w:rsidRPr="00533D7B" w:rsidRDefault="00C212F4" w:rsidP="00474C0D">
      <w:pPr>
        <w:pStyle w:val="Bullet1G"/>
        <w:rPr>
          <w:rFonts w:asciiTheme="majorBidi" w:hAnsiTheme="majorBidi" w:cstheme="majorBidi"/>
          <w:color w:val="000000" w:themeColor="text1"/>
        </w:rPr>
      </w:pPr>
      <w:r>
        <w:t xml:space="preserve">предусматривает общие стандарты для транспортных средств с регулируемым температурным режимом, таких как автотранспортные средства, железнодорожные вагоны и контейнеры, а также испытания для проверки изотермических свойств транспортных средств и эффективности термического оборудования; </w:t>
      </w:r>
    </w:p>
    <w:p w14:paraId="3E9837F4" w14:textId="77777777" w:rsidR="00C212F4" w:rsidRPr="005E07A3" w:rsidRDefault="00C212F4" w:rsidP="00474C0D">
      <w:pPr>
        <w:pStyle w:val="Bullet1G"/>
        <w:rPr>
          <w:rFonts w:asciiTheme="majorBidi" w:hAnsiTheme="majorBidi" w:cstheme="majorBidi"/>
          <w:color w:val="000000" w:themeColor="text1"/>
        </w:rPr>
      </w:pPr>
      <w:r>
        <w:t xml:space="preserve">способствует общему сокращению пищевых отходов из-за ненадлежащих условий перевозки. Потеря миллионов тонн пищевых продуктов также является потерей крайне дефицитных или невозобновляемых производственных ресурсов, таких как земля, вода, энергия и химические удобрения и пестициды, и способствует глобальному потеплению. Отходы пищевых продуктов также отрицательно влияют на продовольственную безопасность. </w:t>
      </w:r>
    </w:p>
    <w:p w14:paraId="70A75E95" w14:textId="77777777" w:rsidR="00C212F4" w:rsidRPr="00533D7B" w:rsidRDefault="00C212F4" w:rsidP="00C212F4">
      <w:pPr>
        <w:pStyle w:val="Bullet1G"/>
        <w:numPr>
          <w:ilvl w:val="0"/>
          <w:numId w:val="0"/>
        </w:numPr>
        <w:ind w:left="1134"/>
        <w:rPr>
          <w:rFonts w:asciiTheme="majorBidi" w:hAnsiTheme="majorBidi" w:cstheme="majorBidi"/>
          <w:color w:val="000000" w:themeColor="text1"/>
        </w:rPr>
      </w:pPr>
      <w:r>
        <w:t>54.</w:t>
      </w:r>
      <w:r>
        <w:tab/>
        <w:t>В 2019 году число сторон СПС не увеличилось, однако WP.11 на своей семьдесят четвертой сессии</w:t>
      </w:r>
      <w:r>
        <w:rPr>
          <w:b/>
          <w:bCs/>
        </w:rPr>
        <w:t xml:space="preserve"> </w:t>
      </w:r>
      <w:r>
        <w:t>приняла положения, позволяющие заменять фторированные газы (Ф-газы), используемые в настоящее время в качестве хладагентов в специальном оборудовании, на другие хладагенты с более низким потенциалом глобального потепления (ПГП). У Ф-газов эффект глобального потепления в 23 000 раз выше, чем у углекислого газа, поэтому так важно содействовать их замене на другие вещества для сокращения выбросов и борьбы с изменением климата.</w:t>
      </w:r>
    </w:p>
    <w:p w14:paraId="5FE47D40" w14:textId="77777777" w:rsidR="00C212F4" w:rsidRPr="00533D7B" w:rsidRDefault="00C212F4" w:rsidP="00C212F4">
      <w:pPr>
        <w:pStyle w:val="H1G"/>
      </w:pPr>
      <w:r>
        <w:lastRenderedPageBreak/>
        <w:tab/>
        <w:t>I.</w:t>
      </w:r>
      <w:r>
        <w:tab/>
      </w:r>
      <w:r>
        <w:rPr>
          <w:bCs/>
        </w:rPr>
        <w:t xml:space="preserve">Перевозка опасных грузов и классификация опасности </w:t>
      </w:r>
      <w:r w:rsidR="00474C0D">
        <w:rPr>
          <w:bCs/>
        </w:rPr>
        <w:br/>
      </w:r>
      <w:r>
        <w:rPr>
          <w:bCs/>
        </w:rPr>
        <w:t>и маркировка химической продукции</w:t>
      </w:r>
    </w:p>
    <w:p w14:paraId="5BA5FBA8" w14:textId="77777777" w:rsidR="00C212F4" w:rsidRPr="00533D7B" w:rsidRDefault="00C212F4" w:rsidP="00C212F4">
      <w:pPr>
        <w:pStyle w:val="H23G"/>
        <w:rPr>
          <w:rFonts w:ascii="regular_medium" w:hAnsi="regular_medium"/>
          <w:b w:val="0"/>
          <w:bCs/>
          <w:color w:val="000000"/>
        </w:rPr>
      </w:pPr>
      <w:r>
        <w:tab/>
        <w:t>1.</w:t>
      </w:r>
      <w:r>
        <w:tab/>
      </w:r>
      <w:r>
        <w:rPr>
          <w:bCs/>
        </w:rPr>
        <w:t>Работа органов ЭКОСОС, обслуживаемых Отделом устойчивого транспорта</w:t>
      </w:r>
    </w:p>
    <w:p w14:paraId="09B43C18" w14:textId="77777777" w:rsidR="00C212F4" w:rsidRPr="00D60336" w:rsidRDefault="00C212F4" w:rsidP="00C212F4">
      <w:pPr>
        <w:pStyle w:val="Bullet1G"/>
        <w:numPr>
          <w:ilvl w:val="0"/>
          <w:numId w:val="0"/>
        </w:numPr>
        <w:ind w:left="1134"/>
        <w:rPr>
          <w:rFonts w:asciiTheme="majorBidi" w:hAnsiTheme="majorBidi" w:cstheme="majorBidi"/>
          <w:color w:val="000000" w:themeColor="text1"/>
        </w:rPr>
      </w:pPr>
      <w:r>
        <w:t>55.</w:t>
      </w:r>
      <w:r>
        <w:tab/>
        <w:t xml:space="preserve">Отдел устойчивого транспорта обслуживает несколько органов, которые обеспечивают всемирное согласование положений, касающихся перевозки опасных грузов, а также классификации опасности и маркировки химической продукции во всех секторах.  К ним, в частности, относятся: </w:t>
      </w:r>
    </w:p>
    <w:p w14:paraId="627212F3" w14:textId="77777777" w:rsidR="00C212F4" w:rsidRPr="00533D7B" w:rsidRDefault="00C212F4" w:rsidP="00474C0D">
      <w:pPr>
        <w:pStyle w:val="Bullet1G"/>
        <w:rPr>
          <w:rFonts w:asciiTheme="majorBidi" w:hAnsiTheme="majorBidi" w:cstheme="majorBidi"/>
          <w:color w:val="000000" w:themeColor="text1"/>
        </w:rPr>
      </w:pPr>
      <w:r>
        <w:t>Комитет экспертов ЭКОСОС по перевозке опасных грузов и согласованной на глобальном уровне системе классификации опасности и маркировки химической продукции;</w:t>
      </w:r>
    </w:p>
    <w:p w14:paraId="4D4DD0E3" w14:textId="77777777" w:rsidR="00C212F4" w:rsidRPr="00533D7B" w:rsidRDefault="00C212F4" w:rsidP="00474C0D">
      <w:pPr>
        <w:pStyle w:val="Bullet1G"/>
        <w:rPr>
          <w:rFonts w:asciiTheme="majorBidi" w:hAnsiTheme="majorBidi" w:cstheme="majorBidi"/>
          <w:color w:val="000000" w:themeColor="text1"/>
        </w:rPr>
      </w:pPr>
      <w:r>
        <w:t xml:space="preserve">Подкомитет экспертов ЭКОСОС по перевозке опасных грузов; </w:t>
      </w:r>
    </w:p>
    <w:p w14:paraId="3D5381C9" w14:textId="77777777" w:rsidR="00C212F4" w:rsidRPr="00533D7B" w:rsidRDefault="00C212F4" w:rsidP="00474C0D">
      <w:pPr>
        <w:pStyle w:val="Bullet1G"/>
        <w:rPr>
          <w:rFonts w:asciiTheme="majorBidi" w:hAnsiTheme="majorBidi" w:cstheme="majorBidi"/>
          <w:color w:val="000000" w:themeColor="text1"/>
        </w:rPr>
      </w:pPr>
      <w:r>
        <w:t>Подкомитет экспертов ЭКОСОС по согласованной на глобальном уровне системе классификации опасности и маркировки химической продукции.</w:t>
      </w:r>
    </w:p>
    <w:p w14:paraId="47A6D662" w14:textId="77777777" w:rsidR="00C212F4" w:rsidRPr="00533D7B" w:rsidRDefault="00C212F4" w:rsidP="00474C0D">
      <w:pPr>
        <w:pStyle w:val="SingleTxtG"/>
        <w:rPr>
          <w:rFonts w:asciiTheme="majorBidi" w:hAnsiTheme="majorBidi" w:cstheme="majorBidi"/>
          <w:color w:val="000000" w:themeColor="text1"/>
        </w:rPr>
      </w:pPr>
      <w:r>
        <w:t>56.</w:t>
      </w:r>
      <w:r>
        <w:tab/>
        <w:t>В декабре 2018 года Комитет экспертов по перевозке опасных грузов (ПОГ) и</w:t>
      </w:r>
      <w:r w:rsidR="00036317">
        <w:t> </w:t>
      </w:r>
      <w:r>
        <w:t xml:space="preserve">согласованной на глобальном уровне системе классификации и маркировки химических веществ (СГС) ЭКОСОС завершил двухгодичный период своей работы принятием ряда поправок к изданиям «Рекомендации по перевозке опасных грузов – Типовые правила», «Рекомендации по перевозке опасных грузов – Руководство по испытаниям и критериям» и СГС. </w:t>
      </w:r>
    </w:p>
    <w:p w14:paraId="667B49B0" w14:textId="77777777" w:rsidR="00C212F4" w:rsidRPr="00533D7B" w:rsidRDefault="00C212F4" w:rsidP="00474C0D">
      <w:pPr>
        <w:pStyle w:val="SingleTxtG"/>
      </w:pPr>
      <w:r>
        <w:t>57.</w:t>
      </w:r>
      <w:r>
        <w:tab/>
        <w:t>В 2019 году в целях содействия осуществлению во всем мире положений, принятых Комитетом экспертов, секретариат подготовил нижеследующие пересмотренные сводные издания трех вышеупомянутых документов, в которых учитывается работа, проделанная в период 2017–2018 годов.</w:t>
      </w:r>
    </w:p>
    <w:p w14:paraId="22C6C7D8" w14:textId="77777777" w:rsidR="00C212F4" w:rsidRPr="00533D7B" w:rsidRDefault="00C212F4" w:rsidP="00474C0D">
      <w:pPr>
        <w:pStyle w:val="Bullet1G"/>
      </w:pPr>
      <w:r>
        <w:t>Двадцать первое пересмотренное издание «Рекомендации Организации Объединенных Наций по перевозке опасных грузов − Типовые правила». Оно</w:t>
      </w:r>
      <w:r w:rsidR="00474C0D">
        <w:t> </w:t>
      </w:r>
      <w:r>
        <w:t>включает новые или пересмотренные положения, касающиеся безопасной перевозки литиевых батарей, установленных в грузовых транспортных единицах, а также дефектных батарей, взрывчатых веществ, инфекционных отходов и отбракованных газовых баллончиков; согласование с изданием 2018</w:t>
      </w:r>
      <w:r w:rsidR="00474C0D">
        <w:t> </w:t>
      </w:r>
      <w:r>
        <w:t>года Правил МАГАТЭ по перевозке радиоактивных материалов; обновление перечня опасных грузов и смертельных концентраций токсичных газов; а также использование методов испытаний</w:t>
      </w:r>
      <w:r w:rsidRPr="00B52B34">
        <w:t xml:space="preserve"> </w:t>
      </w:r>
      <w:r w:rsidRPr="00B52B34">
        <w:rPr>
          <w:iCs/>
        </w:rPr>
        <w:t>in vitro</w:t>
      </w:r>
      <w:r w:rsidRPr="00B52B34">
        <w:t xml:space="preserve"> н</w:t>
      </w:r>
      <w:r>
        <w:t>а раздражение кожи для целей классификации.</w:t>
      </w:r>
    </w:p>
    <w:p w14:paraId="3EED7A51" w14:textId="77777777" w:rsidR="00C212F4" w:rsidRPr="00533D7B" w:rsidRDefault="00C212F4" w:rsidP="00474C0D">
      <w:pPr>
        <w:pStyle w:val="Bullet1G"/>
      </w:pPr>
      <w:r>
        <w:t>Седьмое пересмотренное издание Руководства по испытаниям и критериям. Руководство дополняет национальные или международные правила, вытекающие из Типовых правил или СГС, и предусматривает методы испытаний и процедуры, которые должны использоваться компетентными органами и проводящими испытания лабораториями во всем мире для классификации химической продукции в соответствии с Типовыми правилами и СГС. В седьмом пересмотренном издании Руководства проведен полный пересмотр текста с целью облегчить его использование в контексте СГС.</w:t>
      </w:r>
    </w:p>
    <w:p w14:paraId="377A4EE4" w14:textId="77777777" w:rsidR="00C212F4" w:rsidRPr="00533D7B" w:rsidRDefault="00C212F4" w:rsidP="00474C0D">
      <w:pPr>
        <w:pStyle w:val="Bullet1G"/>
      </w:pPr>
      <w:r>
        <w:t xml:space="preserve">Восьмое пересмотренное издание СГС. Оно включает новые критерии классификации и элементы информирования об опасности, а также указания в отношении химических продуктов под давлением; новые положения об использовании данных </w:t>
      </w:r>
      <w:r w:rsidRPr="00B52B34">
        <w:rPr>
          <w:iCs/>
        </w:rPr>
        <w:t>in vitro/ex vivo</w:t>
      </w:r>
      <w:r w:rsidRPr="00B52B34">
        <w:t xml:space="preserve"> </w:t>
      </w:r>
      <w:r>
        <w:t>и не связанных с испытаниями методов оценки разъедания кожи и раздражения кожи; различные поправки для уточнения критериев классификации на конкретные виды несмертельного воздействия опасных химических продуктов на органы-мишени (токсичность органов-мишеней); новые примеры предупредительных пиктограмм для обозначения сообщения  «Держать в месте, не доступном для детей»; новые примеры для способов облегчения маркировки комплектов или наборов химических продуктов; руководство по выявлению, предотвращению и уменьшению опасности, связанной со взрывом пыли на рабочем месте.</w:t>
      </w:r>
    </w:p>
    <w:p w14:paraId="6A315605" w14:textId="77777777" w:rsidR="00C212F4" w:rsidRPr="00533D7B" w:rsidRDefault="00C212F4" w:rsidP="00C212F4">
      <w:pPr>
        <w:pStyle w:val="SingleTxtG"/>
      </w:pPr>
      <w:r>
        <w:lastRenderedPageBreak/>
        <w:t>58.</w:t>
      </w:r>
      <w:r>
        <w:tab/>
        <w:t>В 2019 году Международная организация гражданской авиации (ИКАО) и</w:t>
      </w:r>
      <w:r w:rsidR="00474C0D">
        <w:t> </w:t>
      </w:r>
      <w:r>
        <w:t>Международная морская организация (ИМО) приступили к работе над поправками к Техническим инструкциям ИКАО и Международному кодексу морской перевозки опасных грузов, с тем чтобы обеспечить осуществление Типовых правил применительно к воздушным и морским перевозкам начиная с 2020 года. Эта работа позволит добиться глобального согласования и осуществления положений, принятых Подкомитетом по ПОГ, и сделать их обязательными для выполнения по всему миру для всех государств – участников Чикагской конвенции (193) в случае воздушного транспорта и Конвенции СОЛАС (165) в случае морского транспорта.</w:t>
      </w:r>
    </w:p>
    <w:p w14:paraId="01BDEBD1" w14:textId="77777777" w:rsidR="00C212F4" w:rsidRPr="00533D7B" w:rsidRDefault="00C212F4" w:rsidP="00C212F4">
      <w:pPr>
        <w:pStyle w:val="SingleTxtG"/>
      </w:pPr>
      <w:r>
        <w:t>59.</w:t>
      </w:r>
      <w:r>
        <w:tab/>
        <w:t xml:space="preserve">Внедрение СГС считается одним из первых шагов к достижению рациональной системы работы с химикатами. Например, ОЭСР – в рамках своей общей цели по продвижению политики устойчивого экономического роста и занятости – требует внедрения СГС как одного из предварительных условий, которые должны соблюдаться странами, желающими подать заявку на вступление в ОЭСР. </w:t>
      </w:r>
    </w:p>
    <w:p w14:paraId="6E0C56E9" w14:textId="77777777" w:rsidR="00C212F4" w:rsidRPr="00533D7B" w:rsidRDefault="00C212F4" w:rsidP="00C212F4">
      <w:pPr>
        <w:pStyle w:val="SingleTxtG"/>
      </w:pPr>
      <w:r>
        <w:t>60.</w:t>
      </w:r>
      <w:r>
        <w:tab/>
        <w:t xml:space="preserve">В 2019 году Новая Зеландия, Соединенные Штаты, Австралия, Израиль, Канада, Европейский союз и страны – члены Андского сообщества предприняли шаги по обновлению Андского законодательства для его согласования с СГС. С момента принятия на уровне ООН в 2002 году более 70 стран мира уже соблюдают эти положения или предприняли шаги в направлении их осуществления. </w:t>
      </w:r>
    </w:p>
    <w:p w14:paraId="6A6F2C5E" w14:textId="77777777" w:rsidR="00C212F4" w:rsidRPr="00533D7B" w:rsidRDefault="00C212F4" w:rsidP="00C212F4">
      <w:pPr>
        <w:pStyle w:val="H23G"/>
      </w:pPr>
      <w:r>
        <w:tab/>
        <w:t>2.</w:t>
      </w:r>
      <w:r>
        <w:tab/>
      </w:r>
      <w:r>
        <w:rPr>
          <w:bCs/>
        </w:rPr>
        <w:t>Работа органов ЕЭК, занимающихся вопросами перевозки опасных грузов автомобильным, железнодорожным и внутренним водным транспортом</w:t>
      </w:r>
      <w:r>
        <w:t xml:space="preserve"> </w:t>
      </w:r>
    </w:p>
    <w:p w14:paraId="46060F81" w14:textId="77777777" w:rsidR="00C212F4" w:rsidRPr="00533D7B" w:rsidRDefault="00C212F4" w:rsidP="00C212F4">
      <w:pPr>
        <w:pStyle w:val="SingleTxtG"/>
      </w:pPr>
      <w:r>
        <w:t>61.</w:t>
      </w:r>
      <w:r>
        <w:tab/>
        <w:t xml:space="preserve">Отдел устойчивого транспорта обслуживает следующие межправительственные органы ЕЭК: </w:t>
      </w:r>
    </w:p>
    <w:p w14:paraId="718D9D47" w14:textId="77777777" w:rsidR="00C212F4" w:rsidRPr="00533D7B" w:rsidRDefault="00C212F4" w:rsidP="00C212F4">
      <w:pPr>
        <w:pStyle w:val="Bullet1G"/>
        <w:numPr>
          <w:ilvl w:val="0"/>
          <w:numId w:val="22"/>
        </w:numPr>
      </w:pPr>
      <w:r>
        <w:t xml:space="preserve">Рабочую группу по перевозкам опасных грузов (WP.15); </w:t>
      </w:r>
    </w:p>
    <w:p w14:paraId="60D7AFB1" w14:textId="77777777" w:rsidR="00C212F4" w:rsidRPr="00533D7B" w:rsidRDefault="00C212F4" w:rsidP="00C212F4">
      <w:pPr>
        <w:pStyle w:val="Bullet1G"/>
        <w:numPr>
          <w:ilvl w:val="0"/>
          <w:numId w:val="22"/>
        </w:numPr>
      </w:pPr>
      <w:r>
        <w:t>Совместное совещание Комиссии экспертов МПОГ и Рабочей группы по перевозкам опасных грузов (WP.15/AC.1);</w:t>
      </w:r>
    </w:p>
    <w:p w14:paraId="4D7BFFBA" w14:textId="77777777" w:rsidR="00C212F4" w:rsidRPr="00533D7B" w:rsidRDefault="00C212F4" w:rsidP="00C212F4">
      <w:pPr>
        <w:pStyle w:val="Bullet1G"/>
        <w:numPr>
          <w:ilvl w:val="0"/>
          <w:numId w:val="22"/>
        </w:numPr>
      </w:pPr>
      <w:r>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(WP.15/AC.2) и Административный комитет Европейского соглашения о международной перевозке опасных грузов по внутренним водным путям (Административный комитет ВОПОГ).</w:t>
      </w:r>
    </w:p>
    <w:p w14:paraId="290E6806" w14:textId="77777777" w:rsidR="00C212F4" w:rsidRPr="00533D7B" w:rsidRDefault="00C212F4" w:rsidP="00C212F4">
      <w:pPr>
        <w:pStyle w:val="SingleTxtG"/>
      </w:pPr>
      <w:r>
        <w:t>62.</w:t>
      </w:r>
      <w:r>
        <w:tab/>
        <w:t>Положения ДОПОГ, МПОГ и ВОПОГ изданий 2019 года, которые были приняты соответствующими межправительственными органами в 2018 году, обеспечивают согласованность с положениями двадцатого пересмотренного издания Типовых правил и вступили в силу 1 января 2019 года. Они стали обязательными применительно к международным перевозкам опасных грузов автомобильным, железнодорожным и внутренним водным транспортом между договаривающимися сторонами этих соглашений (51 – для ДОПОГ, 45 – для МПОГ и 18 – для ВОПОГ), а</w:t>
      </w:r>
      <w:r w:rsidR="00474C0D">
        <w:t> </w:t>
      </w:r>
      <w:r>
        <w:t>также применительно к внутренним перевозкам по территории всех государств – членов ЕС.</w:t>
      </w:r>
    </w:p>
    <w:p w14:paraId="28B985C6" w14:textId="77777777" w:rsidR="00C212F4" w:rsidRPr="00533D7B" w:rsidRDefault="00C212F4" w:rsidP="00C212F4">
      <w:pPr>
        <w:pStyle w:val="SingleTxtG"/>
      </w:pPr>
      <w:r>
        <w:t>63.</w:t>
      </w:r>
      <w:r>
        <w:tab/>
        <w:t xml:space="preserve">Вышеупомянутые межправительственные органы приступили в 2019 году к работе по внесению поправок в ДОПОГ, МПОГ и ВОПОГ с учетом рекомендаций, принятых Комитетом экспертов ЭКОСОС в декабре 2018 года и включенных </w:t>
      </w:r>
      <w:r w:rsidR="00474C0D">
        <w:br/>
      </w:r>
      <w:r>
        <w:t>в 21-е пересмотренное издание Типовых правил.</w:t>
      </w:r>
    </w:p>
    <w:p w14:paraId="704DBD5E" w14:textId="77777777" w:rsidR="00C212F4" w:rsidRPr="00533D7B" w:rsidRDefault="00C212F4" w:rsidP="00C212F4">
      <w:pPr>
        <w:pStyle w:val="SingleTxtG"/>
      </w:pPr>
      <w:r>
        <w:t>64.</w:t>
      </w:r>
      <w:r>
        <w:tab/>
        <w:t xml:space="preserve">13 мая 2019 года Конференция сторон Европейского соглашения о международной дорожной перевозке опасных грузов 1957 года приняла консенсусом Протокол о внесении изменений в название Соглашения в соответствии со статьей 13 Соглашения. Поскольку до 30 ноября никаких возражений не было высказано, поправка считается принятой и вступит в силу для всех Сторон Соглашения 1 января 2021 года. </w:t>
      </w:r>
    </w:p>
    <w:p w14:paraId="7166A114" w14:textId="77777777" w:rsidR="00C212F4" w:rsidRPr="00533D7B" w:rsidRDefault="00C212F4" w:rsidP="00C212F4">
      <w:pPr>
        <w:pStyle w:val="SingleTxtG"/>
      </w:pPr>
      <w:r>
        <w:t>65.</w:t>
      </w:r>
      <w:r>
        <w:tab/>
        <w:t xml:space="preserve">Ожидается, что принятая Конференцией сторон поправка облегчит присоединение к соглашению государств, которые не являются членами Европейской </w:t>
      </w:r>
      <w:r>
        <w:lastRenderedPageBreak/>
        <w:t>экономической комиссии Организации Объединенных Наций и для которых слово «Европейское» может служить препятствием для присоединения.</w:t>
      </w:r>
    </w:p>
    <w:p w14:paraId="093E65B2" w14:textId="77777777" w:rsidR="00C212F4" w:rsidRPr="00533D7B" w:rsidRDefault="00C212F4" w:rsidP="00C212F4">
      <w:pPr>
        <w:pStyle w:val="SingleTxtG"/>
      </w:pPr>
      <w:r>
        <w:t>66.</w:t>
      </w:r>
      <w:r>
        <w:tab/>
        <w:t xml:space="preserve">В ходе сессии Совместного совещания экспертов МПОГ/ДОПОГ/ВОПОГ был согласован комплекс руководящих принципов для использования телематики в контексте положений пункта 5.4.0.2 этих соглашений применительно к транспортной документации. Эти руководящие принципы могут на добровольной основе применяться договаривающимися сторонами ДОПОГ/МПОГ/ВОПОГ.  </w:t>
      </w:r>
    </w:p>
    <w:p w14:paraId="39D000A8" w14:textId="77777777" w:rsidR="00C212F4" w:rsidRPr="00533D7B" w:rsidRDefault="00C212F4" w:rsidP="00C212F4">
      <w:pPr>
        <w:pStyle w:val="SingleTxtG"/>
      </w:pPr>
      <w:r>
        <w:t>67.</w:t>
      </w:r>
      <w:r>
        <w:tab/>
        <w:t>31 декабря 2019 года будет ознаменовано окончанием переходного периода для обязательной установки погрузочно-разгрузочного оборудования с целью повышения остойчивости всех танкеров, перевозящих опасные грузы. Это обязательное требование было введено в ВОПОГ в качестве реагирования на аварию судна «TMS</w:t>
      </w:r>
      <w:r w:rsidR="00474C0D">
        <w:t> </w:t>
      </w:r>
      <w:r>
        <w:t>Waldhof», которое 13 января 2011 года опрокинулось на Рейне и выпустило в реку около 900 тонн серной кислоты. К моменту завершения спасательных работ Рейн был частично и местами полностью закрыт для движения судов в течение 32 дней, причем 450 судов не могли продолжать движение вниз по течению еще более продолжительное время.</w:t>
      </w:r>
    </w:p>
    <w:p w14:paraId="7BB60033" w14:textId="77777777" w:rsidR="00C212F4" w:rsidRPr="00533D7B" w:rsidRDefault="00C212F4" w:rsidP="00C212F4">
      <w:pPr>
        <w:pStyle w:val="H1G"/>
      </w:pPr>
      <w:r>
        <w:tab/>
        <w:t>J.</w:t>
      </w:r>
      <w:r>
        <w:tab/>
      </w:r>
      <w:r>
        <w:rPr>
          <w:bCs/>
        </w:rPr>
        <w:t>Всемирный форум для согласования правил в области транспортных средств (WP.29)</w:t>
      </w:r>
    </w:p>
    <w:p w14:paraId="10329632" w14:textId="77777777" w:rsidR="00C212F4" w:rsidRPr="00533D7B" w:rsidRDefault="00C212F4" w:rsidP="00C212F4">
      <w:pPr>
        <w:pStyle w:val="SingleTxtG"/>
        <w:rPr>
          <w:rFonts w:asciiTheme="majorBidi" w:hAnsiTheme="majorBidi" w:cstheme="majorBidi"/>
        </w:rPr>
      </w:pPr>
      <w:r>
        <w:t>68.</w:t>
      </w:r>
      <w:r>
        <w:tab/>
        <w:t>В 2019 году вступили в силу шесть новых правил Организации Объединенных Наций в области транспортных средств, направленных на повышение безопасности и экологических характеристик транспортных средств:</w:t>
      </w:r>
    </w:p>
    <w:p w14:paraId="7FB8C4C4" w14:textId="77777777" w:rsidR="00C212F4" w:rsidRPr="00533D7B" w:rsidRDefault="00C212F4" w:rsidP="00C212F4">
      <w:pPr>
        <w:pStyle w:val="SingleTxtG"/>
        <w:ind w:firstLine="567"/>
        <w:rPr>
          <w:rFonts w:asciiTheme="majorBidi" w:hAnsiTheme="majorBidi" w:cstheme="majorBidi"/>
        </w:rPr>
      </w:pPr>
      <w:r>
        <w:t>a)</w:t>
      </w:r>
      <w:r>
        <w:tab/>
        <w:t>Правила № 146 ООН, касающиеся транспортных средств категории L (механических двух- и трехколесных транспортных средств), работающих на водороде и топливных элементах, вступили в силу 2 января 2019 года;</w:t>
      </w:r>
    </w:p>
    <w:p w14:paraId="6E6193C7" w14:textId="77777777" w:rsidR="00C212F4" w:rsidRPr="00533D7B" w:rsidRDefault="00C212F4" w:rsidP="00C212F4">
      <w:pPr>
        <w:pStyle w:val="SingleTxtG"/>
        <w:ind w:firstLine="567"/>
        <w:rPr>
          <w:rFonts w:asciiTheme="majorBidi" w:hAnsiTheme="majorBidi" w:cstheme="majorBidi"/>
        </w:rPr>
      </w:pPr>
      <w:r>
        <w:t>b)</w:t>
      </w:r>
      <w:r>
        <w:tab/>
        <w:t>Правила № 147 ООН, касающиеся механических деталей сцепных устройств составов сельскохозяйственных транспортных средств, вступили в силу 2 января 2019 года;</w:t>
      </w:r>
    </w:p>
    <w:p w14:paraId="306F2DCF" w14:textId="77777777" w:rsidR="00C212F4" w:rsidRPr="00533D7B" w:rsidRDefault="00C212F4" w:rsidP="00C212F4">
      <w:pPr>
        <w:pStyle w:val="SingleTxtG"/>
        <w:ind w:firstLine="567"/>
        <w:rPr>
          <w:rFonts w:asciiTheme="majorBidi" w:hAnsiTheme="majorBidi" w:cstheme="majorBidi"/>
        </w:rPr>
      </w:pPr>
      <w:r>
        <w:t>c)</w:t>
      </w:r>
      <w:r>
        <w:tab/>
        <w:t xml:space="preserve">пакет по упрощению правил, касающихся освещения, который состоит из трех новых правил ООН, охватывающих предписания 21 отдельного правила ООН, вступил в силу 15 ноября 2019 года: </w:t>
      </w:r>
    </w:p>
    <w:p w14:paraId="343D230F" w14:textId="77777777" w:rsidR="00C212F4" w:rsidRPr="00533D7B" w:rsidRDefault="00C212F4" w:rsidP="00C212F4">
      <w:pPr>
        <w:pStyle w:val="SingleTxtG"/>
        <w:ind w:firstLine="567"/>
      </w:pPr>
      <w:r>
        <w:t>i)</w:t>
      </w:r>
      <w:r>
        <w:tab/>
        <w:t>Правила № 148 ООН, касающиеся устройств световой сигнализации;</w:t>
      </w:r>
    </w:p>
    <w:p w14:paraId="2876CD85" w14:textId="77777777" w:rsidR="00C212F4" w:rsidRPr="00533D7B" w:rsidRDefault="00C212F4" w:rsidP="00C212F4">
      <w:pPr>
        <w:pStyle w:val="SingleTxtG"/>
        <w:ind w:firstLine="567"/>
      </w:pPr>
      <w:r>
        <w:t>ii)</w:t>
      </w:r>
      <w:r>
        <w:tab/>
        <w:t>Правила № 149 ООН, касающиеся устройств освещения дороги;</w:t>
      </w:r>
    </w:p>
    <w:p w14:paraId="70B71D56" w14:textId="77777777" w:rsidR="00C212F4" w:rsidRPr="00533D7B" w:rsidRDefault="00C212F4" w:rsidP="00C212F4">
      <w:pPr>
        <w:pStyle w:val="SingleTxtG"/>
        <w:ind w:firstLine="567"/>
      </w:pPr>
      <w:r>
        <w:t>iii)</w:t>
      </w:r>
      <w:r>
        <w:tab/>
        <w:t>Правила № 150 ООН, касающиеся светоотражающих устройств;</w:t>
      </w:r>
    </w:p>
    <w:p w14:paraId="3BED6B05" w14:textId="77777777" w:rsidR="00C212F4" w:rsidRPr="00533D7B" w:rsidRDefault="00C212F4" w:rsidP="00C212F4">
      <w:pPr>
        <w:pStyle w:val="SingleTxtG"/>
        <w:ind w:firstLine="567"/>
        <w:rPr>
          <w:rFonts w:asciiTheme="majorBidi" w:hAnsiTheme="majorBidi" w:cstheme="majorBidi"/>
        </w:rPr>
      </w:pPr>
      <w:r>
        <w:t>d)</w:t>
      </w:r>
      <w:r>
        <w:tab/>
        <w:t>Правила № 151 ООН, касающиеся систем индикации мертвой зоны для обнаружения велосипедистов большегрузными транспортными средствами, вступили в силу 15 ноября 2019 года.</w:t>
      </w:r>
    </w:p>
    <w:p w14:paraId="1E2F858C" w14:textId="77777777" w:rsidR="00C212F4" w:rsidRPr="00D10296" w:rsidRDefault="00C212F4" w:rsidP="00474C0D">
      <w:pPr>
        <w:pStyle w:val="SingleTxtG"/>
      </w:pPr>
      <w:r>
        <w:t>69.</w:t>
      </w:r>
      <w:r>
        <w:tab/>
        <w:t>Правила № 152 ООН, касающиеся систем автоматического экстренного торможения для транспортных средств категорий М</w:t>
      </w:r>
      <w:r w:rsidRPr="00713400">
        <w:rPr>
          <w:vertAlign w:val="subscript"/>
        </w:rPr>
        <w:t>1</w:t>
      </w:r>
      <w:r>
        <w:t xml:space="preserve"> (легковые автомобили) и N</w:t>
      </w:r>
      <w:r w:rsidRPr="00713400">
        <w:rPr>
          <w:vertAlign w:val="subscript"/>
        </w:rPr>
        <w:t>1</w:t>
      </w:r>
      <w:r w:rsidRPr="00D10296">
        <w:t xml:space="preserve"> </w:t>
      </w:r>
      <w:r>
        <w:t>(фургоны), были приняты на сессии WP.29 в июне 2019 года и, как ожидается, вступят в силу 23 января 2020 года.</w:t>
      </w:r>
    </w:p>
    <w:p w14:paraId="20230076" w14:textId="77777777" w:rsidR="00C212F4" w:rsidRPr="00533D7B" w:rsidRDefault="00C212F4" w:rsidP="00C212F4">
      <w:pPr>
        <w:pStyle w:val="SingleTxtG"/>
        <w:rPr>
          <w:rFonts w:asciiTheme="majorBidi" w:eastAsiaTheme="minorHAnsi" w:hAnsiTheme="majorBidi" w:cstheme="majorBidi"/>
        </w:rPr>
      </w:pPr>
      <w:r>
        <w:t>70.</w:t>
      </w:r>
      <w:r>
        <w:tab/>
        <w:t>WP.29 обновил действующие правила ООН путем внесения в них 139 поправок, которые позволили привести эти правила в соответствие с самыми последними техническими достижениями и включить в них более строгие ограничения, нацеленные как на повышение безопасности транспортных средств, так и на улучшение их экологических характеристик.</w:t>
      </w:r>
    </w:p>
    <w:p w14:paraId="79D575F9" w14:textId="77777777" w:rsidR="00C212F4" w:rsidRPr="00533D7B" w:rsidRDefault="00C212F4" w:rsidP="00C212F4">
      <w:pPr>
        <w:pStyle w:val="SingleTxtG"/>
        <w:rPr>
          <w:rFonts w:asciiTheme="majorBidi" w:hAnsiTheme="majorBidi" w:cstheme="majorBidi"/>
        </w:rPr>
      </w:pPr>
      <w:r>
        <w:t>71.</w:t>
      </w:r>
      <w:r>
        <w:tab/>
        <w:t>13 ноября 2019 года вступили в силу предложенные поправки к Соглашению 1997 года, касающи</w:t>
      </w:r>
      <w:r w:rsidR="00713400">
        <w:t>е</w:t>
      </w:r>
      <w:r>
        <w:t xml:space="preserve">ся включения ряда определений, возможности введения электронных международных сертификатов технического осмотра и положений о соответствии периодических технических осмотров. Эти поправки уточняют соответствующие положения путем добавления дополнительных определений, </w:t>
      </w:r>
      <w:r>
        <w:lastRenderedPageBreak/>
        <w:t>а</w:t>
      </w:r>
      <w:r w:rsidR="00036317">
        <w:t> </w:t>
      </w:r>
      <w:r>
        <w:t>также предусматривают более высокий уровень качества исходя из требований нового добавления 3, касающегося соответствия процесса периодического технического осмотра.</w:t>
      </w:r>
    </w:p>
    <w:p w14:paraId="0D1BB9C3" w14:textId="77777777" w:rsidR="00C212F4" w:rsidRPr="00533D7B" w:rsidRDefault="00C212F4" w:rsidP="00C212F4">
      <w:pPr>
        <w:pStyle w:val="SingleTxtG"/>
        <w:rPr>
          <w:rFonts w:asciiTheme="majorBidi" w:hAnsiTheme="majorBidi" w:cstheme="majorBidi"/>
        </w:rPr>
      </w:pPr>
      <w:r>
        <w:t>72.</w:t>
      </w:r>
      <w:r>
        <w:tab/>
        <w:t>10 июня 2019 года вступили в силу два новых предписания ООН, прилагаемых к Соглашению 1997:</w:t>
      </w:r>
    </w:p>
    <w:p w14:paraId="7BB21B51" w14:textId="77777777" w:rsidR="00C212F4" w:rsidRPr="00474C0D" w:rsidRDefault="00474C0D" w:rsidP="00474C0D">
      <w:pPr>
        <w:pStyle w:val="SingleTxtG"/>
      </w:pPr>
      <w:r>
        <w:tab/>
      </w:r>
      <w:r>
        <w:tab/>
      </w:r>
      <w:r w:rsidR="00C212F4">
        <w:t>a)</w:t>
      </w:r>
      <w:r w:rsidR="00C212F4">
        <w:tab/>
        <w:t xml:space="preserve">Предписание № 3 </w:t>
      </w:r>
      <w:r w:rsidR="00C212F4" w:rsidRPr="00474C0D">
        <w:t>ООН устанавливает единообразные положения, касающиеся периодических технических осмотров механических транспортных средств, двигатели которых работают на компримированном природном газе (КПГ), сжиженном нефтяном газе (СНГ) и/или сжиженном природном газе (СПГ) в их двигательной установке в отношении их пригодности к эксплуатации;</w:t>
      </w:r>
    </w:p>
    <w:p w14:paraId="7ACEFC71" w14:textId="77777777" w:rsidR="00C212F4" w:rsidRPr="00533D7B" w:rsidRDefault="00474C0D" w:rsidP="00474C0D">
      <w:pPr>
        <w:pStyle w:val="SingleTxtG"/>
        <w:rPr>
          <w:rFonts w:asciiTheme="majorBidi" w:eastAsiaTheme="minorHAnsi" w:hAnsiTheme="majorBidi" w:cstheme="majorBidi"/>
          <w:bCs/>
        </w:rPr>
      </w:pPr>
      <w:r>
        <w:tab/>
      </w:r>
      <w:r>
        <w:tab/>
      </w:r>
      <w:r w:rsidR="00C212F4" w:rsidRPr="00474C0D">
        <w:t>b)</w:t>
      </w:r>
      <w:r w:rsidR="00C212F4" w:rsidRPr="00474C0D">
        <w:tab/>
        <w:t>Предписание № 4 ООН устанавливает единообразные положения, касающиеся периодических технических осмотров транспортных средств с электрическим и гибридно-электр</w:t>
      </w:r>
      <w:r w:rsidR="00C212F4">
        <w:t>ическим двигателем в отношении их пригодности к эксплуатации.</w:t>
      </w:r>
    </w:p>
    <w:p w14:paraId="71B76B5E" w14:textId="77777777" w:rsidR="00C212F4" w:rsidRPr="00533D7B" w:rsidRDefault="00C212F4" w:rsidP="00C212F4">
      <w:pPr>
        <w:pStyle w:val="SingleTxtG"/>
        <w:rPr>
          <w:rFonts w:asciiTheme="majorBidi" w:hAnsiTheme="majorBidi" w:cstheme="majorBidi"/>
        </w:rPr>
      </w:pPr>
      <w:r>
        <w:t>73.</w:t>
      </w:r>
      <w:r>
        <w:tab/>
        <w:t xml:space="preserve">С тем чтобы уделить надлежащее внимание важному вопросу об автоматизации транспортных средств, в ходе реструктуризации WP.29 была создана Рабочая группа по автоматизированным/автономным и подключенным транспортным средствам (GRVA). В рамочном документе этой группы (ECE/TRANS/WP.29/2019/34/Rev.1) рассматриваются вопросы безопасности и надежности автоматизированных транспортных средств третьего и более высоких уровней по классификации Общества инженеров автомобильной промышленности и транспорта (САЕ), для чего составлен перечень неотъемлемых элементов, таких как безопасность системы, отказоустойчивое реагирование, обнаружение и реагирование на объекты и ситуации, домен штатной эксплуатации, кибербезопасность, обновление программного обеспечения и системы хранения данных. Он закладывает основу для разработки положений, которые основываются на показателях эффективности и являются нейтральными с технической точки зрения, а также учитывают передовые технологии, но не ограничивают будущие инновации. В нем также определены приоритеты и план работы. Такие технические положения должны разрабатываться без привязки к конкретным соглашениям и, таким образом, служить основой для правил – или даже руководящих принципов – в рамках трех соглашений, обслуживаемых WP.29. </w:t>
      </w:r>
    </w:p>
    <w:p w14:paraId="249ED9C7" w14:textId="77777777" w:rsidR="00C212F4" w:rsidRPr="00533D7B" w:rsidRDefault="00C212F4" w:rsidP="00C212F4">
      <w:pPr>
        <w:pStyle w:val="SingleTxtG"/>
        <w:jc w:val="lowKashida"/>
        <w:rPr>
          <w:rFonts w:asciiTheme="majorBidi" w:hAnsiTheme="majorBidi" w:cstheme="majorBidi"/>
        </w:rPr>
      </w:pPr>
      <w:r>
        <w:t>74.</w:t>
      </w:r>
      <w:r>
        <w:tab/>
        <w:t>Для целей осуществления этого рамочного документа GRVA учредила четыре новые неофициальные рабочие группы, которые подотчетны GRVA, но не обслуживаются секретариатом:</w:t>
      </w:r>
    </w:p>
    <w:p w14:paraId="7D157F08" w14:textId="77777777" w:rsidR="00C212F4" w:rsidRPr="00474C0D" w:rsidRDefault="00474C0D" w:rsidP="00474C0D">
      <w:pPr>
        <w:pStyle w:val="SingleTxtG"/>
      </w:pPr>
      <w:r>
        <w:tab/>
      </w:r>
      <w:r>
        <w:tab/>
      </w:r>
      <w:r w:rsidR="00C212F4" w:rsidRPr="00474C0D">
        <w:t>a)</w:t>
      </w:r>
      <w:r w:rsidR="00C212F4" w:rsidRPr="00474C0D">
        <w:tab/>
        <w:t>по функциональным требованиям для автоматизированных транспортных средств;</w:t>
      </w:r>
    </w:p>
    <w:p w14:paraId="3CB74AA5" w14:textId="77777777" w:rsidR="00C212F4" w:rsidRPr="00474C0D" w:rsidRDefault="00474C0D" w:rsidP="00474C0D">
      <w:pPr>
        <w:pStyle w:val="SingleTxtG"/>
      </w:pPr>
      <w:r>
        <w:tab/>
      </w:r>
      <w:r>
        <w:tab/>
      </w:r>
      <w:r w:rsidR="00C212F4" w:rsidRPr="00474C0D">
        <w:t>b)</w:t>
      </w:r>
      <w:r w:rsidR="00C212F4" w:rsidRPr="00474C0D">
        <w:tab/>
        <w:t>по методам валидации для технологий автоматизированного вождения;</w:t>
      </w:r>
    </w:p>
    <w:p w14:paraId="5EB775C7" w14:textId="77777777" w:rsidR="00C212F4" w:rsidRPr="00474C0D" w:rsidRDefault="00474C0D" w:rsidP="00474C0D">
      <w:pPr>
        <w:pStyle w:val="SingleTxtG"/>
      </w:pPr>
      <w:r>
        <w:tab/>
      </w:r>
      <w:r>
        <w:tab/>
      </w:r>
      <w:r w:rsidR="00C212F4" w:rsidRPr="00474C0D">
        <w:t>c)</w:t>
      </w:r>
      <w:r w:rsidR="00C212F4" w:rsidRPr="00474C0D">
        <w:tab/>
        <w:t>по системам хранения данных для автоматизированного вождения;</w:t>
      </w:r>
    </w:p>
    <w:p w14:paraId="3F2E4B54" w14:textId="77777777" w:rsidR="00C212F4" w:rsidRPr="00474C0D" w:rsidRDefault="00474C0D" w:rsidP="00474C0D">
      <w:pPr>
        <w:pStyle w:val="SingleTxtG"/>
      </w:pPr>
      <w:r>
        <w:tab/>
      </w:r>
      <w:r>
        <w:tab/>
      </w:r>
      <w:r w:rsidR="00C212F4" w:rsidRPr="00474C0D">
        <w:t>d)</w:t>
      </w:r>
      <w:r w:rsidR="00C212F4" w:rsidRPr="00474C0D">
        <w:tab/>
        <w:t>по кибербезопасности и обновлению программного обеспечения, в том числе по беспроводной связи.</w:t>
      </w:r>
    </w:p>
    <w:p w14:paraId="6E0CAEE7" w14:textId="77777777" w:rsidR="00C212F4" w:rsidRPr="00533D7B" w:rsidRDefault="00C212F4" w:rsidP="00C212F4">
      <w:pPr>
        <w:pStyle w:val="H1G"/>
      </w:pPr>
      <w:r>
        <w:tab/>
        <w:t>K.</w:t>
      </w:r>
      <w:r>
        <w:tab/>
      </w:r>
      <w:r>
        <w:rPr>
          <w:bCs/>
        </w:rPr>
        <w:t>Рабочая группа по таможенным вопросам, связанным с</w:t>
      </w:r>
      <w:r w:rsidR="00036317">
        <w:rPr>
          <w:bCs/>
        </w:rPr>
        <w:t> </w:t>
      </w:r>
      <w:r>
        <w:rPr>
          <w:bCs/>
        </w:rPr>
        <w:t>транспортом (WP.30)</w:t>
      </w:r>
      <w:r>
        <w:t xml:space="preserve"> </w:t>
      </w:r>
    </w:p>
    <w:p w14:paraId="779EC881" w14:textId="77777777" w:rsidR="00C212F4" w:rsidRPr="00533D7B" w:rsidRDefault="00C212F4" w:rsidP="00474C0D">
      <w:pPr>
        <w:pStyle w:val="SingleTxtG"/>
      </w:pPr>
      <w:r>
        <w:t>75.</w:t>
      </w:r>
      <w:r>
        <w:tab/>
        <w:t>После обсуждений, длившихся несколько лет, WP.30 приняла текст новой Конвенции об облегчении условий пересечения государственных границ при международной железнодорожной перевозке пассажиров, багажа и товаробагажа. Основной целью Конвенции является привлечение стран Азии и Европы к реализации новых железнодорожных проектов вдоль основных транспортных коридоров Евразийского региона. Новая Конвенция была принята Комитетом по внутреннему транспорту на его сессии в феврале 2019 года. За прошедшее с тех пор время Конвенцию подписал</w:t>
      </w:r>
      <w:r w:rsidR="00713400">
        <w:t>о</w:t>
      </w:r>
      <w:r>
        <w:t xml:space="preserve"> первое государство – Чад.</w:t>
      </w:r>
    </w:p>
    <w:p w14:paraId="217EEEFB" w14:textId="77777777" w:rsidR="00C212F4" w:rsidRPr="00533D7B" w:rsidRDefault="00C212F4" w:rsidP="00474C0D">
      <w:pPr>
        <w:pStyle w:val="SingleTxtG"/>
      </w:pPr>
      <w:r>
        <w:lastRenderedPageBreak/>
        <w:t>76.</w:t>
      </w:r>
      <w:r>
        <w:tab/>
        <w:t xml:space="preserve">По просьбе Председателя Комитета и директора Отдела устойчивого транспорта WP.30 провела – в целях согласования своей работы со Стратегией Комитета по внутреннему транспорту на период до 2030 года – обследование по вопросу о роли и задачах таможенных органов в области обеспечения безопасности дорожного движения. </w:t>
      </w:r>
    </w:p>
    <w:p w14:paraId="1DA2DF3D" w14:textId="77777777" w:rsidR="00C212F4" w:rsidRPr="00533D7B" w:rsidRDefault="00C212F4" w:rsidP="00C212F4">
      <w:pPr>
        <w:spacing w:after="120"/>
        <w:ind w:left="1134" w:right="1134"/>
        <w:jc w:val="both"/>
      </w:pPr>
      <w:r>
        <w:t>77.</w:t>
      </w:r>
      <w:r>
        <w:tab/>
        <w:t>WP.30 завершила рассмотрение обширного пакета предложений по изменению различных положений Конвенции и нового приложения 11 к Конвенции МДП 1975</w:t>
      </w:r>
      <w:r w:rsidR="00474C0D">
        <w:t> </w:t>
      </w:r>
      <w:r>
        <w:t>года в целях включения в нее механизма eTIR и передала этот пакет Административному комитету МДП (AC.2) для окончательного рассмотрения. На</w:t>
      </w:r>
      <w:r w:rsidR="00474C0D">
        <w:t> </w:t>
      </w:r>
      <w:r>
        <w:t xml:space="preserve">своей сессии в октябре 2019 года АС.2 согласовал окончательные тексты предложений, которые были представлены на его сессии в феврале 2020 года для официального принятия. </w:t>
      </w:r>
    </w:p>
    <w:p w14:paraId="0C5AE8A7" w14:textId="77777777" w:rsidR="00C212F4" w:rsidRPr="00533D7B" w:rsidRDefault="00C212F4" w:rsidP="00474C0D">
      <w:pPr>
        <w:pStyle w:val="SingleTxtG"/>
      </w:pPr>
      <w:r>
        <w:t>78.</w:t>
      </w:r>
      <w:r>
        <w:tab/>
        <w:t>В 2019 году было реализовано несколько пилотных проектов eTIR:</w:t>
      </w:r>
    </w:p>
    <w:p w14:paraId="169BF8B5" w14:textId="77777777" w:rsidR="00C212F4" w:rsidRPr="00474C0D" w:rsidRDefault="00474C0D" w:rsidP="00474C0D">
      <w:pPr>
        <w:pStyle w:val="SingleTxtG"/>
      </w:pPr>
      <w:r>
        <w:tab/>
      </w:r>
      <w:r>
        <w:tab/>
      </w:r>
      <w:r w:rsidR="00C212F4" w:rsidRPr="00474C0D">
        <w:t>a)</w:t>
      </w:r>
      <w:r w:rsidR="00C212F4" w:rsidRPr="00474C0D">
        <w:tab/>
        <w:t xml:space="preserve">между Ираном (Исламской Республикой) и Турцией, причем стороны обсудили вопрос о его расширении для охвата всех таможенных органов и всех держателей книжек МДП из обеих стран; </w:t>
      </w:r>
    </w:p>
    <w:p w14:paraId="78A0E768" w14:textId="77777777" w:rsidR="00C212F4" w:rsidRPr="00474C0D" w:rsidRDefault="00474C0D" w:rsidP="00474C0D">
      <w:pPr>
        <w:pStyle w:val="SingleTxtG"/>
      </w:pPr>
      <w:r>
        <w:tab/>
      </w:r>
      <w:r>
        <w:tab/>
      </w:r>
      <w:r w:rsidR="00C212F4" w:rsidRPr="00474C0D">
        <w:t>b)</w:t>
      </w:r>
      <w:r w:rsidR="00C212F4" w:rsidRPr="00474C0D">
        <w:tab/>
        <w:t>между Грузией и Турцией;</w:t>
      </w:r>
    </w:p>
    <w:p w14:paraId="4FDA6EB3" w14:textId="77777777" w:rsidR="00C212F4" w:rsidRPr="00474C0D" w:rsidRDefault="00474C0D" w:rsidP="00474C0D">
      <w:pPr>
        <w:pStyle w:val="SingleTxtG"/>
      </w:pPr>
      <w:r>
        <w:tab/>
      </w:r>
      <w:r>
        <w:tab/>
      </w:r>
      <w:r w:rsidR="00C212F4" w:rsidRPr="00474C0D">
        <w:t>c)</w:t>
      </w:r>
      <w:r w:rsidR="00C212F4" w:rsidRPr="00474C0D">
        <w:tab/>
        <w:t>между Азербайджаном и Ираном (Исламской Республикой).</w:t>
      </w:r>
    </w:p>
    <w:p w14:paraId="09D5B4DA" w14:textId="77777777" w:rsidR="00C212F4" w:rsidRPr="00533D7B" w:rsidRDefault="00C212F4" w:rsidP="00C212F4">
      <w:pPr>
        <w:spacing w:after="120"/>
        <w:ind w:left="1134" w:right="1134"/>
        <w:jc w:val="both"/>
      </w:pPr>
      <w:r>
        <w:t>79.</w:t>
      </w:r>
      <w:r>
        <w:tab/>
        <w:t xml:space="preserve">Секретариат МДП пополнился тремя экспертами по информационным технологиям; указанные эксперты приступили к работе по внедрению международной системы eTIR. В качестве приоритетов для этой системы были определены надежность, безопасность и простота подключения для договаривающихся сторон Конвенции МДП. </w:t>
      </w:r>
    </w:p>
    <w:p w14:paraId="6687D148" w14:textId="77777777" w:rsidR="00C212F4" w:rsidRPr="00533D7B" w:rsidRDefault="00C212F4" w:rsidP="00C212F4">
      <w:pPr>
        <w:pStyle w:val="H1G"/>
      </w:pPr>
      <w:r>
        <w:tab/>
        <w:t>L.</w:t>
      </w:r>
      <w:r>
        <w:tab/>
      </w:r>
      <w:r>
        <w:rPr>
          <w:bCs/>
        </w:rPr>
        <w:t>Техническая помощь и мероприятия по укреплению потенциала</w:t>
      </w:r>
    </w:p>
    <w:p w14:paraId="037498F1" w14:textId="77777777" w:rsidR="00C212F4" w:rsidRPr="00533D7B" w:rsidRDefault="00C212F4" w:rsidP="00C212F4">
      <w:pPr>
        <w:pStyle w:val="H23G"/>
      </w:pPr>
      <w:r>
        <w:tab/>
        <w:t>1.</w:t>
      </w:r>
      <w:r>
        <w:tab/>
      </w:r>
      <w:r>
        <w:rPr>
          <w:bCs/>
        </w:rPr>
        <w:t>План действий по развитию потенциала</w:t>
      </w:r>
    </w:p>
    <w:p w14:paraId="2B1C0A9A" w14:textId="77777777" w:rsidR="00C212F4" w:rsidRPr="00533D7B" w:rsidRDefault="00C212F4" w:rsidP="00474C0D">
      <w:pPr>
        <w:pStyle w:val="SingleTxtG"/>
      </w:pPr>
      <w:r>
        <w:t>80.</w:t>
      </w:r>
      <w:r>
        <w:tab/>
        <w:t xml:space="preserve">2019 год ознаменован несколькими важными вехами в том, что касается деятельности Отдела устойчивого транспорта, направленной на оказание технической помощи (наращивание потенциала и консультативные услуги). В соответствии со Стратегией КВТ на период до 2030 года секретариат подготовил План действий по развитию потенциала КВТ, который подлежит представлению КВТ для утверждения в феврале 2020 года. В этом плане действий определены четыре стратегические области: i) повышение информированности; ii) укрепление потенциала; iii) создание синергизма; iv) мониторинг и оценка результатов, – а также мероприятия, которые будут осуществляться секретариатом в предстоящие годы. К последующей деятельности по итогам Обзора безопасности дорожного движения в Грузии в этом году впервые были привлечены внешние эксперты, которые участвовали в подготовке национального технического регламента для эффективного осуществления Соглашения 1958 года. В дополнение к диалогу по вопросам политики и рабочему совещанию по развитию потенциала мероприятия по оказанию технической помощи охватили все аспекты эффективного осуществления правовых документов Организации Объединенных Наций по вопросам безопасности дорожного движения (всеохватный подход). В ходе экономического форума СПЕКА 2019 года были наглядно продемонстрировали важность региональной транспортной связности и роль сотрудничества в рамках СПЕКА. Все семь стран СПЕКА решительно выступили за улучшение сотрудничества ради создания эффективной региональной транспортной системы. Наконец, продолжилось сотрудничество по вопросам связности региональных железнодорожных линий в Юго-Восточной Европе и Дунайском регионе с уделением основного внимания железнодорожным грузовым перевозкам.  </w:t>
      </w:r>
    </w:p>
    <w:p w14:paraId="6DCF807F" w14:textId="77777777" w:rsidR="00C212F4" w:rsidRPr="00533D7B" w:rsidRDefault="00C212F4" w:rsidP="00C212F4">
      <w:pPr>
        <w:pStyle w:val="H23G"/>
      </w:pPr>
      <w:r>
        <w:tab/>
        <w:t>2.</w:t>
      </w:r>
      <w:r>
        <w:tab/>
      </w:r>
      <w:r>
        <w:rPr>
          <w:bCs/>
        </w:rPr>
        <w:t>Проект Трансъевропейской автомагистрали Север–Юг (ТЕА)</w:t>
      </w:r>
    </w:p>
    <w:p w14:paraId="4C817E13" w14:textId="77777777" w:rsidR="00C212F4" w:rsidRPr="00533D7B" w:rsidRDefault="00C212F4" w:rsidP="00C212F4">
      <w:pPr>
        <w:spacing w:after="120"/>
        <w:ind w:left="1134" w:right="1134"/>
        <w:jc w:val="both"/>
      </w:pPr>
      <w:r>
        <w:t>81.</w:t>
      </w:r>
      <w:r>
        <w:tab/>
        <w:t xml:space="preserve">Семьдесят вторая сессия Руководящего комитета ТЕА состоялась в Анталье </w:t>
      </w:r>
      <w:r w:rsidR="00474C0D">
        <w:br/>
      </w:r>
      <w:r>
        <w:t>1–2 мая, а семьдесят третья сессия –</w:t>
      </w:r>
      <w:r w:rsidR="00713400">
        <w:t> </w:t>
      </w:r>
      <w:r>
        <w:t xml:space="preserve">в Варшаве 3–4 декабря 2019 года. </w:t>
      </w:r>
      <w:r>
        <w:lastRenderedPageBreak/>
        <w:t>Все</w:t>
      </w:r>
      <w:r w:rsidR="00474C0D">
        <w:t> </w:t>
      </w:r>
      <w:r>
        <w:t>мероприятия, предусмотренные Стратегическим планом ТЕА на 2017–2021 годы, были выполнены.</w:t>
      </w:r>
    </w:p>
    <w:p w14:paraId="1ECE7526" w14:textId="77777777" w:rsidR="00C212F4" w:rsidRPr="00533D7B" w:rsidRDefault="00C212F4" w:rsidP="00C212F4">
      <w:pPr>
        <w:spacing w:after="120"/>
        <w:ind w:left="1134" w:right="1134"/>
        <w:jc w:val="both"/>
      </w:pPr>
      <w:r>
        <w:t>82.</w:t>
      </w:r>
      <w:r>
        <w:tab/>
        <w:t>Были подготовлены два тематических доклада («Моделирование информации о строительстве дорожной инфраструктуры: требования и рекомендации ТЕА»</w:t>
      </w:r>
      <w:r w:rsidR="00474C0D">
        <w:t xml:space="preserve"> </w:t>
      </w:r>
      <w:r>
        <w:t>и</w:t>
      </w:r>
      <w:r w:rsidR="00474C0D">
        <w:t> </w:t>
      </w:r>
      <w:r>
        <w:t>«Установка пунктов взимания платы за проезд в сети ТЕА: соображения и рекомендации»).</w:t>
      </w:r>
    </w:p>
    <w:p w14:paraId="7170E8E6" w14:textId="77777777" w:rsidR="00C212F4" w:rsidRPr="00533D7B" w:rsidRDefault="00C212F4" w:rsidP="00C212F4">
      <w:pPr>
        <w:spacing w:after="120"/>
        <w:ind w:left="1134" w:right="1134"/>
        <w:jc w:val="both"/>
      </w:pPr>
      <w:r>
        <w:t>83.</w:t>
      </w:r>
      <w:r>
        <w:tab/>
        <w:t xml:space="preserve">Состоялось рабочее совещание по оценке эффективности системы взимания автодорожных сборов (Анталья, апрель 2019 года), а также рабочее совещания по вопросам управления активами (Варшава, декабрь 2019 года). </w:t>
      </w:r>
    </w:p>
    <w:p w14:paraId="13A3C54E" w14:textId="77777777" w:rsidR="00C212F4" w:rsidRPr="00533D7B" w:rsidRDefault="00C212F4" w:rsidP="00C212F4">
      <w:pPr>
        <w:spacing w:after="120"/>
        <w:ind w:left="1134" w:right="1134"/>
        <w:jc w:val="both"/>
      </w:pPr>
      <w:r>
        <w:t>84.</w:t>
      </w:r>
      <w:r>
        <w:tab/>
        <w:t>Двадцать шестое ежегодное совещание ПООДС ТЕА – область V 2019 года состоялось в Варшаве и Кракове (Польша) (10–13 июня). Совещание было посвящено способам и практическим методам моделирования информации о строительстве как важнейшей предпосылке для разработки будущих проектов для стран ТЕА. Представители государств – членов ТЕА и министерств транспорта четырех штатов Соединенных Штатов Америки поделились своим опытом и передовой практикой в области моделирования информации о строительстве.</w:t>
      </w:r>
    </w:p>
    <w:p w14:paraId="0CD4FDA8" w14:textId="77777777" w:rsidR="00C212F4" w:rsidRPr="00533D7B" w:rsidRDefault="00C212F4" w:rsidP="00C212F4">
      <w:pPr>
        <w:spacing w:after="120"/>
        <w:ind w:left="1134" w:right="1134"/>
        <w:jc w:val="both"/>
      </w:pPr>
      <w:r>
        <w:t>85.</w:t>
      </w:r>
      <w:r>
        <w:tab/>
        <w:t>Правительства стран –</w:t>
      </w:r>
      <w:r w:rsidR="00713400">
        <w:t> </w:t>
      </w:r>
      <w:r>
        <w:t>участниц ТЕА (Хорватии и Польши) назначили руководителей для проектов ТЕА на 2020–2021 годы, что позволит в полном масштабе реализовать мероприятия, предусмотренные в Стратегическом плане.</w:t>
      </w:r>
    </w:p>
    <w:p w14:paraId="6213D1F9" w14:textId="77777777" w:rsidR="00C212F4" w:rsidRPr="00533D7B" w:rsidRDefault="00C212F4" w:rsidP="00C212F4">
      <w:pPr>
        <w:pStyle w:val="H23G"/>
      </w:pPr>
      <w:r>
        <w:tab/>
        <w:t>3.</w:t>
      </w:r>
      <w:r>
        <w:tab/>
      </w:r>
      <w:r>
        <w:rPr>
          <w:bCs/>
        </w:rPr>
        <w:t>Проект Трансъевропейской железнодорожной магистрали (ТЕЖ)</w:t>
      </w:r>
      <w:r>
        <w:t xml:space="preserve"> </w:t>
      </w:r>
    </w:p>
    <w:p w14:paraId="2D6B2349" w14:textId="77777777" w:rsidR="00C212F4" w:rsidRPr="00533D7B" w:rsidRDefault="00C212F4" w:rsidP="00474C0D">
      <w:pPr>
        <w:pStyle w:val="SingleTxtG"/>
      </w:pPr>
      <w:r>
        <w:t>86.</w:t>
      </w:r>
      <w:r>
        <w:tab/>
        <w:t>Проект доклада по этапу II Генерального плана высокоскоростной железнодорожной магистрали ТЕЖ был представлен Руководящему комитету ТЕЖ для получения замечаний и предложений. Окончательный доклад, по всей вероятности, будет готов в первом квартале 2020 года.</w:t>
      </w:r>
    </w:p>
    <w:p w14:paraId="02357B98" w14:textId="77777777" w:rsidR="00C212F4" w:rsidRPr="00533D7B" w:rsidRDefault="00C212F4" w:rsidP="00C212F4">
      <w:pPr>
        <w:pStyle w:val="H23G"/>
      </w:pPr>
      <w:r>
        <w:tab/>
        <w:t>4.</w:t>
      </w:r>
      <w:r>
        <w:tab/>
      </w:r>
      <w:r>
        <w:rPr>
          <w:bCs/>
        </w:rPr>
        <w:t xml:space="preserve">Тематическая рабочая группа Специальной программы Организации Объединенных Наций для экономик Центральной Азии (СПЕКА) </w:t>
      </w:r>
      <w:r w:rsidR="00474C0D">
        <w:rPr>
          <w:bCs/>
        </w:rPr>
        <w:br/>
      </w:r>
      <w:r>
        <w:rPr>
          <w:bCs/>
        </w:rPr>
        <w:t>по устойчивому транспорту, транзиту и связности</w:t>
      </w:r>
    </w:p>
    <w:p w14:paraId="58D3220D" w14:textId="77777777" w:rsidR="00C212F4" w:rsidRPr="00533D7B" w:rsidRDefault="00C212F4" w:rsidP="00C212F4">
      <w:pPr>
        <w:spacing w:after="120"/>
        <w:ind w:left="1134" w:right="1134"/>
        <w:jc w:val="both"/>
      </w:pPr>
      <w:r>
        <w:t>87.</w:t>
      </w:r>
      <w:r>
        <w:tab/>
        <w:t xml:space="preserve">По прошествии нескольких лет транспортная связность стала одной из ключевых тем Экономического форума в рамках Специальной программы Организации Объединенных Наций для стран Центральной Азии (СПЕКА), состоявшегося в Ашхабаде 18–19 ноября 2019 года. Национальные делегаты и представители международных организаций и многосторонних банков развития обсудили вопрос о содействии развитию устойчивого транспорта путем снижения физических и нефизических барьеров для транспорта и через повышение региональной связности. В ходе форума была выдвинута Ашхабадская инициатива по снижению барьеров в торговле и на транспорте с использованием международно-правовых документов, норм, стандартов и рекомендаций по передовой практике ООН в целях укрепления регионального рынка и трансграничных производственно-сбытовых цепочек и повышения связности между странами СПЕКА и Европой и Азией с упором на практическую задачу по привлечению новых инвестиций, технологий и инноваций в регион СПЕКА. Эти совместные меры будут способствовать устойчивому и инклюзивному росту в регионе и, в конечном итоге, поддержат усилия стран СПЕКА по осуществлению Повестки дня в области устойчивого развития на период до 2030 года. Особое внимание будет уделяться снижению нетарифных барьеров в торговле, устранению физических и нефизических барьеров на транспорте и содействию устойчивому развитию транспорта и торговли. </w:t>
      </w:r>
    </w:p>
    <w:p w14:paraId="36CE3088" w14:textId="77777777" w:rsidR="00C212F4" w:rsidRPr="00533D7B" w:rsidRDefault="00C212F4" w:rsidP="00C212F4">
      <w:pPr>
        <w:spacing w:after="120"/>
        <w:ind w:left="1134" w:right="1134"/>
        <w:jc w:val="both"/>
      </w:pPr>
      <w:r>
        <w:t>88.</w:t>
      </w:r>
      <w:r>
        <w:tab/>
        <w:t xml:space="preserve">В 2019 году на сессии ТРГ-УТТС основное внимание было уделено увязке стратегических документов Рабочей группы (проекта КВ и проекта программы работы на 2020–2021 годы) со связанными с транспортом целями устойчивого развития и решениями Совета управляющих СПЕКА, принятыми за последние два года. Основная цель заключалась в разработке более динамичной и реалистичной программы работы, которая будет сосредоточена на проблематике транспорта и связности, имеющей важное значение для субрегиона СПЕКА. Обсуждение вопросов обеспечения более эффективной связности, устойчивого развития транспортной </w:t>
      </w:r>
      <w:r>
        <w:lastRenderedPageBreak/>
        <w:t>системы и налаживание бесперебойного международного и регионального транзита со всей очевидностью обнажило необходимость углубления субрегионального сотрудничества. ЕЭК и ЭСКАТО проинформировали участников о новых изменениях в связи с подготовкой международно-правовых документов, осуществлением проектов в области транспорта и мероприятиями по укреплению потенциала. На</w:t>
      </w:r>
      <w:r w:rsidR="00474C0D">
        <w:t> </w:t>
      </w:r>
      <w:r>
        <w:t>сессии ТРГ-УТТС обсуждались также вопросы мониторинга и отчетности в том, что касается достижения связанных с транспортом целей устойчивого развития.</w:t>
      </w:r>
    </w:p>
    <w:p w14:paraId="1F2899CA" w14:textId="77777777" w:rsidR="00C212F4" w:rsidRPr="00533D7B" w:rsidRDefault="00C212F4" w:rsidP="00C212F4">
      <w:pPr>
        <w:pStyle w:val="H23G"/>
      </w:pPr>
      <w:r>
        <w:tab/>
        <w:t>5.</w:t>
      </w:r>
      <w:r>
        <w:tab/>
      </w:r>
      <w:r>
        <w:rPr>
          <w:bCs/>
        </w:rPr>
        <w:t>Безопасные транспортные средства</w:t>
      </w:r>
    </w:p>
    <w:p w14:paraId="73A09FB0" w14:textId="77777777" w:rsidR="00C212F4" w:rsidRPr="00533D7B" w:rsidRDefault="00C212F4" w:rsidP="00C212F4">
      <w:pPr>
        <w:spacing w:after="120"/>
        <w:ind w:left="1134" w:right="1134"/>
        <w:jc w:val="both"/>
      </w:pPr>
      <w:r>
        <w:t>89.</w:t>
      </w:r>
      <w:r>
        <w:tab/>
        <w:t xml:space="preserve">Во исполнение рекомендаций, содержащихся в Обзоре результатов деятельности по обеспечению безопасности дорожного движения Грузии за 2018 год, секретариат в сотрудничестве с Агентством наземного транспорта Грузии организовал региональное рабочее совещание, посвященное вопросам осуществления Соглашения 1958 года (Тбилиси, 20–21 мая 2019 года). Целью этого рабочего совещания было углубление знаний грузинских экспертов о путях эффективного осуществления положений Соглашения 1958 года и обновления национального законодательства для приведения его в полное соответствие Соглашению. Проект будет завершен в январе 2020 года. </w:t>
      </w:r>
    </w:p>
    <w:p w14:paraId="741B23D0" w14:textId="77777777" w:rsidR="00C212F4" w:rsidRPr="00533D7B" w:rsidRDefault="00C212F4" w:rsidP="00C212F4">
      <w:pPr>
        <w:pStyle w:val="H23G"/>
      </w:pPr>
      <w:r>
        <w:tab/>
        <w:t>6.</w:t>
      </w:r>
      <w:r>
        <w:tab/>
      </w:r>
      <w:r>
        <w:rPr>
          <w:bCs/>
        </w:rPr>
        <w:t>Связность региональных железнодорожных линий</w:t>
      </w:r>
    </w:p>
    <w:p w14:paraId="5039CC96" w14:textId="77777777" w:rsidR="00C212F4" w:rsidRPr="00533D7B" w:rsidRDefault="00C212F4" w:rsidP="00C212F4">
      <w:pPr>
        <w:pStyle w:val="SingleTxtG"/>
      </w:pPr>
      <w:r>
        <w:t>90.</w:t>
      </w:r>
      <w:r>
        <w:tab/>
        <w:t>Рабочее совещание по связности региональных железнодорожных линий, состоявшееся в Белграде в октябре 2019 года, собрало 40 участников из стран Юго-Восточной Европы и дунайского региона, которые обсудили необходимость повышения железнодорожной связности и активизации перевозок. Было решено, что важным является поддержание регулярного диалога по этому вопросу в целях обеспечения эффективности железнодорожного транспорта на маршрутах ЕАТС и привлечения грузов, а также для продвижения соответствующих правовых инструментов.</w:t>
      </w:r>
    </w:p>
    <w:p w14:paraId="546A713B" w14:textId="77777777" w:rsidR="00474C0D" w:rsidRDefault="00474C0D">
      <w:pPr>
        <w:suppressAutoHyphens w:val="0"/>
        <w:spacing w:line="240" w:lineRule="auto"/>
        <w:rPr>
          <w:rFonts w:eastAsia="Times New Roman" w:cs="Times New Roman"/>
          <w:b/>
          <w:sz w:val="28"/>
          <w:szCs w:val="20"/>
          <w:lang w:eastAsia="ru-RU"/>
        </w:rPr>
      </w:pPr>
      <w:r>
        <w:br w:type="page"/>
      </w:r>
    </w:p>
    <w:p w14:paraId="1286BD00" w14:textId="77777777" w:rsidR="00C212F4" w:rsidRPr="00533D7B" w:rsidRDefault="00C212F4" w:rsidP="00C212F4">
      <w:pPr>
        <w:pStyle w:val="HChG"/>
      </w:pPr>
      <w:r>
        <w:rPr>
          <w:bCs/>
        </w:rPr>
        <w:lastRenderedPageBreak/>
        <w:t>Приложение</w:t>
      </w:r>
    </w:p>
    <w:p w14:paraId="560D774D" w14:textId="709849C6" w:rsidR="00E12C5F" w:rsidRDefault="00C212F4" w:rsidP="00474C0D">
      <w:pPr>
        <w:pStyle w:val="HChG"/>
      </w:pPr>
      <w:r>
        <w:tab/>
      </w:r>
      <w:r>
        <w:tab/>
        <w:t>Достижение целей устойчивого развития: вклад внутреннего транспорта в 2019 году</w:t>
      </w:r>
    </w:p>
    <w:p w14:paraId="1D5317F5" w14:textId="6B746F44" w:rsidR="008E698D" w:rsidRDefault="008E698D" w:rsidP="008E698D">
      <w:pPr>
        <w:rPr>
          <w:lang w:eastAsia="ru-RU"/>
        </w:rPr>
      </w:pPr>
      <w:r w:rsidRPr="008E698D">
        <w:rPr>
          <w:noProof/>
        </w:rPr>
        <w:drawing>
          <wp:inline distT="0" distB="0" distL="0" distR="0" wp14:anchorId="3A2B2744" wp14:editId="2596034C">
            <wp:extent cx="6120130" cy="390017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900170"/>
                    </a:xfrm>
                    <a:prstGeom prst="rect">
                      <a:avLst/>
                    </a:prstGeom>
                    <a:noFill/>
                    <a:ln>
                      <a:noFill/>
                    </a:ln>
                  </pic:spPr>
                </pic:pic>
              </a:graphicData>
            </a:graphic>
          </wp:inline>
        </w:drawing>
      </w:r>
    </w:p>
    <w:p w14:paraId="5D621F2D" w14:textId="1852E707" w:rsidR="008E698D" w:rsidRDefault="008E698D" w:rsidP="008E698D">
      <w:pPr>
        <w:rPr>
          <w:lang w:eastAsia="ru-RU"/>
        </w:rPr>
      </w:pPr>
    </w:p>
    <w:p w14:paraId="3F75BDAD" w14:textId="77777777" w:rsidR="008E698D" w:rsidRPr="008E698D" w:rsidRDefault="008E698D" w:rsidP="008E698D">
      <w:pPr>
        <w:rPr>
          <w:lang w:eastAsia="ru-RU"/>
        </w:rPr>
      </w:pPr>
    </w:p>
    <w:p w14:paraId="5DA697B1" w14:textId="5D09D777" w:rsidR="00474C0D" w:rsidRDefault="00474C0D" w:rsidP="00C212F4">
      <w:pPr>
        <w:rPr>
          <w:bCs/>
        </w:rPr>
      </w:pPr>
    </w:p>
    <w:p w14:paraId="5B164F85" w14:textId="77777777" w:rsidR="009A00EB" w:rsidRDefault="009A00EB" w:rsidP="00C212F4">
      <w:pPr>
        <w:rPr>
          <w:bCs/>
        </w:rPr>
        <w:sectPr w:rsidR="009A00EB" w:rsidSect="00C212F4">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pPr>
    </w:p>
    <w:p w14:paraId="01F58294" w14:textId="77777777" w:rsidR="00713400" w:rsidRDefault="00713400" w:rsidP="009A00EB">
      <w:pPr>
        <w:suppressAutoHyphens w:val="0"/>
        <w:spacing w:line="240" w:lineRule="auto"/>
        <w:ind w:firstLine="1560"/>
        <w:rPr>
          <w:bCs/>
        </w:rPr>
      </w:pPr>
      <w:r w:rsidRPr="00713400">
        <w:rPr>
          <w:noProof/>
        </w:rPr>
        <w:lastRenderedPageBreak/>
        <w:drawing>
          <wp:inline distT="0" distB="0" distL="0" distR="0" wp14:anchorId="16BBE07A" wp14:editId="409F65C3">
            <wp:extent cx="7167283" cy="579564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81526" cy="5807161"/>
                    </a:xfrm>
                    <a:prstGeom prst="rect">
                      <a:avLst/>
                    </a:prstGeom>
                    <a:noFill/>
                    <a:ln>
                      <a:noFill/>
                    </a:ln>
                  </pic:spPr>
                </pic:pic>
              </a:graphicData>
            </a:graphic>
          </wp:inline>
        </w:drawing>
      </w:r>
    </w:p>
    <w:p w14:paraId="429F1266" w14:textId="77777777" w:rsidR="00474C0D" w:rsidRPr="009A00EB" w:rsidRDefault="009A00EB" w:rsidP="009A00EB">
      <w:pPr>
        <w:spacing w:before="120"/>
        <w:jc w:val="center"/>
        <w:rPr>
          <w:bCs/>
          <w:u w:val="single"/>
        </w:rPr>
      </w:pPr>
      <w:r>
        <w:rPr>
          <w:bCs/>
          <w:u w:val="single"/>
        </w:rPr>
        <w:tab/>
      </w:r>
      <w:r>
        <w:rPr>
          <w:bCs/>
          <w:u w:val="single"/>
        </w:rPr>
        <w:tab/>
      </w:r>
      <w:r>
        <w:rPr>
          <w:bCs/>
          <w:u w:val="single"/>
        </w:rPr>
        <w:tab/>
      </w:r>
    </w:p>
    <w:sectPr w:rsidR="00474C0D" w:rsidRPr="009A00EB" w:rsidSect="009A00EB">
      <w:headerReference w:type="even" r:id="rId24"/>
      <w:headerReference w:type="default" r:id="rId25"/>
      <w:footerReference w:type="even" r:id="rId26"/>
      <w:footerReference w:type="default" r:id="rId2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634C" w14:textId="77777777" w:rsidR="00087CCC" w:rsidRPr="00A312BC" w:rsidRDefault="00087CCC" w:rsidP="00A312BC"/>
  </w:endnote>
  <w:endnote w:type="continuationSeparator" w:id="0">
    <w:p w14:paraId="68C7D01D" w14:textId="77777777" w:rsidR="00087CCC" w:rsidRPr="00A312BC" w:rsidRDefault="00087CC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gular_medium">
    <w:altName w:val="Trebuchet M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E05" w14:textId="77777777" w:rsidR="00C212F4" w:rsidRPr="00C212F4" w:rsidRDefault="00C212F4">
    <w:pPr>
      <w:pStyle w:val="Footer"/>
    </w:pPr>
    <w:r w:rsidRPr="00C212F4">
      <w:rPr>
        <w:b/>
        <w:sz w:val="18"/>
      </w:rPr>
      <w:fldChar w:fldCharType="begin"/>
    </w:r>
    <w:r w:rsidRPr="00C212F4">
      <w:rPr>
        <w:b/>
        <w:sz w:val="18"/>
      </w:rPr>
      <w:instrText xml:space="preserve"> PAGE  \* MERGEFORMAT </w:instrText>
    </w:r>
    <w:r w:rsidRPr="00C212F4">
      <w:rPr>
        <w:b/>
        <w:sz w:val="18"/>
      </w:rPr>
      <w:fldChar w:fldCharType="separate"/>
    </w:r>
    <w:r w:rsidRPr="00C212F4">
      <w:rPr>
        <w:b/>
        <w:noProof/>
        <w:sz w:val="18"/>
      </w:rPr>
      <w:t>2</w:t>
    </w:r>
    <w:r w:rsidRPr="00C212F4">
      <w:rPr>
        <w:b/>
        <w:sz w:val="18"/>
      </w:rPr>
      <w:fldChar w:fldCharType="end"/>
    </w:r>
    <w:r>
      <w:rPr>
        <w:b/>
        <w:sz w:val="18"/>
      </w:rPr>
      <w:tab/>
    </w:r>
    <w:r>
      <w:t>GE.20-00431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4412" w14:textId="77777777" w:rsidR="00C212F4" w:rsidRPr="00C212F4" w:rsidRDefault="00C212F4" w:rsidP="00C212F4">
    <w:pPr>
      <w:pStyle w:val="Footer"/>
      <w:tabs>
        <w:tab w:val="clear" w:pos="9639"/>
        <w:tab w:val="right" w:pos="9638"/>
      </w:tabs>
      <w:rPr>
        <w:b/>
        <w:sz w:val="18"/>
      </w:rPr>
    </w:pPr>
    <w:r>
      <w:t>GE.20-00431</w:t>
    </w:r>
    <w:r>
      <w:tab/>
    </w:r>
    <w:r w:rsidRPr="00C212F4">
      <w:rPr>
        <w:b/>
        <w:sz w:val="18"/>
      </w:rPr>
      <w:fldChar w:fldCharType="begin"/>
    </w:r>
    <w:r w:rsidRPr="00C212F4">
      <w:rPr>
        <w:b/>
        <w:sz w:val="18"/>
      </w:rPr>
      <w:instrText xml:space="preserve"> PAGE  \* MERGEFORMAT </w:instrText>
    </w:r>
    <w:r w:rsidRPr="00C212F4">
      <w:rPr>
        <w:b/>
        <w:sz w:val="18"/>
      </w:rPr>
      <w:fldChar w:fldCharType="separate"/>
    </w:r>
    <w:r w:rsidRPr="00C212F4">
      <w:rPr>
        <w:b/>
        <w:noProof/>
        <w:sz w:val="18"/>
      </w:rPr>
      <w:t>3</w:t>
    </w:r>
    <w:r w:rsidRPr="00C212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4D18" w14:textId="09FF758A" w:rsidR="00042B72" w:rsidRPr="00C212F4" w:rsidRDefault="00C212F4" w:rsidP="00C212F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DC1CBE4" wp14:editId="2EB7B46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20-00431  (R)</w:t>
    </w:r>
    <w:r w:rsidR="00713400">
      <w:rPr>
        <w:lang w:val="en-US"/>
      </w:rPr>
      <w:t xml:space="preserve">   030220  0</w:t>
    </w:r>
    <w:r w:rsidR="00A42220">
      <w:rPr>
        <w:lang w:val="en-US"/>
      </w:rPr>
      <w:t>5</w:t>
    </w:r>
    <w:r w:rsidR="00713400">
      <w:rPr>
        <w:lang w:val="en-US"/>
      </w:rPr>
      <w:t>0220</w:t>
    </w:r>
    <w:r>
      <w:br/>
    </w:r>
    <w:r w:rsidRPr="00C212F4">
      <w:rPr>
        <w:rFonts w:ascii="C39T30Lfz" w:hAnsi="C39T30Lfz"/>
        <w:kern w:val="14"/>
        <w:sz w:val="56"/>
      </w:rPr>
      <w:t></w:t>
    </w:r>
    <w:r w:rsidRPr="00C212F4">
      <w:rPr>
        <w:rFonts w:ascii="C39T30Lfz" w:hAnsi="C39T30Lfz"/>
        <w:kern w:val="14"/>
        <w:sz w:val="56"/>
      </w:rPr>
      <w:t></w:t>
    </w:r>
    <w:r w:rsidRPr="00C212F4">
      <w:rPr>
        <w:rFonts w:ascii="C39T30Lfz" w:hAnsi="C39T30Lfz"/>
        <w:kern w:val="14"/>
        <w:sz w:val="56"/>
      </w:rPr>
      <w:t></w:t>
    </w:r>
    <w:r w:rsidRPr="00C212F4">
      <w:rPr>
        <w:rFonts w:ascii="C39T30Lfz" w:hAnsi="C39T30Lfz"/>
        <w:kern w:val="14"/>
        <w:sz w:val="56"/>
      </w:rPr>
      <w:t></w:t>
    </w:r>
    <w:r w:rsidRPr="00C212F4">
      <w:rPr>
        <w:rFonts w:ascii="C39T30Lfz" w:hAnsi="C39T30Lfz"/>
        <w:kern w:val="14"/>
        <w:sz w:val="56"/>
      </w:rPr>
      <w:t></w:t>
    </w:r>
    <w:r w:rsidRPr="00C212F4">
      <w:rPr>
        <w:rFonts w:ascii="C39T30Lfz" w:hAnsi="C39T30Lfz"/>
        <w:kern w:val="14"/>
        <w:sz w:val="56"/>
      </w:rPr>
      <w:t></w:t>
    </w:r>
    <w:r w:rsidRPr="00C212F4">
      <w:rPr>
        <w:rFonts w:ascii="C39T30Lfz" w:hAnsi="C39T30Lfz"/>
        <w:kern w:val="14"/>
        <w:sz w:val="56"/>
      </w:rPr>
      <w:t></w:t>
    </w:r>
    <w:r w:rsidRPr="00C212F4">
      <w:rPr>
        <w:rFonts w:ascii="C39T30Lfz" w:hAnsi="C39T30Lfz"/>
        <w:kern w:val="14"/>
        <w:sz w:val="56"/>
      </w:rPr>
      <w:t></w:t>
    </w:r>
    <w:r w:rsidRPr="00C212F4">
      <w:rPr>
        <w:rFonts w:ascii="C39T30Lfz" w:hAnsi="C39T30Lfz"/>
        <w:kern w:val="14"/>
        <w:sz w:val="56"/>
      </w:rPr>
      <w:t></w:t>
    </w:r>
    <w:r>
      <w:rPr>
        <w:noProof/>
      </w:rPr>
      <w:drawing>
        <wp:anchor distT="0" distB="0" distL="114300" distR="114300" simplePos="0" relativeHeight="251659264" behindDoc="0" locked="0" layoutInCell="1" allowOverlap="1" wp14:anchorId="588FE32D" wp14:editId="230B0B7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5009" w14:textId="77777777" w:rsidR="009A00EB" w:rsidRPr="009A00EB" w:rsidRDefault="009A00EB" w:rsidP="009A00EB">
    <w:pPr>
      <w:pStyle w:val="Footer"/>
    </w:pPr>
    <w:r>
      <w:rPr>
        <w:noProof/>
      </w:rPr>
      <mc:AlternateContent>
        <mc:Choice Requires="wps">
          <w:drawing>
            <wp:anchor distT="0" distB="0" distL="114300" distR="114300" simplePos="0" relativeHeight="251661312" behindDoc="0" locked="0" layoutInCell="1" allowOverlap="1" wp14:anchorId="3AAD9D03" wp14:editId="316D4C6A">
              <wp:simplePos x="0" y="0"/>
              <wp:positionH relativeFrom="margin">
                <wp:posOffset>-431800</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0B4595" w14:textId="77777777" w:rsidR="009A00EB" w:rsidRPr="00C212F4" w:rsidRDefault="009A00EB" w:rsidP="009A00EB">
                          <w:pPr>
                            <w:pStyle w:val="Footer"/>
                          </w:pPr>
                          <w:r w:rsidRPr="00C212F4">
                            <w:rPr>
                              <w:b/>
                              <w:sz w:val="18"/>
                            </w:rPr>
                            <w:fldChar w:fldCharType="begin"/>
                          </w:r>
                          <w:r w:rsidRPr="00C212F4">
                            <w:rPr>
                              <w:b/>
                              <w:sz w:val="18"/>
                            </w:rPr>
                            <w:instrText xml:space="preserve"> PAGE  \* MERGEFORMAT </w:instrText>
                          </w:r>
                          <w:r w:rsidRPr="00C212F4">
                            <w:rPr>
                              <w:b/>
                              <w:sz w:val="18"/>
                            </w:rPr>
                            <w:fldChar w:fldCharType="separate"/>
                          </w:r>
                          <w:r>
                            <w:rPr>
                              <w:b/>
                              <w:sz w:val="18"/>
                            </w:rPr>
                            <w:t>22</w:t>
                          </w:r>
                          <w:r w:rsidRPr="00C212F4">
                            <w:rPr>
                              <w:b/>
                              <w:sz w:val="18"/>
                            </w:rPr>
                            <w:fldChar w:fldCharType="end"/>
                          </w:r>
                          <w:r>
                            <w:rPr>
                              <w:b/>
                              <w:sz w:val="18"/>
                            </w:rPr>
                            <w:tab/>
                          </w:r>
                          <w:r>
                            <w:t>GE.20-00431</w:t>
                          </w:r>
                        </w:p>
                        <w:p w14:paraId="0D79414B" w14:textId="77777777" w:rsidR="009A00EB" w:rsidRDefault="009A00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AD9D03" id="_x0000_t202" coordsize="21600,21600" o:spt="202" path="m,l,21600r21600,l21600,xe">
              <v:stroke joinstyle="miter"/>
              <v:path gradientshapeok="t" o:connecttype="rect"/>
            </v:shapetype>
            <v:shape id="Надпись 6"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KBEgMAALkGAAAOAAAAZHJzL2Uyb0RvYy54bWzEVc1uEzEQviPxDpbv6e6maWi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BDtVK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2A0B4595" w14:textId="77777777" w:rsidR="009A00EB" w:rsidRPr="00C212F4" w:rsidRDefault="009A00EB" w:rsidP="009A00EB">
                    <w:pPr>
                      <w:pStyle w:val="Footer"/>
                    </w:pPr>
                    <w:r w:rsidRPr="00C212F4">
                      <w:rPr>
                        <w:b/>
                        <w:sz w:val="18"/>
                      </w:rPr>
                      <w:fldChar w:fldCharType="begin"/>
                    </w:r>
                    <w:r w:rsidRPr="00C212F4">
                      <w:rPr>
                        <w:b/>
                        <w:sz w:val="18"/>
                      </w:rPr>
                      <w:instrText xml:space="preserve"> PAGE  \* MERGEFORMAT </w:instrText>
                    </w:r>
                    <w:r w:rsidRPr="00C212F4">
                      <w:rPr>
                        <w:b/>
                        <w:sz w:val="18"/>
                      </w:rPr>
                      <w:fldChar w:fldCharType="separate"/>
                    </w:r>
                    <w:r>
                      <w:rPr>
                        <w:b/>
                        <w:sz w:val="18"/>
                      </w:rPr>
                      <w:t>22</w:t>
                    </w:r>
                    <w:r w:rsidRPr="00C212F4">
                      <w:rPr>
                        <w:b/>
                        <w:sz w:val="18"/>
                      </w:rPr>
                      <w:fldChar w:fldCharType="end"/>
                    </w:r>
                    <w:r>
                      <w:rPr>
                        <w:b/>
                        <w:sz w:val="18"/>
                      </w:rPr>
                      <w:tab/>
                    </w:r>
                    <w:r>
                      <w:t>GE.20-00431</w:t>
                    </w:r>
                  </w:p>
                  <w:p w14:paraId="0D79414B" w14:textId="77777777" w:rsidR="009A00EB" w:rsidRDefault="009A00E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3685" w14:textId="77777777" w:rsidR="009A00EB" w:rsidRPr="009A00EB" w:rsidRDefault="009A00EB" w:rsidP="009A00EB">
    <w:pPr>
      <w:pStyle w:val="Footer"/>
    </w:pPr>
    <w:r>
      <w:rPr>
        <w:noProof/>
      </w:rPr>
      <mc:AlternateContent>
        <mc:Choice Requires="wps">
          <w:drawing>
            <wp:anchor distT="0" distB="0" distL="114300" distR="114300" simplePos="0" relativeHeight="251663360" behindDoc="0" locked="0" layoutInCell="1" allowOverlap="1" wp14:anchorId="49194D8F" wp14:editId="6AC132A0">
              <wp:simplePos x="0" y="0"/>
              <wp:positionH relativeFrom="margin">
                <wp:posOffset>-431800</wp:posOffset>
              </wp:positionH>
              <wp:positionV relativeFrom="margin">
                <wp:posOffset>0</wp:posOffset>
              </wp:positionV>
              <wp:extent cx="215900" cy="612013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B12E835" w14:textId="77777777" w:rsidR="009A00EB" w:rsidRPr="00C212F4" w:rsidRDefault="009A00EB" w:rsidP="009A00EB">
                          <w:pPr>
                            <w:pStyle w:val="Footer"/>
                            <w:tabs>
                              <w:tab w:val="clear" w:pos="9639"/>
                              <w:tab w:val="right" w:pos="9638"/>
                            </w:tabs>
                            <w:rPr>
                              <w:b/>
                              <w:sz w:val="18"/>
                            </w:rPr>
                          </w:pPr>
                          <w:r>
                            <w:t>GE.20-00431</w:t>
                          </w:r>
                          <w:r>
                            <w:tab/>
                          </w:r>
                          <w:r w:rsidRPr="00C212F4">
                            <w:rPr>
                              <w:b/>
                              <w:sz w:val="18"/>
                            </w:rPr>
                            <w:fldChar w:fldCharType="begin"/>
                          </w:r>
                          <w:r w:rsidRPr="00C212F4">
                            <w:rPr>
                              <w:b/>
                              <w:sz w:val="18"/>
                            </w:rPr>
                            <w:instrText xml:space="preserve"> PAGE  \* MERGEFORMAT </w:instrText>
                          </w:r>
                          <w:r w:rsidRPr="00C212F4">
                            <w:rPr>
                              <w:b/>
                              <w:sz w:val="18"/>
                            </w:rPr>
                            <w:fldChar w:fldCharType="separate"/>
                          </w:r>
                          <w:r>
                            <w:rPr>
                              <w:b/>
                              <w:sz w:val="18"/>
                            </w:rPr>
                            <w:t>23</w:t>
                          </w:r>
                          <w:r w:rsidRPr="00C212F4">
                            <w:rPr>
                              <w:b/>
                              <w:sz w:val="18"/>
                            </w:rPr>
                            <w:fldChar w:fldCharType="end"/>
                          </w:r>
                        </w:p>
                        <w:p w14:paraId="3F62ECBB" w14:textId="77777777" w:rsidR="009A00EB" w:rsidRDefault="009A00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194D8F" id="_x0000_t202" coordsize="21600,21600" o:spt="202" path="m,l,21600r21600,l21600,xe">
              <v:stroke joinstyle="miter"/>
              <v:path gradientshapeok="t" o:connecttype="rect"/>
            </v:shapetype>
            <v:shape id="Надпись 8"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DHH+zV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1B12E835" w14:textId="77777777" w:rsidR="009A00EB" w:rsidRPr="00C212F4" w:rsidRDefault="009A00EB" w:rsidP="009A00EB">
                    <w:pPr>
                      <w:pStyle w:val="Footer"/>
                      <w:tabs>
                        <w:tab w:val="clear" w:pos="9639"/>
                        <w:tab w:val="right" w:pos="9638"/>
                      </w:tabs>
                      <w:rPr>
                        <w:b/>
                        <w:sz w:val="18"/>
                      </w:rPr>
                    </w:pPr>
                    <w:r>
                      <w:t>GE.20-00431</w:t>
                    </w:r>
                    <w:r>
                      <w:tab/>
                    </w:r>
                    <w:r w:rsidRPr="00C212F4">
                      <w:rPr>
                        <w:b/>
                        <w:sz w:val="18"/>
                      </w:rPr>
                      <w:fldChar w:fldCharType="begin"/>
                    </w:r>
                    <w:r w:rsidRPr="00C212F4">
                      <w:rPr>
                        <w:b/>
                        <w:sz w:val="18"/>
                      </w:rPr>
                      <w:instrText xml:space="preserve"> PAGE  \* MERGEFORMAT </w:instrText>
                    </w:r>
                    <w:r w:rsidRPr="00C212F4">
                      <w:rPr>
                        <w:b/>
                        <w:sz w:val="18"/>
                      </w:rPr>
                      <w:fldChar w:fldCharType="separate"/>
                    </w:r>
                    <w:r>
                      <w:rPr>
                        <w:b/>
                        <w:sz w:val="18"/>
                      </w:rPr>
                      <w:t>23</w:t>
                    </w:r>
                    <w:r w:rsidRPr="00C212F4">
                      <w:rPr>
                        <w:b/>
                        <w:sz w:val="18"/>
                      </w:rPr>
                      <w:fldChar w:fldCharType="end"/>
                    </w:r>
                  </w:p>
                  <w:p w14:paraId="3F62ECBB" w14:textId="77777777" w:rsidR="009A00EB" w:rsidRDefault="009A00E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FC195" w14:textId="77777777" w:rsidR="00087CCC" w:rsidRPr="001075E9" w:rsidRDefault="00087CCC" w:rsidP="001075E9">
      <w:pPr>
        <w:tabs>
          <w:tab w:val="right" w:pos="2155"/>
        </w:tabs>
        <w:spacing w:after="80" w:line="240" w:lineRule="auto"/>
        <w:ind w:left="680"/>
        <w:rPr>
          <w:u w:val="single"/>
        </w:rPr>
      </w:pPr>
      <w:r>
        <w:rPr>
          <w:u w:val="single"/>
        </w:rPr>
        <w:tab/>
      </w:r>
    </w:p>
  </w:footnote>
  <w:footnote w:type="continuationSeparator" w:id="0">
    <w:p w14:paraId="08CB118E" w14:textId="77777777" w:rsidR="00087CCC" w:rsidRDefault="00087CCC" w:rsidP="00407B78">
      <w:pPr>
        <w:tabs>
          <w:tab w:val="right" w:pos="2155"/>
        </w:tabs>
        <w:spacing w:after="80"/>
        <w:ind w:left="680"/>
        <w:rPr>
          <w:u w:val="single"/>
        </w:rPr>
      </w:pPr>
      <w:r>
        <w:rPr>
          <w:u w:val="single"/>
        </w:rPr>
        <w:tab/>
      </w:r>
    </w:p>
  </w:footnote>
  <w:footnote w:id="1">
    <w:p w14:paraId="10C00F80" w14:textId="77777777" w:rsidR="00C212F4" w:rsidRPr="00533D7B" w:rsidRDefault="00C212F4" w:rsidP="00C212F4">
      <w:pPr>
        <w:pStyle w:val="FootnoteText"/>
      </w:pPr>
      <w:r>
        <w:tab/>
        <w:t>*</w:t>
      </w:r>
      <w:r>
        <w:tab/>
        <w:t>Настоящий документ было решено издать позднее установленной даты его опубликования в связи с обстоятельствами, не зависящими от стороны, представившей документ.</w:t>
      </w:r>
    </w:p>
  </w:footnote>
  <w:footnote w:id="2">
    <w:p w14:paraId="331F6024" w14:textId="77777777" w:rsidR="00C212F4" w:rsidRPr="00533D7B" w:rsidRDefault="00C212F4" w:rsidP="00C212F4">
      <w:pPr>
        <w:pStyle w:val="FootnoteText"/>
        <w:widowControl w:val="0"/>
        <w:tabs>
          <w:tab w:val="clear" w:pos="1021"/>
          <w:tab w:val="right" w:pos="1020"/>
        </w:tabs>
      </w:pPr>
      <w:r>
        <w:tab/>
      </w:r>
      <w:r>
        <w:rPr>
          <w:rStyle w:val="FootnoteReference"/>
        </w:rPr>
        <w:footnoteRef/>
      </w:r>
      <w:r>
        <w:tab/>
        <w:t>Резолюция A/RES/72/271 Генеральной Ассамблеи от 12 апреля 2018 года.</w:t>
      </w:r>
    </w:p>
  </w:footnote>
  <w:footnote w:id="3">
    <w:p w14:paraId="55B81939" w14:textId="77777777" w:rsidR="00C212F4" w:rsidRPr="001D6783" w:rsidRDefault="00C212F4" w:rsidP="00C212F4">
      <w:pPr>
        <w:pStyle w:val="FootnoteText"/>
      </w:pPr>
      <w:r w:rsidRPr="001D6783">
        <w:tab/>
      </w:r>
      <w:r w:rsidRPr="001D6783">
        <w:rPr>
          <w:rStyle w:val="FootnoteReference"/>
        </w:rPr>
        <w:footnoteRef/>
      </w:r>
      <w:r>
        <w:tab/>
        <w:t>Речные информационные службы.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C56B" w14:textId="5AB5ACF0" w:rsidR="00C212F4" w:rsidRPr="00C212F4" w:rsidRDefault="009D6F4D">
    <w:pPr>
      <w:pStyle w:val="Header"/>
    </w:pPr>
    <w:r>
      <w:fldChar w:fldCharType="begin"/>
    </w:r>
    <w:r>
      <w:instrText xml:space="preserve"> TITLE  \* MERGEFORMAT </w:instrText>
    </w:r>
    <w:r>
      <w:fldChar w:fldCharType="separate"/>
    </w:r>
    <w:r w:rsidR="004313CE">
      <w:t>ECE/TRANS/2020/19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A807" w14:textId="6B890802" w:rsidR="00C212F4" w:rsidRPr="00C212F4" w:rsidRDefault="009D6F4D" w:rsidP="00C212F4">
    <w:pPr>
      <w:pStyle w:val="Header"/>
      <w:jc w:val="right"/>
    </w:pPr>
    <w:r>
      <w:fldChar w:fldCharType="begin"/>
    </w:r>
    <w:r>
      <w:instrText xml:space="preserve"> TITLE  \* MERGEFORMAT </w:instrText>
    </w:r>
    <w:r>
      <w:fldChar w:fldCharType="separate"/>
    </w:r>
    <w:r w:rsidR="004313CE">
      <w:t>ECE/TRANS/2020/19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2F1E" w14:textId="77777777" w:rsidR="009A00EB" w:rsidRPr="009A00EB" w:rsidRDefault="009A00EB" w:rsidP="009A00EB">
    <w:r>
      <w:rPr>
        <w:noProof/>
      </w:rPr>
      <mc:AlternateContent>
        <mc:Choice Requires="wps">
          <w:drawing>
            <wp:anchor distT="0" distB="0" distL="114300" distR="114300" simplePos="0" relativeHeight="251660288" behindDoc="0" locked="0" layoutInCell="1" allowOverlap="1" wp14:anchorId="79C2BC93" wp14:editId="3EC93B07">
              <wp:simplePos x="0" y="0"/>
              <wp:positionH relativeFrom="page">
                <wp:posOffset>9935845</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A5E2B1" w14:textId="78878EE5" w:rsidR="009A00EB" w:rsidRPr="00C212F4" w:rsidRDefault="004313CE" w:rsidP="009A00EB">
                          <w:pPr>
                            <w:pStyle w:val="Header"/>
                          </w:pPr>
                          <w:fldSimple w:instr=" TITLE  \* MERGEFORMAT ">
                            <w:r>
                              <w:t>ECE/TRANS/2020/19</w:t>
                            </w:r>
                          </w:fldSimple>
                        </w:p>
                        <w:p w14:paraId="5FF69EC7" w14:textId="77777777" w:rsidR="009A00EB" w:rsidRDefault="009A00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C2BC93" id="_x0000_t202" coordsize="21600,21600" o:spt="202" path="m,l,21600r21600,l21600,xe">
              <v:stroke joinstyle="miter"/>
              <v:path gradientshapeok="t" o:connecttype="rect"/>
            </v:shapetype>
            <v:shape id="Надпись 5"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DjmUcWDgMAALI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14:paraId="7DA5E2B1" w14:textId="78878EE5" w:rsidR="009A00EB" w:rsidRPr="00C212F4" w:rsidRDefault="004313CE" w:rsidP="009A00EB">
                    <w:pPr>
                      <w:pStyle w:val="Header"/>
                    </w:pPr>
                    <w:fldSimple w:instr=" TITLE  \* MERGEFORMAT ">
                      <w:r>
                        <w:t>ECE/TRANS/2020/19</w:t>
                      </w:r>
                    </w:fldSimple>
                  </w:p>
                  <w:p w14:paraId="5FF69EC7" w14:textId="77777777" w:rsidR="009A00EB" w:rsidRDefault="009A00E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714D" w14:textId="77777777" w:rsidR="009A00EB" w:rsidRPr="009A00EB" w:rsidRDefault="009A00EB" w:rsidP="009A00EB">
    <w:r>
      <w:rPr>
        <w:noProof/>
      </w:rPr>
      <mc:AlternateContent>
        <mc:Choice Requires="wps">
          <w:drawing>
            <wp:anchor distT="0" distB="0" distL="114300" distR="114300" simplePos="0" relativeHeight="251662336" behindDoc="0" locked="0" layoutInCell="1" allowOverlap="1" wp14:anchorId="48EA5D79" wp14:editId="6210D44E">
              <wp:simplePos x="0" y="0"/>
              <wp:positionH relativeFrom="page">
                <wp:posOffset>9935845</wp:posOffset>
              </wp:positionH>
              <wp:positionV relativeFrom="margin">
                <wp:posOffset>0</wp:posOffset>
              </wp:positionV>
              <wp:extent cx="215900" cy="612013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FE34BAD" w14:textId="26A8B832" w:rsidR="009A00EB" w:rsidRPr="00C212F4" w:rsidRDefault="004313CE" w:rsidP="009A00EB">
                          <w:pPr>
                            <w:pStyle w:val="Header"/>
                            <w:jc w:val="right"/>
                          </w:pPr>
                          <w:fldSimple w:instr=" TITLE  \* MERGEFORMAT ">
                            <w:r>
                              <w:t>ECE/TRANS/2020/19</w:t>
                            </w:r>
                          </w:fldSimple>
                        </w:p>
                        <w:p w14:paraId="6DDAF174" w14:textId="77777777" w:rsidR="009A00EB" w:rsidRDefault="009A00E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EA5D79" id="_x0000_t202" coordsize="21600,21600" o:spt="202" path="m,l,21600r21600,l21600,xe">
              <v:stroke joinstyle="miter"/>
              <v:path gradientshapeok="t" o:connecttype="rect"/>
            </v:shapetype>
            <v:shape id="Надпись 7"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" fillcolor="#4f81bd [3204]" stroked="f" strokeweight=".5pt">
              <v:fill opacity="0"/>
              <v:path arrowok="t"/>
              <v:textbox style="layout-flow:vertical" inset="0,0,0,0">
                <w:txbxContent>
                  <w:p w14:paraId="1FE34BAD" w14:textId="26A8B832" w:rsidR="009A00EB" w:rsidRPr="00C212F4" w:rsidRDefault="004313CE" w:rsidP="009A00EB">
                    <w:pPr>
                      <w:pStyle w:val="Header"/>
                      <w:jc w:val="right"/>
                    </w:pPr>
                    <w:fldSimple w:instr=" TITLE  \* MERGEFORMAT ">
                      <w:r>
                        <w:t>ECE/TRANS/2020/19</w:t>
                      </w:r>
                    </w:fldSimple>
                  </w:p>
                  <w:p w14:paraId="6DDAF174" w14:textId="77777777" w:rsidR="009A00EB" w:rsidRDefault="009A00E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90306"/>
    <w:multiLevelType w:val="hybridMultilevel"/>
    <w:tmpl w:val="3CD8750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6A024C1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6322BB"/>
    <w:multiLevelType w:val="hybridMultilevel"/>
    <w:tmpl w:val="1D92E02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9"/>
  </w:num>
  <w:num w:numId="2">
    <w:abstractNumId w:val="12"/>
  </w:num>
  <w:num w:numId="3">
    <w:abstractNumId w:val="11"/>
  </w:num>
  <w:num w:numId="4">
    <w:abstractNumId w:val="20"/>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21"/>
  </w:num>
  <w:num w:numId="24">
    <w:abstractNumId w:val="10"/>
  </w:num>
  <w:num w:numId="25">
    <w:abstractNumId w:val="18"/>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CC"/>
    <w:rsid w:val="00033EE1"/>
    <w:rsid w:val="00036317"/>
    <w:rsid w:val="00042B72"/>
    <w:rsid w:val="000558BD"/>
    <w:rsid w:val="00087CCC"/>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313CE"/>
    <w:rsid w:val="00452493"/>
    <w:rsid w:val="00453318"/>
    <w:rsid w:val="00454AF2"/>
    <w:rsid w:val="00454E07"/>
    <w:rsid w:val="00472C5C"/>
    <w:rsid w:val="00474C0D"/>
    <w:rsid w:val="004E05B7"/>
    <w:rsid w:val="0050108D"/>
    <w:rsid w:val="00505EAC"/>
    <w:rsid w:val="00513081"/>
    <w:rsid w:val="00517901"/>
    <w:rsid w:val="00526683"/>
    <w:rsid w:val="005639C1"/>
    <w:rsid w:val="005709E0"/>
    <w:rsid w:val="00572E19"/>
    <w:rsid w:val="005961C8"/>
    <w:rsid w:val="005966F1"/>
    <w:rsid w:val="005D7914"/>
    <w:rsid w:val="005E2B41"/>
    <w:rsid w:val="005F0B42"/>
    <w:rsid w:val="00604B2A"/>
    <w:rsid w:val="00617A43"/>
    <w:rsid w:val="006345DB"/>
    <w:rsid w:val="00640F49"/>
    <w:rsid w:val="006449FC"/>
    <w:rsid w:val="00680D03"/>
    <w:rsid w:val="00681A10"/>
    <w:rsid w:val="006A1ED8"/>
    <w:rsid w:val="006C2031"/>
    <w:rsid w:val="006D461A"/>
    <w:rsid w:val="006F35EE"/>
    <w:rsid w:val="007021FF"/>
    <w:rsid w:val="00712895"/>
    <w:rsid w:val="00713400"/>
    <w:rsid w:val="00734ACB"/>
    <w:rsid w:val="00757357"/>
    <w:rsid w:val="00792497"/>
    <w:rsid w:val="007F6111"/>
    <w:rsid w:val="00806737"/>
    <w:rsid w:val="00825F8D"/>
    <w:rsid w:val="00834B71"/>
    <w:rsid w:val="0086445C"/>
    <w:rsid w:val="00866C1C"/>
    <w:rsid w:val="00877902"/>
    <w:rsid w:val="00894693"/>
    <w:rsid w:val="008A08D7"/>
    <w:rsid w:val="008A37C8"/>
    <w:rsid w:val="008B6909"/>
    <w:rsid w:val="008D53B6"/>
    <w:rsid w:val="008E698D"/>
    <w:rsid w:val="008F5BAF"/>
    <w:rsid w:val="008F7609"/>
    <w:rsid w:val="00906890"/>
    <w:rsid w:val="00911BE4"/>
    <w:rsid w:val="00951972"/>
    <w:rsid w:val="009608F3"/>
    <w:rsid w:val="009A00EB"/>
    <w:rsid w:val="009A24AC"/>
    <w:rsid w:val="009A3502"/>
    <w:rsid w:val="009C59D7"/>
    <w:rsid w:val="009C6FE6"/>
    <w:rsid w:val="009D6F4D"/>
    <w:rsid w:val="009D7E7D"/>
    <w:rsid w:val="00A14DA8"/>
    <w:rsid w:val="00A312BC"/>
    <w:rsid w:val="00A42220"/>
    <w:rsid w:val="00A84021"/>
    <w:rsid w:val="00A84D35"/>
    <w:rsid w:val="00A917B3"/>
    <w:rsid w:val="00AB4B51"/>
    <w:rsid w:val="00B10CC7"/>
    <w:rsid w:val="00B36DF7"/>
    <w:rsid w:val="00B52B34"/>
    <w:rsid w:val="00B539E7"/>
    <w:rsid w:val="00B62458"/>
    <w:rsid w:val="00BC18B2"/>
    <w:rsid w:val="00BD33EE"/>
    <w:rsid w:val="00BE1CC7"/>
    <w:rsid w:val="00C106D6"/>
    <w:rsid w:val="00C119AE"/>
    <w:rsid w:val="00C212F4"/>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3C0F"/>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073C"/>
    <w:rsid w:val="00F9040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36D05E"/>
  <w15:docId w15:val="{92B10C24-5852-45C1-9A29-26795F48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link w:val="Heading3Char"/>
    <w:uiPriority w:val="9"/>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5_GR"/>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C212F4"/>
    <w:rPr>
      <w:b/>
      <w:sz w:val="28"/>
      <w:lang w:val="ru-RU" w:eastAsia="ru-RU"/>
    </w:rPr>
  </w:style>
  <w:style w:type="character" w:customStyle="1" w:styleId="SingleTxtGChar">
    <w:name w:val="_ Single Txt_G Char"/>
    <w:link w:val="SingleTxtG"/>
    <w:rsid w:val="00C212F4"/>
    <w:rPr>
      <w:lang w:val="ru-RU" w:eastAsia="en-US"/>
    </w:rPr>
  </w:style>
  <w:style w:type="character" w:customStyle="1" w:styleId="H1GChar">
    <w:name w:val="_ H_1_G Char"/>
    <w:link w:val="H1G"/>
    <w:locked/>
    <w:rsid w:val="00C212F4"/>
    <w:rPr>
      <w:b/>
      <w:sz w:val="24"/>
      <w:lang w:val="ru-RU" w:eastAsia="ru-RU"/>
    </w:rPr>
  </w:style>
  <w:style w:type="paragraph" w:customStyle="1" w:styleId="Default">
    <w:name w:val="Default"/>
    <w:rsid w:val="00C212F4"/>
    <w:pPr>
      <w:autoSpaceDE w:val="0"/>
      <w:autoSpaceDN w:val="0"/>
      <w:adjustRightInd w:val="0"/>
    </w:pPr>
    <w:rPr>
      <w:rFonts w:eastAsiaTheme="minorEastAsia"/>
      <w:color w:val="000000"/>
      <w:sz w:val="24"/>
      <w:szCs w:val="24"/>
      <w:lang w:val="en-GB" w:eastAsia="zh-CN"/>
    </w:rPr>
  </w:style>
  <w:style w:type="character" w:customStyle="1" w:styleId="Heading3Char">
    <w:name w:val="Heading 3 Char"/>
    <w:basedOn w:val="DefaultParagraphFont"/>
    <w:link w:val="Heading3"/>
    <w:uiPriority w:val="9"/>
    <w:rsid w:val="00C212F4"/>
    <w:rPr>
      <w:rFonts w:ascii="Arial" w:eastAsiaTheme="minorHAnsi" w:hAnsi="Arial" w:cs="Arial"/>
      <w:b/>
      <w:bCs/>
      <w:sz w:val="26"/>
      <w:szCs w:val="26"/>
      <w:lang w:val="ru-RU" w:eastAsia="en-US"/>
    </w:rPr>
  </w:style>
  <w:style w:type="character" w:styleId="UnresolvedMention">
    <w:name w:val="Unresolved Mention"/>
    <w:basedOn w:val="DefaultParagraphFont"/>
    <w:uiPriority w:val="99"/>
    <w:semiHidden/>
    <w:unhideWhenUsed/>
    <w:rsid w:val="009A0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60045483">
      <w:bodyDiv w:val="1"/>
      <w:marLeft w:val="0"/>
      <w:marRight w:val="0"/>
      <w:marTop w:val="0"/>
      <w:marBottom w:val="0"/>
      <w:divBdr>
        <w:top w:val="none" w:sz="0" w:space="0" w:color="auto"/>
        <w:left w:val="none" w:sz="0" w:space="0" w:color="auto"/>
        <w:bottom w:val="none" w:sz="0" w:space="0" w:color="auto"/>
        <w:right w:val="none" w:sz="0" w:space="0" w:color="auto"/>
      </w:divBdr>
    </w:div>
    <w:div w:id="1340742410">
      <w:bodyDiv w:val="1"/>
      <w:marLeft w:val="0"/>
      <w:marRight w:val="0"/>
      <w:marTop w:val="0"/>
      <w:marBottom w:val="0"/>
      <w:divBdr>
        <w:top w:val="none" w:sz="0" w:space="0" w:color="auto"/>
        <w:left w:val="none" w:sz="0" w:space="0" w:color="auto"/>
        <w:bottom w:val="none" w:sz="0" w:space="0" w:color="auto"/>
        <w:right w:val="none" w:sz="0" w:space="0" w:color="auto"/>
      </w:divBdr>
    </w:div>
    <w:div w:id="1730613582">
      <w:bodyDiv w:val="1"/>
      <w:marLeft w:val="0"/>
      <w:marRight w:val="0"/>
      <w:marTop w:val="0"/>
      <w:marBottom w:val="0"/>
      <w:divBdr>
        <w:top w:val="none" w:sz="0" w:space="0" w:color="auto"/>
        <w:left w:val="none" w:sz="0" w:space="0" w:color="auto"/>
        <w:bottom w:val="none" w:sz="0" w:space="0" w:color="auto"/>
        <w:right w:val="none" w:sz="0" w:space="0" w:color="auto"/>
      </w:divBdr>
    </w:div>
    <w:div w:id="1747801573">
      <w:bodyDiv w:val="1"/>
      <w:marLeft w:val="0"/>
      <w:marRight w:val="0"/>
      <w:marTop w:val="0"/>
      <w:marBottom w:val="0"/>
      <w:divBdr>
        <w:top w:val="none" w:sz="0" w:space="0" w:color="auto"/>
        <w:left w:val="none" w:sz="0" w:space="0" w:color="auto"/>
        <w:bottom w:val="none" w:sz="0" w:space="0" w:color="auto"/>
        <w:right w:val="none" w:sz="0" w:space="0" w:color="auto"/>
      </w:divBdr>
    </w:div>
    <w:div w:id="187893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9/itc/ECE-TRANS-288add2r.pdf" TargetMode="External"/><Relationship Id="rId13" Type="http://schemas.openxmlformats.org/officeDocument/2006/relationships/hyperlink" Target="https://www.unece.org/trans/main/wp5/international_transport_infrastructure_observatory.html"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unece.org/trans/main/wp5/quantifying_transport_costs_for_landlocked-developing_countries.html" TargetMode="Externa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unece.org/trans/main/sc3/icc_resolution_40.htm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ce.org/trans/main/wp5/strengthening_security_on_inland_freight_routes.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nece.org/trans/main/sc3/bluebook_database.html"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hyperlink" Target="https://www.unece.org/fileadmin/DAM/trans/doc/2019/itc/ECE-TRANS-288r.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nece.org/fileadmin/DAM/trans/doc/2019/itc/ECE-TRANS-288add1r.pdf" TargetMode="External"/><Relationship Id="rId14" Type="http://schemas.openxmlformats.org/officeDocument/2006/relationships/hyperlink" Target="http://www.unece.org/trans/main/sc3/maps.html" TargetMode="External"/><Relationship Id="rId22" Type="http://schemas.openxmlformats.org/officeDocument/2006/relationships/footer" Target="footer3.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9501</Words>
  <Characters>54162</Characters>
  <Application>Microsoft Office Word</Application>
  <DocSecurity>4</DocSecurity>
  <Lines>451</Lines>
  <Paragraphs>127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ECE/TRANS/2020/19</vt:lpstr>
      <vt:lpstr>ECE/TRANS/2020/19</vt:lpstr>
      <vt:lpstr>A/</vt:lpstr>
    </vt:vector>
  </TitlesOfParts>
  <Company>DCM</Company>
  <LinksUpToDate>false</LinksUpToDate>
  <CharactersWithSpaces>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ECE/TRANS/2020/19</dc:title>
  <dc:subject/>
  <dc:creator>Anna BLAGODATSKIKH</dc:creator>
  <cp:keywords/>
  <cp:lastModifiedBy>Anastasia Barinova</cp:lastModifiedBy>
  <cp:revision>2</cp:revision>
  <cp:lastPrinted>2020-02-05T09:04:00Z</cp:lastPrinted>
  <dcterms:created xsi:type="dcterms:W3CDTF">2020-02-05T16:09:00Z</dcterms:created>
  <dcterms:modified xsi:type="dcterms:W3CDTF">2020-02-05T16:09:00Z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