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6081749F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7B8DA36" w14:textId="7F3EE73C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998040F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7E0A75D" w14:textId="7DEB90AA" w:rsidR="001433FD" w:rsidRPr="00DB58B5" w:rsidRDefault="00B3309A" w:rsidP="00B3309A">
            <w:pPr>
              <w:jc w:val="right"/>
            </w:pPr>
            <w:r w:rsidRPr="00B3309A">
              <w:rPr>
                <w:sz w:val="40"/>
              </w:rPr>
              <w:t>ECE</w:t>
            </w:r>
            <w:r>
              <w:t>/TRANS/WP.15/AC.2/2020/</w:t>
            </w:r>
            <w:r w:rsidR="00352090">
              <w:t>3</w:t>
            </w:r>
            <w:r w:rsidR="000842BA">
              <w:t>9</w:t>
            </w:r>
          </w:p>
        </w:tc>
      </w:tr>
      <w:tr w:rsidR="001433FD" w:rsidRPr="00DB58B5" w14:paraId="15D2886D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163EFCC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5CE3AF0" wp14:editId="03B7FC82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1F33E80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BB182B9" w14:textId="77777777" w:rsidR="0001207F" w:rsidRDefault="00B3309A" w:rsidP="00B3309A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63F0E552" w14:textId="541A4CF5" w:rsidR="00B3309A" w:rsidRDefault="00D1741D" w:rsidP="00B3309A">
            <w:pPr>
              <w:spacing w:line="240" w:lineRule="exact"/>
            </w:pPr>
            <w:r>
              <w:t xml:space="preserve">9 </w:t>
            </w:r>
            <w:r w:rsidR="000842BA">
              <w:t>juin</w:t>
            </w:r>
            <w:r w:rsidR="00CF2B4E">
              <w:t xml:space="preserve"> </w:t>
            </w:r>
            <w:r w:rsidR="00B3309A">
              <w:t>20</w:t>
            </w:r>
            <w:r w:rsidR="00733A99">
              <w:t>20</w:t>
            </w:r>
          </w:p>
          <w:p w14:paraId="2B9A6D35" w14:textId="22B4AB71" w:rsidR="00B3309A" w:rsidRDefault="00116C7D" w:rsidP="00B3309A">
            <w:pPr>
              <w:spacing w:line="240" w:lineRule="exact"/>
            </w:pPr>
            <w:r>
              <w:t>Français</w:t>
            </w:r>
          </w:p>
          <w:p w14:paraId="5E5C4BBD" w14:textId="78E47F67" w:rsidR="00B3309A" w:rsidRPr="00DB58B5" w:rsidRDefault="00B3309A" w:rsidP="00B3309A">
            <w:pPr>
              <w:spacing w:line="240" w:lineRule="exact"/>
            </w:pPr>
            <w:r>
              <w:t xml:space="preserve">Original : </w:t>
            </w:r>
            <w:r w:rsidR="00116C7D">
              <w:t xml:space="preserve">anglais et </w:t>
            </w:r>
            <w:r>
              <w:t>français</w:t>
            </w:r>
          </w:p>
        </w:tc>
      </w:tr>
    </w:tbl>
    <w:p w14:paraId="48C86D40" w14:textId="0B9093B6" w:rsidR="00996B54" w:rsidRDefault="00996B54" w:rsidP="00FD1581">
      <w:pPr>
        <w:spacing w:before="120"/>
        <w:rPr>
          <w:b/>
          <w:sz w:val="28"/>
          <w:szCs w:val="28"/>
        </w:rPr>
      </w:pPr>
      <w:r w:rsidRPr="00883605">
        <w:rPr>
          <w:b/>
          <w:sz w:val="28"/>
          <w:szCs w:val="28"/>
        </w:rPr>
        <w:t>Commission économique pour l</w:t>
      </w:r>
      <w:r w:rsidR="00B6085B">
        <w:rPr>
          <w:rFonts w:hint="eastAsia"/>
          <w:b/>
          <w:sz w:val="28"/>
          <w:szCs w:val="28"/>
        </w:rPr>
        <w:t>'</w:t>
      </w:r>
      <w:r w:rsidRPr="00883605">
        <w:rPr>
          <w:b/>
          <w:sz w:val="28"/>
          <w:szCs w:val="28"/>
        </w:rPr>
        <w:t>Europe</w:t>
      </w:r>
    </w:p>
    <w:p w14:paraId="4C141E2B" w14:textId="339AD400" w:rsidR="00996B54" w:rsidRDefault="00996B54" w:rsidP="0081170A">
      <w:pPr>
        <w:tabs>
          <w:tab w:val="left" w:pos="5691"/>
        </w:tabs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AD6435E" w14:textId="77777777" w:rsidR="00996B54" w:rsidRPr="009E01B8" w:rsidRDefault="00996B54" w:rsidP="00FD1581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14:paraId="48E34EA1" w14:textId="77777777" w:rsidR="00996B54" w:rsidRPr="004812F5" w:rsidRDefault="00996B54" w:rsidP="00FD1581">
      <w:pPr>
        <w:spacing w:before="120"/>
        <w:rPr>
          <w:b/>
        </w:rPr>
      </w:pPr>
      <w:r w:rsidRPr="004812F5">
        <w:rPr>
          <w:b/>
          <w:lang w:val="fr-FR"/>
        </w:rPr>
        <w:t>Réunion commune d</w:t>
      </w:r>
      <w:r w:rsidR="001D5D0E">
        <w:rPr>
          <w:b/>
          <w:lang w:val="fr-FR"/>
        </w:rPr>
        <w:t>’</w:t>
      </w:r>
      <w:r w:rsidRPr="004812F5">
        <w:rPr>
          <w:b/>
          <w:lang w:val="fr-FR"/>
        </w:rPr>
        <w:t>experts sur le Règlement annexé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>à l</w:t>
      </w:r>
      <w:r w:rsidR="00BE75AE">
        <w:rPr>
          <w:b/>
          <w:lang w:val="fr-FR"/>
        </w:rPr>
        <w:t>’</w:t>
      </w:r>
      <w:r w:rsidRPr="004812F5">
        <w:rPr>
          <w:b/>
          <w:lang w:val="fr-FR"/>
        </w:rPr>
        <w:t>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t xml:space="preserve"> 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</w:t>
      </w:r>
      <w:r w:rsidR="00BE75AE">
        <w:rPr>
          <w:b/>
          <w:bCs/>
          <w:lang w:val="fr-FR"/>
        </w:rPr>
        <w:t>’</w:t>
      </w:r>
      <w:r w:rsidRPr="004812F5">
        <w:rPr>
          <w:b/>
          <w:bCs/>
          <w:lang w:val="fr-FR"/>
        </w:rPr>
        <w:t>ADN)</w:t>
      </w:r>
    </w:p>
    <w:p w14:paraId="534C5C64" w14:textId="43DB2CC6" w:rsidR="00996B54" w:rsidRPr="00234E40" w:rsidRDefault="00996B54" w:rsidP="00FD1581">
      <w:pPr>
        <w:spacing w:before="120"/>
        <w:rPr>
          <w:b/>
        </w:rPr>
      </w:pPr>
      <w:r>
        <w:rPr>
          <w:b/>
        </w:rPr>
        <w:t>Trente-</w:t>
      </w:r>
      <w:r w:rsidR="00733A99">
        <w:rPr>
          <w:b/>
        </w:rPr>
        <w:t>septi</w:t>
      </w:r>
      <w:r>
        <w:rPr>
          <w:b/>
        </w:rPr>
        <w:t xml:space="preserve">ème </w:t>
      </w:r>
      <w:r w:rsidRPr="00234E40">
        <w:rPr>
          <w:b/>
        </w:rPr>
        <w:t>session</w:t>
      </w:r>
    </w:p>
    <w:p w14:paraId="3381435E" w14:textId="6F489325" w:rsidR="00996B54" w:rsidRDefault="00996B54" w:rsidP="00FD1581">
      <w:r>
        <w:t>Genève, 2</w:t>
      </w:r>
      <w:r w:rsidR="00733A99">
        <w:t>4</w:t>
      </w:r>
      <w:r>
        <w:t>-</w:t>
      </w:r>
      <w:r w:rsidR="00733A99">
        <w:t>28</w:t>
      </w:r>
      <w:r>
        <w:t xml:space="preserve"> </w:t>
      </w:r>
      <w:r w:rsidR="00733A99">
        <w:t>août</w:t>
      </w:r>
      <w:r w:rsidR="00BD650C">
        <w:t xml:space="preserve"> 2020</w:t>
      </w:r>
    </w:p>
    <w:p w14:paraId="01023B3A" w14:textId="4250C708" w:rsidR="00996B54" w:rsidRDefault="00996B54" w:rsidP="00FD1581">
      <w:r w:rsidRPr="00B93E72">
        <w:t xml:space="preserve">Point </w:t>
      </w:r>
      <w:r w:rsidR="000842BA">
        <w:t>4</w:t>
      </w:r>
      <w:r w:rsidR="00BD650C" w:rsidRPr="00026AA3">
        <w:t xml:space="preserve"> </w:t>
      </w:r>
      <w:r w:rsidR="000842BA">
        <w:t>b</w:t>
      </w:r>
      <w:r w:rsidR="00BD650C" w:rsidRPr="00026AA3">
        <w:t>)</w:t>
      </w:r>
      <w:r>
        <w:t xml:space="preserve"> </w:t>
      </w:r>
      <w:r w:rsidRPr="00B93E72">
        <w:t>de l</w:t>
      </w:r>
      <w:r w:rsidR="00BE75AE">
        <w:t>’</w:t>
      </w:r>
      <w:r w:rsidRPr="00B93E72">
        <w:t>ordre du jour provisoire</w:t>
      </w:r>
    </w:p>
    <w:p w14:paraId="0820BD96" w14:textId="77777777" w:rsidR="000842BA" w:rsidRPr="000842BA" w:rsidRDefault="000842BA" w:rsidP="000842BA">
      <w:pPr>
        <w:rPr>
          <w:b/>
          <w:bCs/>
          <w:lang w:val="fr-FR"/>
        </w:rPr>
      </w:pPr>
      <w:r w:rsidRPr="000842BA">
        <w:rPr>
          <w:b/>
          <w:bCs/>
          <w:lang w:val="fr-FR"/>
        </w:rPr>
        <w:t>Propositions d’amendements au Règlement annexé à l’ADN :</w:t>
      </w:r>
    </w:p>
    <w:p w14:paraId="4DA6DDE3" w14:textId="6B15C6C8" w:rsidR="00C1626B" w:rsidRDefault="000842BA" w:rsidP="000842BA">
      <w:pPr>
        <w:rPr>
          <w:b/>
          <w:bCs/>
        </w:rPr>
      </w:pPr>
      <w:proofErr w:type="gramStart"/>
      <w:r w:rsidRPr="000842BA">
        <w:rPr>
          <w:b/>
          <w:bCs/>
          <w:lang w:val="fr-FR"/>
        </w:rPr>
        <w:t>autres</w:t>
      </w:r>
      <w:proofErr w:type="gramEnd"/>
      <w:r w:rsidRPr="000842BA">
        <w:rPr>
          <w:b/>
          <w:bCs/>
          <w:lang w:val="fr-FR"/>
        </w:rPr>
        <w:t xml:space="preserve"> propositions</w:t>
      </w:r>
    </w:p>
    <w:p w14:paraId="159B21B0" w14:textId="6027D25F" w:rsidR="00BD650C" w:rsidRPr="00F262D2" w:rsidRDefault="00BD650C" w:rsidP="000842BA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0842BA" w:rsidRPr="000842BA">
        <w:rPr>
          <w:bCs/>
          <w:lang w:val="fr-FR"/>
        </w:rPr>
        <w:t>Proposition de correction à la définition de « Citerne à membrane »</w:t>
      </w:r>
    </w:p>
    <w:p w14:paraId="7B68222B" w14:textId="40CA2780" w:rsidR="00BD650C" w:rsidRPr="00F262D2" w:rsidRDefault="00BD650C" w:rsidP="0081170A">
      <w:pPr>
        <w:pStyle w:val="H1G"/>
        <w:rPr>
          <w:snapToGrid w:val="0"/>
          <w:vertAlign w:val="superscript"/>
          <w:lang w:val="fr-FR"/>
        </w:rPr>
      </w:pP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 w:rsidR="003F7675" w:rsidRPr="003F7675">
        <w:rPr>
          <w:snapToGrid w:val="0"/>
          <w:lang w:val="fr-FR"/>
        </w:rPr>
        <w:t xml:space="preserve">Communication du Gouvernement de </w:t>
      </w:r>
      <w:r w:rsidR="00AE3AD4">
        <w:rPr>
          <w:snapToGrid w:val="0"/>
          <w:lang w:val="fr-FR"/>
        </w:rPr>
        <w:t>la France</w:t>
      </w:r>
      <w:r w:rsidR="003F7675" w:rsidRPr="003F7675">
        <w:rPr>
          <w:snapToGrid w:val="0"/>
        </w:rPr>
        <w:t xml:space="preserve"> </w:t>
      </w:r>
      <w:r w:rsidRPr="00946636">
        <w:rPr>
          <w:rStyle w:val="FootnoteReference"/>
          <w:snapToGrid w:val="0"/>
          <w:sz w:val="20"/>
        </w:rPr>
        <w:footnoteReference w:customMarkFollows="1" w:id="2"/>
        <w:t>*</w:t>
      </w:r>
      <w:r w:rsidRPr="00946636">
        <w:rPr>
          <w:snapToGrid w:val="0"/>
          <w:sz w:val="20"/>
          <w:vertAlign w:val="superscript"/>
        </w:rPr>
        <w:t>,</w:t>
      </w:r>
      <w:r w:rsidR="00C60354" w:rsidRPr="00946636">
        <w:rPr>
          <w:rStyle w:val="FootnoteReference"/>
          <w:snapToGrid w:val="0"/>
          <w:sz w:val="20"/>
        </w:rPr>
        <w:footnoteReference w:customMarkFollows="1" w:id="3"/>
        <w:t>**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AE3AD4" w14:paraId="470A0EF3" w14:textId="77777777" w:rsidTr="00DB4002">
        <w:trPr>
          <w:jc w:val="center"/>
        </w:trPr>
        <w:tc>
          <w:tcPr>
            <w:tcW w:w="9628" w:type="dxa"/>
            <w:shd w:val="clear" w:color="auto" w:fill="auto"/>
          </w:tcPr>
          <w:p w14:paraId="14DB95AF" w14:textId="77777777" w:rsidR="00AE3AD4" w:rsidRPr="00C6263E" w:rsidRDefault="00AE3AD4" w:rsidP="006E5E26">
            <w:pPr>
              <w:spacing w:before="240" w:after="120"/>
              <w:ind w:left="255"/>
              <w:rPr>
                <w:i/>
                <w:sz w:val="24"/>
              </w:rPr>
            </w:pPr>
            <w:r w:rsidRPr="00C6263E">
              <w:rPr>
                <w:i/>
                <w:sz w:val="24"/>
              </w:rPr>
              <w:t xml:space="preserve">Résumé </w:t>
            </w:r>
          </w:p>
        </w:tc>
      </w:tr>
      <w:tr w:rsidR="00AE3AD4" w14:paraId="711924C4" w14:textId="77777777" w:rsidTr="00DB4002">
        <w:trPr>
          <w:jc w:val="center"/>
        </w:trPr>
        <w:tc>
          <w:tcPr>
            <w:tcW w:w="9628" w:type="dxa"/>
            <w:shd w:val="clear" w:color="auto" w:fill="auto"/>
          </w:tcPr>
          <w:p w14:paraId="58E6B226" w14:textId="20B93C5A" w:rsidR="00AE3AD4" w:rsidRDefault="00AE3AD4" w:rsidP="00233459">
            <w:pPr>
              <w:pStyle w:val="SingleTxtG"/>
              <w:ind w:left="2835" w:hanging="2551"/>
            </w:pPr>
            <w:r w:rsidRPr="00AE3AD4">
              <w:rPr>
                <w:b/>
                <w:bCs/>
              </w:rPr>
              <w:t>Résumé analytique :</w:t>
            </w:r>
            <w:r>
              <w:tab/>
            </w:r>
            <w:r w:rsidR="00233459" w:rsidRPr="00233459">
              <w:rPr>
                <w:lang w:val="fr-FR"/>
              </w:rPr>
              <w:t>La France souhaite apporter une correction éditoriale mineure à la définition de « Citerne à membrane » dans la version française des amendements au Règlement annexé à l’ADN entrant en vigueur le 1er janvier 2021</w:t>
            </w:r>
          </w:p>
          <w:p w14:paraId="254D4395" w14:textId="49506D06" w:rsidR="00AE3AD4" w:rsidRDefault="00AE3AD4" w:rsidP="00AE3AD4">
            <w:pPr>
              <w:pStyle w:val="SingleTxtG"/>
              <w:ind w:left="2835" w:hanging="2551"/>
            </w:pPr>
            <w:r w:rsidRPr="00AE3AD4">
              <w:rPr>
                <w:b/>
                <w:bCs/>
              </w:rPr>
              <w:t>Mesure à prendre :</w:t>
            </w:r>
            <w:r>
              <w:tab/>
              <w:t xml:space="preserve">Voir paragraphe </w:t>
            </w:r>
            <w:r w:rsidR="00685132">
              <w:t>8</w:t>
            </w:r>
          </w:p>
          <w:p w14:paraId="462B1D3D" w14:textId="77777777" w:rsidR="00233459" w:rsidRPr="00233459" w:rsidRDefault="00AE3AD4" w:rsidP="00233459">
            <w:pPr>
              <w:pStyle w:val="SingleTxtG"/>
              <w:spacing w:after="0"/>
              <w:ind w:left="2836" w:hanging="2552"/>
              <w:rPr>
                <w:lang w:val="fr-FR"/>
              </w:rPr>
            </w:pPr>
            <w:r w:rsidRPr="00AE3AD4">
              <w:rPr>
                <w:b/>
                <w:bCs/>
              </w:rPr>
              <w:t>Documents de référence :</w:t>
            </w:r>
            <w:r>
              <w:tab/>
            </w:r>
            <w:r w:rsidR="00233459" w:rsidRPr="00233459">
              <w:rPr>
                <w:lang w:val="fr-FR"/>
              </w:rPr>
              <w:t>ECE/TRANS/WP.15/AC.2/2020/11 (en anglais et en français)</w:t>
            </w:r>
          </w:p>
          <w:p w14:paraId="67EC58D7" w14:textId="0BBBF5D8" w:rsidR="00AE3AD4" w:rsidRDefault="00233459" w:rsidP="00233459">
            <w:pPr>
              <w:pStyle w:val="SingleTxtG"/>
              <w:ind w:left="2835" w:hanging="2551"/>
            </w:pPr>
            <w:r>
              <w:rPr>
                <w:lang w:val="fr-FR"/>
              </w:rPr>
              <w:tab/>
            </w:r>
            <w:r w:rsidRPr="00233459">
              <w:rPr>
                <w:lang w:val="fr-FR"/>
              </w:rPr>
              <w:t>ECE/TRANS/WP.15/AC.2/74/Add.1 (en anglais et en français)</w:t>
            </w:r>
          </w:p>
        </w:tc>
      </w:tr>
      <w:tr w:rsidR="00AE3AD4" w14:paraId="7ADB1ABC" w14:textId="77777777" w:rsidTr="00DB4002">
        <w:trPr>
          <w:jc w:val="center"/>
        </w:trPr>
        <w:tc>
          <w:tcPr>
            <w:tcW w:w="9628" w:type="dxa"/>
            <w:shd w:val="clear" w:color="auto" w:fill="auto"/>
          </w:tcPr>
          <w:p w14:paraId="6CA46C49" w14:textId="77777777" w:rsidR="00AE3AD4" w:rsidRDefault="00AE3AD4" w:rsidP="006E5E26"/>
        </w:tc>
      </w:tr>
    </w:tbl>
    <w:p w14:paraId="5789B352" w14:textId="47C3860D" w:rsidR="00F92D18" w:rsidRPr="00F92D18" w:rsidRDefault="00F92D18" w:rsidP="00233459">
      <w:pPr>
        <w:pStyle w:val="HChG"/>
      </w:pPr>
      <w:r>
        <w:tab/>
      </w:r>
      <w:r>
        <w:tab/>
      </w:r>
      <w:r w:rsidR="00233459" w:rsidRPr="00233459">
        <w:rPr>
          <w:lang w:val="fr-FR"/>
        </w:rPr>
        <w:t>Introduction</w:t>
      </w:r>
    </w:p>
    <w:p w14:paraId="703FECA5" w14:textId="03AEF703" w:rsidR="00233459" w:rsidRPr="00233459" w:rsidRDefault="00233459" w:rsidP="00233459">
      <w:pPr>
        <w:pStyle w:val="SingleTxtG"/>
      </w:pPr>
      <w:r>
        <w:t>1.</w:t>
      </w:r>
      <w:r>
        <w:tab/>
      </w:r>
      <w:r w:rsidRPr="00233459">
        <w:t>Lorsqu’on examine la version anglaise des documents de référence, la définition d’une « Citerne à membrane » est la suivante, telle qu’elle résulte des travaux du groupe de travail informel, qui se sont déroulés en anglais :</w:t>
      </w:r>
    </w:p>
    <w:p w14:paraId="5F6665F5" w14:textId="77777777" w:rsidR="00233459" w:rsidRPr="00233459" w:rsidRDefault="00233459" w:rsidP="00233459">
      <w:pPr>
        <w:pStyle w:val="SingleTxtG"/>
      </w:pPr>
      <w:r w:rsidRPr="00233459">
        <w:lastRenderedPageBreak/>
        <w:t>“</w:t>
      </w:r>
      <w:r w:rsidRPr="00233459">
        <w:rPr>
          <w:i/>
          <w:iCs/>
        </w:rPr>
        <w:t>Membrane tank</w:t>
      </w:r>
      <w:r w:rsidRPr="00233459">
        <w:t xml:space="preserve"> </w:t>
      </w:r>
      <w:proofErr w:type="spellStart"/>
      <w:r w:rsidRPr="00233459">
        <w:t>means</w:t>
      </w:r>
      <w:proofErr w:type="spellEnd"/>
      <w:r w:rsidRPr="00233459">
        <w:t xml:space="preserve"> a cargo tank </w:t>
      </w:r>
      <w:proofErr w:type="spellStart"/>
      <w:r w:rsidRPr="00233459">
        <w:t>which</w:t>
      </w:r>
      <w:proofErr w:type="spellEnd"/>
      <w:r w:rsidRPr="00233459">
        <w:t xml:space="preserve"> </w:t>
      </w:r>
      <w:proofErr w:type="spellStart"/>
      <w:r w:rsidRPr="00233459">
        <w:t>consists</w:t>
      </w:r>
      <w:proofErr w:type="spellEnd"/>
      <w:r w:rsidRPr="00233459">
        <w:t xml:space="preserve"> of a </w:t>
      </w:r>
      <w:proofErr w:type="spellStart"/>
      <w:r w:rsidRPr="00233459">
        <w:t>thin</w:t>
      </w:r>
      <w:proofErr w:type="spellEnd"/>
      <w:r w:rsidRPr="00233459">
        <w:t xml:space="preserve"> </w:t>
      </w:r>
      <w:proofErr w:type="spellStart"/>
      <w:r w:rsidRPr="00233459">
        <w:t>liquid-tight</w:t>
      </w:r>
      <w:proofErr w:type="spellEnd"/>
      <w:r w:rsidRPr="00233459">
        <w:t xml:space="preserve"> and </w:t>
      </w:r>
      <w:proofErr w:type="spellStart"/>
      <w:r w:rsidRPr="00233459">
        <w:t>gastight</w:t>
      </w:r>
      <w:proofErr w:type="spellEnd"/>
      <w:r w:rsidRPr="00233459">
        <w:t xml:space="preserve"> layer (membrane) and insulation </w:t>
      </w:r>
      <w:proofErr w:type="spellStart"/>
      <w:r w:rsidRPr="00233459">
        <w:t>supported</w:t>
      </w:r>
      <w:proofErr w:type="spellEnd"/>
      <w:r w:rsidRPr="00233459">
        <w:t xml:space="preserve"> by the adjacent </w:t>
      </w:r>
      <w:proofErr w:type="spellStart"/>
      <w:r w:rsidRPr="00233459">
        <w:t>inner</w:t>
      </w:r>
      <w:proofErr w:type="spellEnd"/>
      <w:r w:rsidRPr="00233459">
        <w:t xml:space="preserve"> </w:t>
      </w:r>
      <w:proofErr w:type="spellStart"/>
      <w:r w:rsidRPr="00233459">
        <w:t>hull</w:t>
      </w:r>
      <w:proofErr w:type="spellEnd"/>
      <w:r w:rsidRPr="00233459">
        <w:t xml:space="preserve"> and </w:t>
      </w:r>
      <w:proofErr w:type="spellStart"/>
      <w:r w:rsidRPr="00233459">
        <w:t>inner</w:t>
      </w:r>
      <w:proofErr w:type="spellEnd"/>
      <w:r w:rsidRPr="00233459">
        <w:t xml:space="preserve"> </w:t>
      </w:r>
      <w:proofErr w:type="spellStart"/>
      <w:r w:rsidRPr="00233459">
        <w:t>bottom</w:t>
      </w:r>
      <w:proofErr w:type="spellEnd"/>
      <w:r w:rsidRPr="00233459">
        <w:t xml:space="preserve"> structure of a </w:t>
      </w:r>
      <w:proofErr w:type="spellStart"/>
      <w:r w:rsidRPr="00233459">
        <w:t>double</w:t>
      </w:r>
      <w:proofErr w:type="spellEnd"/>
      <w:r w:rsidRPr="00233459">
        <w:t xml:space="preserve"> </w:t>
      </w:r>
      <w:proofErr w:type="spellStart"/>
      <w:r w:rsidRPr="00233459">
        <w:t>hull</w:t>
      </w:r>
      <w:proofErr w:type="spellEnd"/>
      <w:r w:rsidRPr="00233459">
        <w:t xml:space="preserve"> </w:t>
      </w:r>
      <w:proofErr w:type="spellStart"/>
      <w:r w:rsidRPr="00233459">
        <w:t>vessel</w:t>
      </w:r>
      <w:proofErr w:type="spellEnd"/>
      <w:r w:rsidRPr="00233459">
        <w:t>.”</w:t>
      </w:r>
    </w:p>
    <w:p w14:paraId="7662571F" w14:textId="3564F430" w:rsidR="00233459" w:rsidRPr="00233459" w:rsidRDefault="00D230B4" w:rsidP="00233459">
      <w:pPr>
        <w:pStyle w:val="SingleTxtG"/>
      </w:pPr>
      <w:r>
        <w:t>2.</w:t>
      </w:r>
      <w:r>
        <w:tab/>
      </w:r>
      <w:r w:rsidR="00233459" w:rsidRPr="00233459">
        <w:t>Dans cette définition, le mot « adjacent » s’applique à la fois à la partie intérieure de la double-coque et à la partie intérieure du double-fond.</w:t>
      </w:r>
    </w:p>
    <w:p w14:paraId="35B5286A" w14:textId="670DCA03" w:rsidR="00233459" w:rsidRPr="00233459" w:rsidRDefault="00D230B4" w:rsidP="00233459">
      <w:pPr>
        <w:pStyle w:val="SingleTxtG"/>
      </w:pPr>
      <w:r>
        <w:t>3.</w:t>
      </w:r>
      <w:r>
        <w:tab/>
      </w:r>
      <w:r w:rsidR="00233459" w:rsidRPr="00233459">
        <w:t>Cette définition est complétée, en totale cohérence, par le dessin qui est ajouté dans la section « Schémas » :</w:t>
      </w:r>
    </w:p>
    <w:p w14:paraId="7A03FE9E" w14:textId="77777777" w:rsidR="00233459" w:rsidRPr="00233459" w:rsidRDefault="00233459" w:rsidP="00DA0166">
      <w:pPr>
        <w:pStyle w:val="SingleTxtG"/>
        <w:rPr>
          <w:lang w:eastAsia="ja-JP"/>
        </w:rPr>
      </w:pPr>
      <w:r w:rsidRPr="00233459">
        <w:rPr>
          <w:lang w:eastAsia="ja-JP"/>
        </w:rPr>
        <w:t>“</w:t>
      </w:r>
    </w:p>
    <w:p w14:paraId="064BDB07" w14:textId="77777777" w:rsidR="00233459" w:rsidRPr="00233459" w:rsidRDefault="00233459" w:rsidP="00233459">
      <w:pPr>
        <w:tabs>
          <w:tab w:val="left" w:pos="1701"/>
        </w:tabs>
        <w:kinsoku/>
        <w:overflowPunct/>
        <w:autoSpaceDE/>
        <w:autoSpaceDN/>
        <w:adjustRightInd/>
        <w:snapToGrid/>
        <w:ind w:left="1690" w:right="1134"/>
        <w:jc w:val="both"/>
        <w:rPr>
          <w:rFonts w:eastAsia="Times New Roman"/>
          <w:lang w:eastAsia="ja-JP"/>
        </w:rPr>
      </w:pPr>
      <w:r w:rsidRPr="00233459">
        <w:rPr>
          <w:rFonts w:eastAsia="Times New Roman"/>
          <w:noProof/>
          <w:lang w:val="fr-FR" w:eastAsia="fr-FR"/>
        </w:rPr>
        <w:drawing>
          <wp:inline distT="0" distB="0" distL="0" distR="0" wp14:anchorId="0066F4FF" wp14:editId="08D1849A">
            <wp:extent cx="2529840" cy="1030605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1E571D" w14:textId="77777777" w:rsidR="00233459" w:rsidRPr="00233459" w:rsidRDefault="00233459" w:rsidP="00233459">
      <w:pPr>
        <w:kinsoku/>
        <w:overflowPunct/>
        <w:autoSpaceDE/>
        <w:autoSpaceDN/>
        <w:adjustRightInd/>
        <w:snapToGrid/>
        <w:spacing w:line="276" w:lineRule="auto"/>
        <w:ind w:left="1701" w:right="567" w:firstLine="567"/>
        <w:jc w:val="both"/>
        <w:rPr>
          <w:rFonts w:eastAsia="Times New Roman"/>
          <w:lang w:val="en-GB" w:eastAsia="en-US"/>
        </w:rPr>
      </w:pPr>
      <w:r w:rsidRPr="00233459">
        <w:rPr>
          <w:rFonts w:eastAsia="Times New Roman"/>
          <w:lang w:val="en-GB" w:eastAsia="en-US"/>
        </w:rPr>
        <w:t>Type G</w:t>
      </w:r>
      <w:r w:rsidRPr="00233459">
        <w:rPr>
          <w:rFonts w:eastAsia="Times New Roman"/>
          <w:lang w:val="en-GB" w:eastAsia="en-US"/>
        </w:rPr>
        <w:tab/>
        <w:t>Cargo tanks design 2</w:t>
      </w:r>
    </w:p>
    <w:p w14:paraId="5200B685" w14:textId="77777777" w:rsidR="00233459" w:rsidRPr="00233459" w:rsidRDefault="00233459" w:rsidP="00233459">
      <w:pPr>
        <w:kinsoku/>
        <w:overflowPunct/>
        <w:autoSpaceDE/>
        <w:autoSpaceDN/>
        <w:adjustRightInd/>
        <w:snapToGrid/>
        <w:spacing w:after="120"/>
        <w:ind w:left="1710" w:right="1134"/>
        <w:jc w:val="both"/>
        <w:rPr>
          <w:rFonts w:eastAsia="Times New Roman"/>
          <w:lang w:val="fr-FR" w:eastAsia="en-US"/>
        </w:rPr>
      </w:pPr>
      <w:r w:rsidRPr="00233459">
        <w:rPr>
          <w:rFonts w:eastAsia="Times New Roman"/>
          <w:lang w:val="en-GB" w:eastAsia="en-US"/>
        </w:rPr>
        <w:tab/>
      </w:r>
      <w:r w:rsidRPr="00233459">
        <w:rPr>
          <w:rFonts w:eastAsia="Times New Roman"/>
          <w:lang w:val="en-GB" w:eastAsia="en-US"/>
        </w:rPr>
        <w:tab/>
      </w:r>
      <w:r w:rsidRPr="00233459">
        <w:rPr>
          <w:rFonts w:eastAsia="Times New Roman"/>
          <w:lang w:val="en-GB" w:eastAsia="en-US"/>
        </w:rPr>
        <w:tab/>
      </w:r>
      <w:r w:rsidRPr="00233459">
        <w:rPr>
          <w:rFonts w:eastAsia="Times New Roman"/>
          <w:lang w:eastAsia="en-US"/>
        </w:rPr>
        <w:t>Type of cargo tank 4”.</w:t>
      </w:r>
    </w:p>
    <w:p w14:paraId="194F6BF9" w14:textId="4B92DCAE" w:rsidR="00DA0166" w:rsidRDefault="00DA0166" w:rsidP="00DA0166">
      <w:pPr>
        <w:pStyle w:val="HChG"/>
      </w:pPr>
      <w:r>
        <w:tab/>
      </w:r>
      <w:r>
        <w:tab/>
        <w:t>Nécessité de corriger la version Française</w:t>
      </w:r>
    </w:p>
    <w:p w14:paraId="141C5EB1" w14:textId="50F31A93" w:rsidR="00233459" w:rsidRDefault="00233459" w:rsidP="00233459">
      <w:pPr>
        <w:pStyle w:val="SingleTxtG"/>
      </w:pPr>
      <w:r>
        <w:t>4.</w:t>
      </w:r>
      <w:r>
        <w:tab/>
        <w:t>Dans la version française des documents de référence, avec le même amendement à la section “Schémas”, la d</w:t>
      </w:r>
      <w:bookmarkStart w:id="0" w:name="_GoBack"/>
      <w:bookmarkEnd w:id="0"/>
      <w:r>
        <w:t>éfinition d’une « Citerne à membrane » est la suivante :</w:t>
      </w:r>
    </w:p>
    <w:p w14:paraId="1F69592F" w14:textId="77777777" w:rsidR="00233459" w:rsidRDefault="00233459" w:rsidP="00233459">
      <w:pPr>
        <w:pStyle w:val="SingleTxtG"/>
      </w:pPr>
      <w:r>
        <w:t xml:space="preserve">« </w:t>
      </w:r>
      <w:r w:rsidRPr="00233459">
        <w:rPr>
          <w:i/>
          <w:iCs/>
        </w:rPr>
        <w:t>Citerne à membrane</w:t>
      </w:r>
      <w:r>
        <w:t xml:space="preserve"> : Une citerne à cargaison constituée d’une mince couche (membrane) étanche aux liquides et aux gaz et d’une isolation supportée par la coque intérieure adjacente et la structure de fond intérieure d’un bateau à double-coque. ».</w:t>
      </w:r>
    </w:p>
    <w:p w14:paraId="278F3259" w14:textId="77777777" w:rsidR="00233459" w:rsidRDefault="00233459" w:rsidP="00233459">
      <w:pPr>
        <w:pStyle w:val="SingleTxtG"/>
      </w:pPr>
      <w:r>
        <w:t>5.</w:t>
      </w:r>
      <w:r>
        <w:tab/>
        <w:t>Dans cette version, le mot “adjacente” s’applique uniquement à la partie intérieure de la double-coque et ne s’applique pas à la partie intérieure du double-fond.</w:t>
      </w:r>
    </w:p>
    <w:p w14:paraId="3B8B44BE" w14:textId="77777777" w:rsidR="00233459" w:rsidRDefault="00233459" w:rsidP="00233459">
      <w:pPr>
        <w:pStyle w:val="SingleTxtG"/>
      </w:pPr>
      <w:r>
        <w:t>6.</w:t>
      </w:r>
      <w:r>
        <w:tab/>
        <w:t>C’est la raison pour laquelle, il serait nécessaire de corriger la version française de la définition comme suit :</w:t>
      </w:r>
    </w:p>
    <w:p w14:paraId="68D900A4" w14:textId="77777777" w:rsidR="00233459" w:rsidRDefault="00233459" w:rsidP="00233459">
      <w:pPr>
        <w:pStyle w:val="SingleTxtG"/>
      </w:pPr>
      <w:r>
        <w:t xml:space="preserve">« </w:t>
      </w:r>
      <w:r w:rsidRPr="00233459">
        <w:rPr>
          <w:i/>
          <w:iCs/>
        </w:rPr>
        <w:t>Citerne à membrane</w:t>
      </w:r>
      <w:r>
        <w:t xml:space="preserve"> : Une citerne à cargaison constituée d’une mince couche (membrane) étanche aux liquides et aux gaz et d’une isolation supportée par la coque intérieure adjacente et la structure de fond intérieure </w:t>
      </w:r>
      <w:r w:rsidRPr="00233459">
        <w:rPr>
          <w:b/>
          <w:bCs/>
        </w:rPr>
        <w:t>adjacente</w:t>
      </w:r>
      <w:r>
        <w:t xml:space="preserve"> d’un bateau à double coque. ».</w:t>
      </w:r>
    </w:p>
    <w:p w14:paraId="67FA88B0" w14:textId="3C090C31" w:rsidR="00233459" w:rsidRDefault="00233459" w:rsidP="00233459">
      <w:pPr>
        <w:pStyle w:val="HChG"/>
      </w:pPr>
      <w:r>
        <w:tab/>
      </w:r>
      <w:r>
        <w:tab/>
      </w:r>
      <w:r>
        <w:t>Suites à donner</w:t>
      </w:r>
    </w:p>
    <w:p w14:paraId="115AC479" w14:textId="69C14AF5" w:rsidR="00233459" w:rsidRDefault="00233459" w:rsidP="00233459">
      <w:pPr>
        <w:pStyle w:val="SingleTxtG"/>
      </w:pPr>
      <w:r>
        <w:t>7.</w:t>
      </w:r>
      <w:r>
        <w:tab/>
        <w:t>Le but d’une telle correction est de rendre cohérente la définition dans les deux versions linguistiques, l’anglais (qui a été la langue de travail du groupe de travail informel) et le français, sans que cette correction ne revête de conséquence de fond.</w:t>
      </w:r>
    </w:p>
    <w:p w14:paraId="58B123A9" w14:textId="62300516" w:rsidR="00F92D18" w:rsidRPr="00F92D18" w:rsidRDefault="00233459" w:rsidP="00233459">
      <w:pPr>
        <w:pStyle w:val="SingleTxtG"/>
      </w:pPr>
      <w:r>
        <w:t>8.</w:t>
      </w:r>
      <w:r>
        <w:tab/>
        <w:t>Le Comité de Sécurité et le Secrétariat sont invités à prendre connaissance de la proposition figurant au paragraphe 6 ci-dessus et à lui donner les suites qu’il jugera appropriées.</w:t>
      </w:r>
    </w:p>
    <w:p w14:paraId="6A6D1512" w14:textId="77777777" w:rsidR="00BD650C" w:rsidRPr="00C60354" w:rsidRDefault="00C60354" w:rsidP="00C6035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D650C" w:rsidRPr="00C60354" w:rsidSect="00733A9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1A3AD" w14:textId="77777777" w:rsidR="00B3309A" w:rsidRDefault="00B3309A" w:rsidP="00F95C08">
      <w:pPr>
        <w:spacing w:line="240" w:lineRule="auto"/>
      </w:pPr>
    </w:p>
  </w:endnote>
  <w:endnote w:type="continuationSeparator" w:id="0">
    <w:p w14:paraId="605DFEAC" w14:textId="77777777" w:rsidR="00B3309A" w:rsidRPr="00AC3823" w:rsidRDefault="00B3309A" w:rsidP="00AC3823">
      <w:pPr>
        <w:pStyle w:val="Footer"/>
      </w:pPr>
    </w:p>
  </w:endnote>
  <w:endnote w:type="continuationNotice" w:id="1">
    <w:p w14:paraId="48B772D7" w14:textId="77777777" w:rsidR="00B3309A" w:rsidRDefault="00B3309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1A9B9" w14:textId="77777777" w:rsidR="00B3309A" w:rsidRPr="00B3309A" w:rsidRDefault="00B3309A" w:rsidP="00B3309A">
    <w:pPr>
      <w:pStyle w:val="Footer"/>
      <w:tabs>
        <w:tab w:val="right" w:pos="9638"/>
      </w:tabs>
      <w:rPr>
        <w:sz w:val="18"/>
      </w:rPr>
    </w:pPr>
    <w:r w:rsidRPr="00B3309A">
      <w:rPr>
        <w:b/>
        <w:sz w:val="18"/>
      </w:rPr>
      <w:fldChar w:fldCharType="begin"/>
    </w:r>
    <w:r w:rsidRPr="00B3309A">
      <w:rPr>
        <w:b/>
        <w:sz w:val="18"/>
      </w:rPr>
      <w:instrText xml:space="preserve"> PAGE  \* MERGEFORMAT </w:instrText>
    </w:r>
    <w:r w:rsidRPr="00B3309A">
      <w:rPr>
        <w:b/>
        <w:sz w:val="18"/>
      </w:rPr>
      <w:fldChar w:fldCharType="separate"/>
    </w:r>
    <w:r w:rsidRPr="00B3309A">
      <w:rPr>
        <w:b/>
        <w:noProof/>
        <w:sz w:val="18"/>
      </w:rPr>
      <w:t>2</w:t>
    </w:r>
    <w:r w:rsidRPr="00B3309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2BE41" w14:textId="77777777" w:rsidR="00B3309A" w:rsidRPr="00B3309A" w:rsidRDefault="00B3309A" w:rsidP="00B3309A">
    <w:pPr>
      <w:pStyle w:val="Footer"/>
      <w:tabs>
        <w:tab w:val="right" w:pos="9638"/>
      </w:tabs>
      <w:rPr>
        <w:b/>
        <w:sz w:val="18"/>
      </w:rPr>
    </w:pPr>
    <w:r>
      <w:tab/>
    </w:r>
    <w:r w:rsidRPr="00B3309A">
      <w:rPr>
        <w:b/>
        <w:sz w:val="18"/>
      </w:rPr>
      <w:fldChar w:fldCharType="begin"/>
    </w:r>
    <w:r w:rsidRPr="00B3309A">
      <w:rPr>
        <w:b/>
        <w:sz w:val="18"/>
      </w:rPr>
      <w:instrText xml:space="preserve"> PAGE  \* MERGEFORMAT </w:instrText>
    </w:r>
    <w:r w:rsidRPr="00B3309A">
      <w:rPr>
        <w:b/>
        <w:sz w:val="18"/>
      </w:rPr>
      <w:fldChar w:fldCharType="separate"/>
    </w:r>
    <w:r w:rsidRPr="00B3309A">
      <w:rPr>
        <w:b/>
        <w:noProof/>
        <w:sz w:val="18"/>
      </w:rPr>
      <w:t>3</w:t>
    </w:r>
    <w:r w:rsidRPr="00B3309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4E4A6" w14:textId="77777777" w:rsidR="000D3EE9" w:rsidRPr="00B3309A" w:rsidRDefault="000D3EE9" w:rsidP="0001207F">
    <w:pPr>
      <w:pStyle w:val="Footer"/>
      <w:spacing w:before="1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27B10" w14:textId="77777777" w:rsidR="00B3309A" w:rsidRPr="00AC3823" w:rsidRDefault="00B3309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316D227" w14:textId="77777777" w:rsidR="00B3309A" w:rsidRPr="00AC3823" w:rsidRDefault="00B3309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61CC53F" w14:textId="77777777" w:rsidR="00B3309A" w:rsidRPr="00AC3823" w:rsidRDefault="00B3309A">
      <w:pPr>
        <w:spacing w:line="240" w:lineRule="auto"/>
        <w:rPr>
          <w:sz w:val="2"/>
          <w:szCs w:val="2"/>
        </w:rPr>
      </w:pPr>
    </w:p>
  </w:footnote>
  <w:footnote w:id="2">
    <w:p w14:paraId="37347FD4" w14:textId="6096B77A" w:rsidR="00BD650C" w:rsidRPr="00BD650C" w:rsidRDefault="00BD650C">
      <w:pPr>
        <w:pStyle w:val="FootnoteText"/>
      </w:pPr>
      <w:r>
        <w:rPr>
          <w:rStyle w:val="FootnoteReference"/>
        </w:rPr>
        <w:tab/>
      </w:r>
      <w:r w:rsidRPr="00C60354">
        <w:rPr>
          <w:rStyle w:val="FootnoteReference"/>
          <w:sz w:val="20"/>
        </w:rPr>
        <w:t>*</w:t>
      </w:r>
      <w:r>
        <w:rPr>
          <w:rStyle w:val="FootnoteReference"/>
          <w:sz w:val="20"/>
          <w:vertAlign w:val="baseline"/>
        </w:rPr>
        <w:tab/>
      </w:r>
      <w:r w:rsidRPr="00904815">
        <w:rPr>
          <w:lang w:val="fr-FR"/>
        </w:rPr>
        <w:t>Diffusé en langue allemande par la Commission centrale pour la navigation du Rhin sous la cote CCNR/ZKR/ADN/WP.15/AC.2/2020/</w:t>
      </w:r>
      <w:r w:rsidR="00AE3AD4">
        <w:rPr>
          <w:lang w:val="fr-FR"/>
        </w:rPr>
        <w:t>3</w:t>
      </w:r>
      <w:r w:rsidR="00233459">
        <w:rPr>
          <w:lang w:val="fr-FR"/>
        </w:rPr>
        <w:t>9</w:t>
      </w:r>
      <w:r w:rsidRPr="00904815">
        <w:rPr>
          <w:lang w:val="fr-FR"/>
        </w:rPr>
        <w:t>.</w:t>
      </w:r>
    </w:p>
  </w:footnote>
  <w:footnote w:id="3">
    <w:p w14:paraId="7418C260" w14:textId="6024ACB8" w:rsidR="00C60354" w:rsidRPr="00C60354" w:rsidRDefault="00C60354" w:rsidP="0027401B">
      <w:pPr>
        <w:pStyle w:val="FootnoteText"/>
      </w:pPr>
      <w:r w:rsidRPr="00C60354">
        <w:rPr>
          <w:rStyle w:val="FootnoteReference"/>
        </w:rPr>
        <w:tab/>
      </w:r>
      <w:r w:rsidRPr="00C60354">
        <w:rPr>
          <w:rStyle w:val="FootnoteReference"/>
          <w:sz w:val="20"/>
        </w:rPr>
        <w:t>**</w:t>
      </w:r>
      <w:r>
        <w:rPr>
          <w:rStyle w:val="FootnoteReference"/>
          <w:sz w:val="20"/>
          <w:vertAlign w:val="baseline"/>
        </w:rPr>
        <w:tab/>
      </w:r>
      <w:r w:rsidR="0027401B" w:rsidRPr="00274FFA">
        <w:t>Conformément au programme de travail du Comité des transports intérieurs pour 2020 tel qu’il figure dans le projet de budget-programme pour 2020 (A/74/6 (titre V, chap. 20), par. 20.37)</w:t>
      </w:r>
      <w:r w:rsidRPr="00904815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D812B" w14:textId="639C1FCD" w:rsidR="00B3309A" w:rsidRPr="00B3309A" w:rsidRDefault="00E70056">
    <w:pPr>
      <w:pStyle w:val="Header"/>
    </w:pPr>
    <w:r>
      <w:t>ECE/TRANS/WP.15/AC.2/2020/</w:t>
    </w:r>
    <w:r w:rsidR="00DB4002">
      <w:t>3</w:t>
    </w:r>
    <w:r w:rsidR="00233459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A7A84" w14:textId="2EE8084B" w:rsidR="00B3309A" w:rsidRPr="00B3309A" w:rsidRDefault="00E70056" w:rsidP="00B3309A">
    <w:pPr>
      <w:pStyle w:val="Header"/>
      <w:jc w:val="right"/>
    </w:pPr>
    <w:r>
      <w:t>ECE/TRANS/WP.15/AC.2/2020/</w:t>
    </w:r>
    <w:r w:rsidR="00F92D18">
      <w:t>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937EF"/>
    <w:multiLevelType w:val="hybridMultilevel"/>
    <w:tmpl w:val="2228C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612BAF"/>
    <w:multiLevelType w:val="hybridMultilevel"/>
    <w:tmpl w:val="2DD81020"/>
    <w:lvl w:ilvl="0" w:tplc="010C8398">
      <w:start w:val="1"/>
      <w:numFmt w:val="decimal"/>
      <w:lvlText w:val="%1.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6807B98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8DAF5AA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E46B44E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C92A25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0060A40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D5642DC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E9CF73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05E4898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C40B37"/>
    <w:multiLevelType w:val="hybridMultilevel"/>
    <w:tmpl w:val="82382EB4"/>
    <w:lvl w:ilvl="0" w:tplc="013EE3D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FE403E4"/>
    <w:multiLevelType w:val="hybridMultilevel"/>
    <w:tmpl w:val="DE62D6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D86788E"/>
    <w:multiLevelType w:val="hybridMultilevel"/>
    <w:tmpl w:val="6D248C5C"/>
    <w:lvl w:ilvl="0" w:tplc="5CF2063A">
      <w:start w:val="1"/>
      <w:numFmt w:val="decimal"/>
      <w:lvlText w:val="%1."/>
      <w:lvlJc w:val="left"/>
      <w:pPr>
        <w:ind w:left="1710" w:hanging="576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 w15:restartNumberingAfterBreak="0">
    <w:nsid w:val="5A3443E8"/>
    <w:multiLevelType w:val="hybridMultilevel"/>
    <w:tmpl w:val="C44083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7675274C"/>
    <w:multiLevelType w:val="hybridMultilevel"/>
    <w:tmpl w:val="FF32D248"/>
    <w:lvl w:ilvl="0" w:tplc="586A58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9"/>
  </w:num>
  <w:num w:numId="15">
    <w:abstractNumId w:val="13"/>
  </w:num>
  <w:num w:numId="16">
    <w:abstractNumId w:val="16"/>
  </w:num>
  <w:num w:numId="17">
    <w:abstractNumId w:val="11"/>
  </w:num>
  <w:num w:numId="18">
    <w:abstractNumId w:val="14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B3309A"/>
    <w:rsid w:val="0001207F"/>
    <w:rsid w:val="00017F94"/>
    <w:rsid w:val="00023842"/>
    <w:rsid w:val="00026AA3"/>
    <w:rsid w:val="000334F9"/>
    <w:rsid w:val="0004639C"/>
    <w:rsid w:val="0005789A"/>
    <w:rsid w:val="0007796D"/>
    <w:rsid w:val="000842BA"/>
    <w:rsid w:val="000942EE"/>
    <w:rsid w:val="000A52BF"/>
    <w:rsid w:val="000B7790"/>
    <w:rsid w:val="000D3EE9"/>
    <w:rsid w:val="000D62F3"/>
    <w:rsid w:val="00111F2F"/>
    <w:rsid w:val="00116C7D"/>
    <w:rsid w:val="001433FD"/>
    <w:rsid w:val="0014365E"/>
    <w:rsid w:val="001541D3"/>
    <w:rsid w:val="00156B77"/>
    <w:rsid w:val="00160F85"/>
    <w:rsid w:val="00176178"/>
    <w:rsid w:val="00177140"/>
    <w:rsid w:val="001D400F"/>
    <w:rsid w:val="001D5D0E"/>
    <w:rsid w:val="001E2CC1"/>
    <w:rsid w:val="001F525A"/>
    <w:rsid w:val="00204D74"/>
    <w:rsid w:val="00223272"/>
    <w:rsid w:val="00233459"/>
    <w:rsid w:val="00240333"/>
    <w:rsid w:val="0024779E"/>
    <w:rsid w:val="0027401B"/>
    <w:rsid w:val="00274FFA"/>
    <w:rsid w:val="00277E3D"/>
    <w:rsid w:val="002832AC"/>
    <w:rsid w:val="002D7C93"/>
    <w:rsid w:val="00311EC4"/>
    <w:rsid w:val="00352090"/>
    <w:rsid w:val="0037241C"/>
    <w:rsid w:val="003819FF"/>
    <w:rsid w:val="003F7675"/>
    <w:rsid w:val="00441C3B"/>
    <w:rsid w:val="00446B0A"/>
    <w:rsid w:val="00446FE5"/>
    <w:rsid w:val="00452396"/>
    <w:rsid w:val="00471288"/>
    <w:rsid w:val="00472B5A"/>
    <w:rsid w:val="0049687C"/>
    <w:rsid w:val="004E468C"/>
    <w:rsid w:val="005316B0"/>
    <w:rsid w:val="005505B7"/>
    <w:rsid w:val="00573BE5"/>
    <w:rsid w:val="00586ED3"/>
    <w:rsid w:val="00596AA9"/>
    <w:rsid w:val="005B4D0F"/>
    <w:rsid w:val="00627B2C"/>
    <w:rsid w:val="0067451D"/>
    <w:rsid w:val="00685132"/>
    <w:rsid w:val="006949F5"/>
    <w:rsid w:val="006D654F"/>
    <w:rsid w:val="00703D0F"/>
    <w:rsid w:val="00706363"/>
    <w:rsid w:val="007158BB"/>
    <w:rsid w:val="0071601D"/>
    <w:rsid w:val="00725913"/>
    <w:rsid w:val="00733A99"/>
    <w:rsid w:val="0075410D"/>
    <w:rsid w:val="007A62E6"/>
    <w:rsid w:val="00801E32"/>
    <w:rsid w:val="0080684C"/>
    <w:rsid w:val="00807F83"/>
    <w:rsid w:val="0081170A"/>
    <w:rsid w:val="008204DA"/>
    <w:rsid w:val="0082755D"/>
    <w:rsid w:val="008535AD"/>
    <w:rsid w:val="00871C75"/>
    <w:rsid w:val="008767E8"/>
    <w:rsid w:val="008776DC"/>
    <w:rsid w:val="00883605"/>
    <w:rsid w:val="008E6043"/>
    <w:rsid w:val="00932AD2"/>
    <w:rsid w:val="00946636"/>
    <w:rsid w:val="00947392"/>
    <w:rsid w:val="00961E7B"/>
    <w:rsid w:val="009705C8"/>
    <w:rsid w:val="00996B54"/>
    <w:rsid w:val="009C1CF4"/>
    <w:rsid w:val="009F02C9"/>
    <w:rsid w:val="00A228C9"/>
    <w:rsid w:val="00A30353"/>
    <w:rsid w:val="00A4591A"/>
    <w:rsid w:val="00A62D91"/>
    <w:rsid w:val="00A90D54"/>
    <w:rsid w:val="00AA113A"/>
    <w:rsid w:val="00AC3823"/>
    <w:rsid w:val="00AE323C"/>
    <w:rsid w:val="00AE3AD4"/>
    <w:rsid w:val="00AF774C"/>
    <w:rsid w:val="00B00181"/>
    <w:rsid w:val="00B00B0D"/>
    <w:rsid w:val="00B0603F"/>
    <w:rsid w:val="00B3309A"/>
    <w:rsid w:val="00B35BC7"/>
    <w:rsid w:val="00B40927"/>
    <w:rsid w:val="00B50E25"/>
    <w:rsid w:val="00B6085B"/>
    <w:rsid w:val="00B64918"/>
    <w:rsid w:val="00B765F7"/>
    <w:rsid w:val="00BA0CA9"/>
    <w:rsid w:val="00BD650C"/>
    <w:rsid w:val="00BD6CA8"/>
    <w:rsid w:val="00BE75AE"/>
    <w:rsid w:val="00C02897"/>
    <w:rsid w:val="00C1626B"/>
    <w:rsid w:val="00C60354"/>
    <w:rsid w:val="00C66A47"/>
    <w:rsid w:val="00C67BF4"/>
    <w:rsid w:val="00C7616F"/>
    <w:rsid w:val="00C96D6E"/>
    <w:rsid w:val="00CB16B5"/>
    <w:rsid w:val="00CE0608"/>
    <w:rsid w:val="00CF2B4E"/>
    <w:rsid w:val="00CF7D52"/>
    <w:rsid w:val="00D1741D"/>
    <w:rsid w:val="00D230B4"/>
    <w:rsid w:val="00D3439C"/>
    <w:rsid w:val="00D44CF3"/>
    <w:rsid w:val="00D46C8C"/>
    <w:rsid w:val="00DA0166"/>
    <w:rsid w:val="00DB1831"/>
    <w:rsid w:val="00DB4002"/>
    <w:rsid w:val="00DD3BFD"/>
    <w:rsid w:val="00DE239D"/>
    <w:rsid w:val="00DF431C"/>
    <w:rsid w:val="00DF6678"/>
    <w:rsid w:val="00E428C8"/>
    <w:rsid w:val="00E478F2"/>
    <w:rsid w:val="00E70056"/>
    <w:rsid w:val="00E732C7"/>
    <w:rsid w:val="00E92EA9"/>
    <w:rsid w:val="00EF2E22"/>
    <w:rsid w:val="00F0592C"/>
    <w:rsid w:val="00F06ED4"/>
    <w:rsid w:val="00F43289"/>
    <w:rsid w:val="00F660DF"/>
    <w:rsid w:val="00F92D18"/>
    <w:rsid w:val="00F95C08"/>
    <w:rsid w:val="00FA62BA"/>
    <w:rsid w:val="00FC143C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4B62E3F"/>
  <w15:docId w15:val="{0B2C2902-CEAD-4B13-8667-A7C86A1B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uiPriority w:val="99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06363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06363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uiPriority w:val="99"/>
    <w:rsid w:val="0001207F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01207F"/>
    <w:rPr>
      <w:rFonts w:ascii="Times New Roman" w:hAnsi="Times New Roman" w:cs="Times New Roman"/>
      <w:b/>
      <w:sz w:val="28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92D18"/>
    <w:pPr>
      <w:suppressAutoHyphens/>
      <w:spacing w:after="0" w:line="240" w:lineRule="atLeast"/>
    </w:pPr>
    <w:rPr>
      <w:rFonts w:eastAsia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0">
    <w:name w:val="TableGrid"/>
    <w:rsid w:val="00F92D18"/>
    <w:pPr>
      <w:spacing w:after="0" w:line="240" w:lineRule="auto"/>
    </w:pPr>
    <w:rPr>
      <w:rFonts w:ascii="Calibri" w:hAnsi="Calibri" w:cs="Arial"/>
      <w:sz w:val="22"/>
      <w:szCs w:val="22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F92D18"/>
    <w:pPr>
      <w:suppressAutoHyphens/>
      <w:spacing w:after="0" w:line="240" w:lineRule="atLeast"/>
    </w:pPr>
    <w:rPr>
      <w:rFonts w:eastAsia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0">
    <w:name w:val="TableGrid1"/>
    <w:rsid w:val="00F92D18"/>
    <w:pPr>
      <w:spacing w:after="0" w:line="240" w:lineRule="auto"/>
    </w:pPr>
    <w:rPr>
      <w:rFonts w:ascii="Calibri" w:hAnsi="Calibri" w:cs="Arial"/>
      <w:sz w:val="22"/>
      <w:szCs w:val="22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F92D18"/>
    <w:pPr>
      <w:suppressAutoHyphens/>
      <w:spacing w:after="0" w:line="240" w:lineRule="atLeast"/>
    </w:pPr>
    <w:rPr>
      <w:rFonts w:eastAsia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semiHidden/>
    <w:qFormat/>
    <w:rsid w:val="00A45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TRANS_WP1_24_F.dotm</Template>
  <TotalTime>5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ECE/TRANS/WP.15/AC.2/2020/14</vt:lpstr>
      <vt:lpstr>ECE/EX/22</vt:lpstr>
    </vt:vector>
  </TitlesOfParts>
  <Company>DCM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ECE/TRANS/WP.15/AC.2/2020/14</dc:title>
  <dc:subject>FINAL</dc:subject>
  <dc:creator>Marie-Claude Collet</dc:creator>
  <cp:keywords/>
  <dc:description/>
  <cp:lastModifiedBy>Secretariat</cp:lastModifiedBy>
  <cp:revision>8</cp:revision>
  <cp:lastPrinted>2019-11-12T07:32:00Z</cp:lastPrinted>
  <dcterms:created xsi:type="dcterms:W3CDTF">2020-06-08T15:15:00Z</dcterms:created>
  <dcterms:modified xsi:type="dcterms:W3CDTF">2020-06-08T15:24:00Z</dcterms:modified>
</cp:coreProperties>
</file>