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6606E3F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B36037A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303052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BA7AD4" w14:textId="77777777" w:rsidR="00717266" w:rsidRPr="00D47EEA" w:rsidRDefault="00CF5A5C" w:rsidP="00CF5A5C">
            <w:pPr>
              <w:suppressAutoHyphens w:val="0"/>
              <w:spacing w:after="20"/>
              <w:jc w:val="right"/>
            </w:pPr>
            <w:r w:rsidRPr="00CF5A5C">
              <w:rPr>
                <w:sz w:val="40"/>
              </w:rPr>
              <w:t>ECE</w:t>
            </w:r>
            <w:r>
              <w:t>/TRANS/WP.15/AC.2/2020/26</w:t>
            </w:r>
          </w:p>
        </w:tc>
      </w:tr>
      <w:tr w:rsidR="00717266" w14:paraId="6ECD5598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64697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42722D" wp14:editId="4A22E5B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2F32A0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3DF3" w14:textId="77777777" w:rsidR="00CF5A5C" w:rsidRPr="00D84488" w:rsidRDefault="00CF5A5C" w:rsidP="00CF5A5C">
            <w:pPr>
              <w:spacing w:before="240" w:line="240" w:lineRule="exact"/>
              <w:rPr>
                <w:rFonts w:asciiTheme="majorBidi" w:hAnsiTheme="majorBidi" w:cstheme="majorBidi"/>
                <w:lang w:val="en-US"/>
              </w:rPr>
            </w:pPr>
            <w:r w:rsidRPr="00D84488">
              <w:rPr>
                <w:rFonts w:asciiTheme="majorBidi" w:hAnsiTheme="majorBidi" w:cstheme="majorBidi"/>
              </w:rPr>
              <w:t>Distr.: General</w:t>
            </w:r>
          </w:p>
          <w:p w14:paraId="153A6B3F" w14:textId="77777777" w:rsidR="00CF5A5C" w:rsidRPr="00D84488" w:rsidRDefault="00CF5A5C" w:rsidP="00CF5A5C">
            <w:pPr>
              <w:spacing w:line="240" w:lineRule="exact"/>
              <w:rPr>
                <w:rFonts w:asciiTheme="majorBidi" w:hAnsiTheme="majorBidi" w:cstheme="majorBidi"/>
                <w:lang w:val="en-US"/>
              </w:rPr>
            </w:pPr>
            <w:r w:rsidRPr="00D84488">
              <w:rPr>
                <w:rFonts w:asciiTheme="majorBidi" w:hAnsiTheme="majorBidi" w:cstheme="majorBidi"/>
              </w:rPr>
              <w:t>29 May 2020</w:t>
            </w:r>
          </w:p>
          <w:p w14:paraId="7D310CCD" w14:textId="77777777" w:rsidR="00CF5A5C" w:rsidRPr="00D84488" w:rsidRDefault="00CF5A5C" w:rsidP="00CF5A5C">
            <w:pPr>
              <w:spacing w:line="240" w:lineRule="exact"/>
              <w:rPr>
                <w:rFonts w:asciiTheme="majorBidi" w:hAnsiTheme="majorBidi" w:cstheme="majorBidi"/>
                <w:lang w:val="en-US"/>
              </w:rPr>
            </w:pPr>
            <w:r w:rsidRPr="00D84488">
              <w:rPr>
                <w:rFonts w:asciiTheme="majorBidi" w:hAnsiTheme="majorBidi" w:cstheme="majorBidi"/>
                <w:lang w:val="en-US"/>
              </w:rPr>
              <w:t>English</w:t>
            </w:r>
          </w:p>
          <w:p w14:paraId="3A086311" w14:textId="5DC50829" w:rsidR="00CF5A5C" w:rsidRDefault="00CF5A5C" w:rsidP="00CF5A5C">
            <w:pPr>
              <w:suppressAutoHyphens w:val="0"/>
            </w:pPr>
            <w:r w:rsidRPr="00D84488">
              <w:rPr>
                <w:rFonts w:asciiTheme="majorBidi" w:hAnsiTheme="majorBidi" w:cstheme="majorBidi"/>
              </w:rPr>
              <w:t>Original: French</w:t>
            </w:r>
          </w:p>
        </w:tc>
      </w:tr>
    </w:tbl>
    <w:p w14:paraId="183763EF" w14:textId="77777777" w:rsidR="00CF5A5C" w:rsidRPr="00D84488" w:rsidRDefault="00CF5A5C" w:rsidP="00CF5A5C">
      <w:pPr>
        <w:spacing w:before="12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D84488">
        <w:rPr>
          <w:rFonts w:asciiTheme="majorBidi" w:hAnsiTheme="majorBidi" w:cstheme="majorBidi"/>
          <w:b/>
          <w:sz w:val="28"/>
          <w:szCs w:val="28"/>
          <w:lang w:val="en-US"/>
        </w:rPr>
        <w:t>Economic Commission for Europe</w:t>
      </w:r>
    </w:p>
    <w:p w14:paraId="2001760F" w14:textId="77777777" w:rsidR="00CF5A5C" w:rsidRPr="00D84488" w:rsidRDefault="00CF5A5C" w:rsidP="00CF5A5C">
      <w:pPr>
        <w:spacing w:before="120"/>
        <w:rPr>
          <w:rFonts w:asciiTheme="majorBidi" w:hAnsiTheme="majorBidi" w:cstheme="majorBidi"/>
          <w:sz w:val="28"/>
          <w:szCs w:val="28"/>
          <w:lang w:val="en-US"/>
        </w:rPr>
      </w:pPr>
      <w:r w:rsidRPr="00D84488">
        <w:rPr>
          <w:rFonts w:asciiTheme="majorBidi" w:hAnsiTheme="majorBidi" w:cstheme="majorBidi"/>
          <w:sz w:val="28"/>
          <w:szCs w:val="28"/>
          <w:lang w:val="en-US"/>
        </w:rPr>
        <w:t>Inland Transport Committee</w:t>
      </w:r>
    </w:p>
    <w:p w14:paraId="731AD3B2" w14:textId="77777777" w:rsidR="00CF5A5C" w:rsidRPr="00D84488" w:rsidRDefault="00CF5A5C" w:rsidP="00CF5A5C">
      <w:pPr>
        <w:spacing w:before="120" w:after="1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84488">
        <w:rPr>
          <w:rFonts w:asciiTheme="majorBidi" w:hAnsiTheme="majorBidi" w:cstheme="majorBidi"/>
          <w:b/>
          <w:sz w:val="24"/>
          <w:szCs w:val="24"/>
          <w:lang w:val="en-US"/>
        </w:rPr>
        <w:t>Working Party on the Transport of Dangerous Goods</w:t>
      </w:r>
    </w:p>
    <w:p w14:paraId="673840FB" w14:textId="77777777" w:rsidR="00CF5A5C" w:rsidRPr="00D84488" w:rsidRDefault="00CF5A5C" w:rsidP="00CF5A5C">
      <w:pPr>
        <w:spacing w:after="120"/>
        <w:rPr>
          <w:rFonts w:asciiTheme="majorBidi" w:hAnsiTheme="majorBidi" w:cstheme="majorBidi"/>
          <w:b/>
          <w:bCs/>
          <w:lang w:val="en-US"/>
        </w:rPr>
      </w:pPr>
      <w:r w:rsidRPr="00D84488">
        <w:rPr>
          <w:rFonts w:asciiTheme="majorBidi" w:hAnsiTheme="majorBidi" w:cstheme="majorBidi"/>
          <w:b/>
          <w:bCs/>
          <w:lang w:val="en-US"/>
        </w:rPr>
        <w:t xml:space="preserve">Joint Meeting of Experts on the Regulations annexed to the </w:t>
      </w:r>
      <w:r w:rsidRPr="00D84488">
        <w:rPr>
          <w:rFonts w:asciiTheme="majorBidi" w:hAnsiTheme="majorBidi" w:cstheme="majorBidi"/>
          <w:b/>
          <w:bCs/>
          <w:lang w:val="en-US"/>
        </w:rPr>
        <w:br/>
        <w:t xml:space="preserve">European Agreement concerning the International Carriage </w:t>
      </w:r>
      <w:r w:rsidRPr="00D84488">
        <w:rPr>
          <w:rFonts w:asciiTheme="majorBidi" w:hAnsiTheme="majorBidi" w:cstheme="majorBidi"/>
          <w:b/>
          <w:bCs/>
          <w:lang w:val="en-US"/>
        </w:rPr>
        <w:br/>
        <w:t xml:space="preserve">of Dangerous Goods by Inland Waterways (ADN) </w:t>
      </w:r>
      <w:r w:rsidRPr="00D84488">
        <w:rPr>
          <w:rFonts w:asciiTheme="majorBidi" w:hAnsiTheme="majorBidi" w:cstheme="majorBidi"/>
          <w:b/>
          <w:bCs/>
          <w:lang w:val="en-US"/>
        </w:rPr>
        <w:br/>
        <w:t>(ADN Safety Committee)</w:t>
      </w:r>
    </w:p>
    <w:p w14:paraId="7421DDFC" w14:textId="77777777" w:rsidR="00CF5A5C" w:rsidRPr="00D84488" w:rsidRDefault="00CF5A5C" w:rsidP="00CF5A5C">
      <w:pPr>
        <w:spacing w:before="120"/>
        <w:rPr>
          <w:rFonts w:asciiTheme="majorBidi" w:hAnsiTheme="majorBidi" w:cstheme="majorBidi"/>
          <w:b/>
          <w:lang w:val="en-US"/>
        </w:rPr>
      </w:pPr>
      <w:r w:rsidRPr="00D84488">
        <w:rPr>
          <w:rFonts w:asciiTheme="majorBidi" w:hAnsiTheme="majorBidi" w:cstheme="majorBidi"/>
          <w:b/>
          <w:bCs/>
        </w:rPr>
        <w:t>Thirty-seventh session</w:t>
      </w:r>
    </w:p>
    <w:p w14:paraId="524DEF9A" w14:textId="77777777" w:rsidR="00CF5A5C" w:rsidRPr="00D84488" w:rsidRDefault="00CF5A5C" w:rsidP="00CF5A5C">
      <w:pPr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Geneva, 24–28 August 2020</w:t>
      </w:r>
    </w:p>
    <w:p w14:paraId="12EDC5E2" w14:textId="77777777" w:rsidR="00CF5A5C" w:rsidRPr="00D84488" w:rsidRDefault="00CF5A5C" w:rsidP="00CF5A5C">
      <w:pPr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Item 3 (c) of the provisional agenda</w:t>
      </w:r>
    </w:p>
    <w:p w14:paraId="46CD27E6" w14:textId="77777777" w:rsidR="00CF5A5C" w:rsidRPr="00D84488" w:rsidRDefault="00CF5A5C" w:rsidP="00CF5A5C">
      <w:pPr>
        <w:rPr>
          <w:rFonts w:asciiTheme="majorBidi" w:hAnsiTheme="majorBidi" w:cstheme="majorBidi"/>
          <w:b/>
          <w:bCs/>
          <w:lang w:val="en-US"/>
        </w:rPr>
      </w:pPr>
      <w:r w:rsidRPr="00D84488">
        <w:rPr>
          <w:rFonts w:asciiTheme="majorBidi" w:hAnsiTheme="majorBidi" w:cstheme="majorBidi"/>
          <w:b/>
          <w:bCs/>
          <w:lang w:val="en-US"/>
        </w:rPr>
        <w:t xml:space="preserve">Implementation of the European Agreement concerning the International </w:t>
      </w:r>
      <w:r w:rsidRPr="00D84488">
        <w:rPr>
          <w:rFonts w:asciiTheme="majorBidi" w:hAnsiTheme="majorBidi" w:cstheme="majorBidi"/>
          <w:b/>
          <w:bCs/>
          <w:lang w:val="en-US"/>
        </w:rPr>
        <w:br/>
        <w:t>Carriage of Dangerous Goods by Inland Waterways (ADN):</w:t>
      </w:r>
    </w:p>
    <w:p w14:paraId="47807041" w14:textId="77777777" w:rsidR="00CF5A5C" w:rsidRPr="00D84488" w:rsidRDefault="00CF5A5C" w:rsidP="00CF5A5C">
      <w:pPr>
        <w:rPr>
          <w:rFonts w:asciiTheme="majorBidi" w:hAnsiTheme="majorBidi" w:cstheme="majorBidi"/>
          <w:b/>
          <w:bCs/>
          <w:lang w:val="en-US"/>
        </w:rPr>
      </w:pPr>
      <w:r w:rsidRPr="00D84488">
        <w:rPr>
          <w:rFonts w:asciiTheme="majorBidi" w:hAnsiTheme="majorBidi" w:cstheme="majorBidi"/>
          <w:b/>
          <w:bCs/>
          <w:lang w:val="en-US"/>
        </w:rPr>
        <w:t>Interpretation of the Regulations annexed to ADN</w:t>
      </w:r>
    </w:p>
    <w:p w14:paraId="255F5551" w14:textId="77777777" w:rsidR="00CF5A5C" w:rsidRPr="00D84488" w:rsidRDefault="00CF5A5C" w:rsidP="00CF5A5C">
      <w:pPr>
        <w:pStyle w:val="HChG"/>
        <w:rPr>
          <w:rFonts w:asciiTheme="majorBidi" w:hAnsiTheme="majorBidi" w:cstheme="majorBidi"/>
          <w:bCs/>
          <w:lang w:val="en-US"/>
        </w:rPr>
      </w:pP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</w:rPr>
        <w:tab/>
        <w:t xml:space="preserve">3.2.3.2 </w:t>
      </w:r>
      <w:r w:rsidRPr="00D84488">
        <w:rPr>
          <w:rFonts w:asciiTheme="majorBidi" w:hAnsiTheme="majorBidi" w:cstheme="majorBidi"/>
          <w:bCs/>
        </w:rPr>
        <w:t>ADN, Table C, UN No. 1999</w:t>
      </w:r>
    </w:p>
    <w:p w14:paraId="5558C6E3" w14:textId="2A505FA6" w:rsidR="00CF5A5C" w:rsidRDefault="00CF5A5C" w:rsidP="004604CD">
      <w:pPr>
        <w:pStyle w:val="H1G"/>
        <w:rPr>
          <w:b w:val="0"/>
          <w:bCs/>
          <w:sz w:val="20"/>
          <w:szCs w:val="22"/>
        </w:rPr>
      </w:pP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  <w:bCs/>
        </w:rPr>
        <w:t>Transmitted by the Government of Germany</w:t>
      </w:r>
      <w:r w:rsidRPr="004604CD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4765BD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0534E2">
        <w:rPr>
          <w:b w:val="0"/>
          <w:bCs/>
          <w:position w:val="8"/>
          <w:sz w:val="20"/>
          <w:szCs w:val="22"/>
        </w:rPr>
        <w:t xml:space="preserve"> </w:t>
      </w:r>
      <w:r w:rsidRPr="004604CD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471CF2" w14:paraId="7B8D1406" w14:textId="77777777" w:rsidTr="00471CF2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F3D3E55" w14:textId="3AAF433D" w:rsidR="00471CF2" w:rsidRPr="00471CF2" w:rsidRDefault="00471CF2" w:rsidP="00471CF2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71CF2" w14:paraId="1333F62E" w14:textId="77777777" w:rsidTr="00471CF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790B099" w14:textId="77777777" w:rsidR="006F1129" w:rsidRPr="00D84488" w:rsidRDefault="006F1129" w:rsidP="006F1129">
            <w:pPr>
              <w:pStyle w:val="SingleTxtG"/>
              <w:ind w:left="2552" w:right="560" w:hanging="2268"/>
              <w:jc w:val="left"/>
              <w:rPr>
                <w:rFonts w:asciiTheme="majorBidi" w:hAnsiTheme="majorBidi" w:cstheme="majorBidi"/>
                <w:lang w:val="en-US"/>
              </w:rPr>
            </w:pPr>
            <w:r w:rsidRPr="00D84488">
              <w:rPr>
                <w:rFonts w:asciiTheme="majorBidi" w:hAnsiTheme="majorBidi" w:cstheme="majorBidi"/>
                <w:b/>
                <w:bCs/>
              </w:rPr>
              <w:t>Executive summary:</w:t>
            </w:r>
            <w:r w:rsidRPr="00D84488">
              <w:rPr>
                <w:rFonts w:asciiTheme="majorBidi" w:hAnsiTheme="majorBidi" w:cstheme="majorBidi"/>
              </w:rPr>
              <w:tab/>
              <w:t xml:space="preserve">The entry for UN No. 1999 is not consistent. For vessels of type N with open cargo tanks, anti-explosion protection is required. </w:t>
            </w:r>
          </w:p>
          <w:p w14:paraId="64D3BDCA" w14:textId="77777777" w:rsidR="006F1129" w:rsidRPr="00D84488" w:rsidRDefault="006F1129" w:rsidP="006F1129">
            <w:pPr>
              <w:pStyle w:val="SingleTxtG"/>
              <w:ind w:left="2552" w:right="560" w:hanging="2268"/>
              <w:jc w:val="left"/>
              <w:rPr>
                <w:rFonts w:asciiTheme="majorBidi" w:hAnsiTheme="majorBidi" w:cstheme="majorBidi"/>
                <w:lang w:val="en-US"/>
              </w:rPr>
            </w:pPr>
            <w:r w:rsidRPr="00D84488">
              <w:rPr>
                <w:rFonts w:asciiTheme="majorBidi" w:hAnsiTheme="majorBidi" w:cstheme="majorBidi"/>
                <w:b/>
                <w:bCs/>
              </w:rPr>
              <w:t>Action to be taken:</w:t>
            </w:r>
            <w:r w:rsidRPr="00D84488">
              <w:rPr>
                <w:rFonts w:asciiTheme="majorBidi" w:hAnsiTheme="majorBidi" w:cstheme="majorBidi"/>
              </w:rPr>
              <w:t xml:space="preserve"> </w:t>
            </w:r>
            <w:r w:rsidRPr="00D84488">
              <w:rPr>
                <w:rFonts w:asciiTheme="majorBidi" w:hAnsiTheme="majorBidi" w:cstheme="majorBidi"/>
              </w:rPr>
              <w:tab/>
              <w:t xml:space="preserve">The informal working group on substances </w:t>
            </w:r>
            <w:r>
              <w:rPr>
                <w:rFonts w:asciiTheme="majorBidi" w:hAnsiTheme="majorBidi" w:cstheme="majorBidi"/>
              </w:rPr>
              <w:t>may</w:t>
            </w:r>
            <w:r w:rsidRPr="00D84488">
              <w:rPr>
                <w:rFonts w:asciiTheme="majorBidi" w:hAnsiTheme="majorBidi" w:cstheme="majorBidi"/>
              </w:rPr>
              <w:t xml:space="preserve"> be invited to review the conditions of transport.</w:t>
            </w:r>
          </w:p>
          <w:p w14:paraId="6E461F84" w14:textId="2A24D0EA" w:rsidR="00471CF2" w:rsidRDefault="006F1129" w:rsidP="006F1129">
            <w:pPr>
              <w:pStyle w:val="SingleTxtG"/>
              <w:ind w:left="2552" w:right="560" w:hanging="2268"/>
              <w:jc w:val="left"/>
            </w:pPr>
            <w:r w:rsidRPr="00D84488">
              <w:rPr>
                <w:rFonts w:asciiTheme="majorBidi" w:hAnsiTheme="majorBidi" w:cstheme="majorBidi"/>
                <w:b/>
                <w:bCs/>
              </w:rPr>
              <w:t>Related documents:</w:t>
            </w:r>
            <w:r w:rsidRPr="00D84488">
              <w:rPr>
                <w:rFonts w:asciiTheme="majorBidi" w:hAnsiTheme="majorBidi" w:cstheme="majorBidi"/>
              </w:rPr>
              <w:t xml:space="preserve"> </w:t>
            </w:r>
            <w:r w:rsidRPr="00D84488">
              <w:rPr>
                <w:rFonts w:asciiTheme="majorBidi" w:hAnsiTheme="majorBidi" w:cstheme="majorBidi"/>
              </w:rPr>
              <w:tab/>
              <w:t>None</w:t>
            </w:r>
          </w:p>
        </w:tc>
      </w:tr>
      <w:tr w:rsidR="00471CF2" w14:paraId="53C4E5C4" w14:textId="77777777" w:rsidTr="00471CF2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B77F37D" w14:textId="77777777" w:rsidR="00471CF2" w:rsidRDefault="00471CF2" w:rsidP="00471CF2">
            <w:pPr>
              <w:suppressAutoHyphens w:val="0"/>
            </w:pPr>
          </w:p>
        </w:tc>
      </w:tr>
    </w:tbl>
    <w:p w14:paraId="4E86078D" w14:textId="77777777" w:rsidR="00CF5A5C" w:rsidRPr="00D84488" w:rsidRDefault="00CF5A5C" w:rsidP="00CF5A5C">
      <w:pPr>
        <w:pStyle w:val="HChG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  <w:bCs/>
        </w:rPr>
        <w:t>Introduction</w:t>
      </w:r>
    </w:p>
    <w:p w14:paraId="06DC86D1" w14:textId="77777777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1.</w:t>
      </w:r>
      <w:r w:rsidRPr="00D84488">
        <w:rPr>
          <w:rFonts w:asciiTheme="majorBidi" w:hAnsiTheme="majorBidi" w:cstheme="majorBidi"/>
        </w:rPr>
        <w:tab/>
        <w:t xml:space="preserve">According to Table C, substances of UN No. 1999, TARS, LIQUID, including road oils and cutback </w:t>
      </w:r>
      <w:proofErr w:type="spellStart"/>
      <w:r w:rsidRPr="00D84488">
        <w:rPr>
          <w:rFonts w:asciiTheme="majorBidi" w:hAnsiTheme="majorBidi" w:cstheme="majorBidi"/>
        </w:rPr>
        <w:t>bitumens</w:t>
      </w:r>
      <w:proofErr w:type="spellEnd"/>
      <w:r w:rsidRPr="00D84488">
        <w:rPr>
          <w:rFonts w:asciiTheme="majorBidi" w:hAnsiTheme="majorBidi" w:cstheme="majorBidi"/>
        </w:rPr>
        <w:t xml:space="preserve"> may be carried on vessels of type N in open cargo tanks without flame arresters (or higher-level cargo tanks</w:t>
      </w:r>
      <w:r>
        <w:rPr>
          <w:rFonts w:asciiTheme="majorBidi" w:hAnsiTheme="majorBidi" w:cstheme="majorBidi"/>
        </w:rPr>
        <w:t>,</w:t>
      </w:r>
      <w:r w:rsidRPr="00D84488">
        <w:rPr>
          <w:rFonts w:asciiTheme="majorBidi" w:hAnsiTheme="majorBidi" w:cstheme="majorBidi"/>
        </w:rPr>
        <w:t xml:space="preserve"> on a voluntary basis).</w:t>
      </w:r>
    </w:p>
    <w:p w14:paraId="552CA431" w14:textId="77777777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lastRenderedPageBreak/>
        <w:t>According to column (17) of Table C, however, anti-explosion protection is required for the carriage of this substance</w:t>
      </w:r>
      <w:r>
        <w:rPr>
          <w:rFonts w:asciiTheme="majorBidi" w:hAnsiTheme="majorBidi" w:cstheme="majorBidi"/>
        </w:rPr>
        <w:t xml:space="preserve"> as well</w:t>
      </w:r>
      <w:r w:rsidRPr="00D84488">
        <w:rPr>
          <w:rFonts w:asciiTheme="majorBidi" w:hAnsiTheme="majorBidi" w:cstheme="majorBidi"/>
        </w:rPr>
        <w:t>.</w:t>
      </w:r>
    </w:p>
    <w:p w14:paraId="2CA3C258" w14:textId="77777777" w:rsidR="00CF5A5C" w:rsidRPr="00D84488" w:rsidRDefault="00CF5A5C" w:rsidP="00CF5A5C">
      <w:pPr>
        <w:pStyle w:val="HChG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  <w:bCs/>
        </w:rPr>
        <w:t>Proposal</w:t>
      </w:r>
    </w:p>
    <w:p w14:paraId="21637BF1" w14:textId="77777777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2.</w:t>
      </w:r>
      <w:r w:rsidRPr="00D84488">
        <w:rPr>
          <w:rFonts w:asciiTheme="majorBidi" w:hAnsiTheme="majorBidi" w:cstheme="majorBidi"/>
        </w:rPr>
        <w:tab/>
        <w:t xml:space="preserve">The informal working group on substances </w:t>
      </w:r>
      <w:r>
        <w:rPr>
          <w:rFonts w:asciiTheme="majorBidi" w:hAnsiTheme="majorBidi" w:cstheme="majorBidi"/>
        </w:rPr>
        <w:t xml:space="preserve">may </w:t>
      </w:r>
      <w:r w:rsidRPr="00D84488">
        <w:rPr>
          <w:rFonts w:asciiTheme="majorBidi" w:hAnsiTheme="majorBidi" w:cstheme="majorBidi"/>
        </w:rPr>
        <w:t>be invited to review the conditions of carriage established for UN No. 1999 with a view to confirming the entry or, if appropriate, proposing the necessary amendments to the ADN Safety Committee.</w:t>
      </w:r>
    </w:p>
    <w:p w14:paraId="00969B74" w14:textId="77777777" w:rsidR="00CF5A5C" w:rsidRPr="00D84488" w:rsidRDefault="00CF5A5C" w:rsidP="00CF5A5C">
      <w:pPr>
        <w:pStyle w:val="HChG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</w:rPr>
        <w:tab/>
      </w:r>
      <w:r w:rsidRPr="00D84488">
        <w:rPr>
          <w:rFonts w:asciiTheme="majorBidi" w:hAnsiTheme="majorBidi" w:cstheme="majorBidi"/>
          <w:bCs/>
        </w:rPr>
        <w:t>Justification</w:t>
      </w:r>
    </w:p>
    <w:p w14:paraId="2CD66EE2" w14:textId="77777777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3.</w:t>
      </w:r>
      <w:r w:rsidRPr="00D84488">
        <w:rPr>
          <w:rFonts w:asciiTheme="majorBidi" w:hAnsiTheme="majorBidi" w:cstheme="majorBidi"/>
        </w:rPr>
        <w:tab/>
        <w:t>The conditions of carriage for UN No. 1999 are contradictory, which can cause problems when selecting suitable vessels.</w:t>
      </w:r>
    </w:p>
    <w:p w14:paraId="3968A15B" w14:textId="77777777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4.</w:t>
      </w:r>
      <w:r w:rsidRPr="00D84488">
        <w:rPr>
          <w:rFonts w:asciiTheme="majorBidi" w:hAnsiTheme="majorBidi" w:cstheme="majorBidi"/>
        </w:rPr>
        <w:tab/>
        <w:t xml:space="preserve">An initial technical assessment has shown that, owing to their physical and chemical properties, UN No. 1999 mixtures and products are always flammable liquids with a flash-point below 60 °C, </w:t>
      </w:r>
      <w:r>
        <w:rPr>
          <w:rFonts w:asciiTheme="majorBidi" w:hAnsiTheme="majorBidi" w:cstheme="majorBidi"/>
        </w:rPr>
        <w:t xml:space="preserve">and </w:t>
      </w:r>
      <w:r w:rsidRPr="00D84488">
        <w:rPr>
          <w:rFonts w:asciiTheme="majorBidi" w:hAnsiTheme="majorBidi" w:cstheme="majorBidi"/>
        </w:rPr>
        <w:t>which are liable to be heated during carriage.</w:t>
      </w:r>
    </w:p>
    <w:p w14:paraId="7E02E973" w14:textId="316A0B4F" w:rsidR="00CF5A5C" w:rsidRPr="00D84488" w:rsidRDefault="00CF5A5C" w:rsidP="00CF5A5C">
      <w:pPr>
        <w:pStyle w:val="SingleTxtG"/>
        <w:jc w:val="left"/>
        <w:rPr>
          <w:rFonts w:asciiTheme="majorBidi" w:hAnsiTheme="majorBidi" w:cstheme="majorBidi"/>
          <w:lang w:val="en-US"/>
        </w:rPr>
      </w:pPr>
      <w:r w:rsidRPr="00D84488">
        <w:rPr>
          <w:rFonts w:asciiTheme="majorBidi" w:hAnsiTheme="majorBidi" w:cstheme="majorBidi"/>
        </w:rPr>
        <w:t>5.</w:t>
      </w:r>
      <w:r w:rsidRPr="00D84488">
        <w:rPr>
          <w:rFonts w:asciiTheme="majorBidi" w:hAnsiTheme="majorBidi" w:cstheme="majorBidi"/>
        </w:rPr>
        <w:tab/>
        <w:t xml:space="preserve">For carriage on board an inland waterway vessel, the cargo tank should be of type 3, </w:t>
      </w:r>
      <w:r w:rsidR="00C2128A">
        <w:rPr>
          <w:rFonts w:asciiTheme="majorBidi" w:hAnsiTheme="majorBidi" w:cstheme="majorBidi"/>
        </w:rPr>
        <w:t>“</w:t>
      </w:r>
      <w:r w:rsidRPr="00701DDC">
        <w:rPr>
          <w:rFonts w:asciiTheme="majorBidi" w:hAnsiTheme="majorBidi" w:cstheme="majorBidi"/>
        </w:rPr>
        <w:t>open cargo tank with flame arrester</w:t>
      </w:r>
      <w:r w:rsidR="00C2128A">
        <w:rPr>
          <w:rFonts w:asciiTheme="majorBidi" w:hAnsiTheme="majorBidi" w:cstheme="majorBidi"/>
        </w:rPr>
        <w:t>”</w:t>
      </w:r>
      <w:r w:rsidRPr="00DF5F73">
        <w:rPr>
          <w:rFonts w:asciiTheme="majorBidi" w:hAnsiTheme="majorBidi" w:cstheme="majorBidi"/>
        </w:rPr>
        <w:t xml:space="preserve"> (in column</w:t>
      </w:r>
      <w:r w:rsidRPr="00D84488">
        <w:rPr>
          <w:rFonts w:asciiTheme="majorBidi" w:hAnsiTheme="majorBidi" w:cstheme="majorBidi"/>
        </w:rPr>
        <w:t xml:space="preserve"> (7)), for a type N vessel.</w:t>
      </w:r>
    </w:p>
    <w:p w14:paraId="5659A0ED" w14:textId="7C525C2A" w:rsidR="00CF5A5C" w:rsidRDefault="00CF5A5C" w:rsidP="005707FF">
      <w:pPr>
        <w:spacing w:before="240"/>
        <w:jc w:val="center"/>
      </w:pPr>
      <w:r w:rsidRPr="00D84488">
        <w:rPr>
          <w:rFonts w:asciiTheme="majorBidi" w:hAnsiTheme="majorBidi" w:cstheme="majorBidi"/>
          <w:u w:val="single"/>
          <w:lang w:val="en-US"/>
        </w:rPr>
        <w:tab/>
      </w:r>
      <w:r w:rsidRPr="00D84488">
        <w:rPr>
          <w:rFonts w:asciiTheme="majorBidi" w:hAnsiTheme="majorBidi" w:cstheme="majorBidi"/>
          <w:u w:val="single"/>
          <w:lang w:val="en-US"/>
        </w:rPr>
        <w:tab/>
      </w:r>
      <w:r w:rsidRPr="00D84488">
        <w:rPr>
          <w:rFonts w:asciiTheme="majorBidi" w:hAnsiTheme="majorBidi" w:cstheme="majorBidi"/>
          <w:u w:val="single"/>
          <w:lang w:val="en-US"/>
        </w:rPr>
        <w:tab/>
      </w:r>
    </w:p>
    <w:sectPr w:rsidR="00CF5A5C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A938" w14:textId="77777777" w:rsidR="0027028F" w:rsidRPr="00FB1744" w:rsidRDefault="0027028F" w:rsidP="00FB1744">
      <w:pPr>
        <w:pStyle w:val="Footer"/>
      </w:pPr>
    </w:p>
  </w:endnote>
  <w:endnote w:type="continuationSeparator" w:id="0">
    <w:p w14:paraId="68F9FBF3" w14:textId="77777777" w:rsidR="0027028F" w:rsidRPr="00FB1744" w:rsidRDefault="0027028F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E0ED" w14:textId="77777777" w:rsidR="00CF5A5C" w:rsidRDefault="00CF5A5C" w:rsidP="00CF5A5C">
    <w:pPr>
      <w:pStyle w:val="Footer"/>
      <w:tabs>
        <w:tab w:val="right" w:pos="9638"/>
      </w:tabs>
    </w:pPr>
    <w:r w:rsidRPr="00CF5A5C">
      <w:rPr>
        <w:b/>
        <w:bCs/>
        <w:sz w:val="18"/>
      </w:rPr>
      <w:fldChar w:fldCharType="begin"/>
    </w:r>
    <w:r w:rsidRPr="00CF5A5C">
      <w:rPr>
        <w:b/>
        <w:bCs/>
        <w:sz w:val="18"/>
      </w:rPr>
      <w:instrText xml:space="preserve"> PAGE  \* MERGEFORMAT </w:instrText>
    </w:r>
    <w:r w:rsidRPr="00CF5A5C">
      <w:rPr>
        <w:b/>
        <w:bCs/>
        <w:sz w:val="18"/>
      </w:rPr>
      <w:fldChar w:fldCharType="separate"/>
    </w:r>
    <w:r w:rsidRPr="00CF5A5C">
      <w:rPr>
        <w:b/>
        <w:bCs/>
        <w:noProof/>
        <w:sz w:val="18"/>
      </w:rPr>
      <w:t>2</w:t>
    </w:r>
    <w:r w:rsidRPr="00CF5A5C">
      <w:rPr>
        <w:b/>
        <w:bCs/>
        <w:sz w:val="18"/>
      </w:rPr>
      <w:fldChar w:fldCharType="end"/>
    </w:r>
    <w:r>
      <w:tab/>
      <w:t>GE.20-07138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3BF2" w14:textId="77777777" w:rsidR="00CF5A5C" w:rsidRDefault="00CF5A5C" w:rsidP="00CF5A5C">
    <w:pPr>
      <w:pStyle w:val="Footer"/>
      <w:tabs>
        <w:tab w:val="right" w:pos="9638"/>
      </w:tabs>
    </w:pPr>
    <w:r>
      <w:t>GE.20-07138</w:t>
    </w:r>
    <w:r>
      <w:tab/>
    </w:r>
    <w:r w:rsidRPr="00CF5A5C">
      <w:rPr>
        <w:b/>
        <w:bCs/>
        <w:sz w:val="18"/>
      </w:rPr>
      <w:fldChar w:fldCharType="begin"/>
    </w:r>
    <w:r w:rsidRPr="00CF5A5C">
      <w:rPr>
        <w:b/>
        <w:bCs/>
        <w:sz w:val="18"/>
      </w:rPr>
      <w:instrText xml:space="preserve"> PAGE  \* MERGEFORMAT </w:instrText>
    </w:r>
    <w:r w:rsidRPr="00CF5A5C">
      <w:rPr>
        <w:b/>
        <w:bCs/>
        <w:sz w:val="18"/>
      </w:rPr>
      <w:fldChar w:fldCharType="separate"/>
    </w:r>
    <w:r w:rsidRPr="00CF5A5C">
      <w:rPr>
        <w:b/>
        <w:bCs/>
        <w:noProof/>
        <w:sz w:val="18"/>
      </w:rPr>
      <w:t>3</w:t>
    </w:r>
    <w:r w:rsidRPr="00CF5A5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017A" w14:textId="77777777" w:rsidR="00CF5A5C" w:rsidRDefault="00CF5A5C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C94B448" wp14:editId="7FD5058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750DB" w14:textId="2A1093B5" w:rsidR="00CF5A5C" w:rsidRDefault="00CF5A5C" w:rsidP="00CF5A5C">
    <w:pPr>
      <w:pStyle w:val="Footer"/>
      <w:rPr>
        <w:sz w:val="20"/>
      </w:rPr>
    </w:pPr>
    <w:r>
      <w:rPr>
        <w:sz w:val="20"/>
      </w:rPr>
      <w:t>GE.20-07138  (E)    0906</w:t>
    </w:r>
    <w:r w:rsidR="001E1BE0">
      <w:rPr>
        <w:sz w:val="20"/>
      </w:rPr>
      <w:t>20    090620</w:t>
    </w:r>
  </w:p>
  <w:p w14:paraId="43D5A97D" w14:textId="77777777" w:rsidR="00CF5A5C" w:rsidRPr="00CF5A5C" w:rsidRDefault="00CF5A5C" w:rsidP="00CF5A5C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A41B794" wp14:editId="362C70C6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4C79" w14:textId="77777777" w:rsidR="0027028F" w:rsidRPr="00FB1744" w:rsidRDefault="0027028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55ED92A" w14:textId="77777777" w:rsidR="0027028F" w:rsidRPr="00FB1744" w:rsidRDefault="0027028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BE25586" w14:textId="77777777" w:rsidR="00CF5A5C" w:rsidRPr="00EE0BFD" w:rsidRDefault="00CF5A5C" w:rsidP="00CF5A5C">
      <w:pPr>
        <w:pStyle w:val="FootnoteText"/>
        <w:rPr>
          <w:lang w:val="en-US"/>
        </w:rPr>
      </w:pPr>
      <w:r w:rsidRPr="00C073E2">
        <w:rPr>
          <w:rStyle w:val="FootnoteReference"/>
          <w:sz w:val="20"/>
          <w:szCs w:val="22"/>
          <w:vertAlign w:val="baseline"/>
        </w:rPr>
        <w:tab/>
        <w:t>*</w:t>
      </w:r>
      <w:r w:rsidRPr="00C073E2">
        <w:rPr>
          <w:rStyle w:val="FootnoteReference"/>
          <w:sz w:val="20"/>
          <w:szCs w:val="22"/>
          <w:vertAlign w:val="baseline"/>
        </w:rPr>
        <w:tab/>
      </w:r>
      <w:r w:rsidRPr="00366BAC">
        <w:t>Distributed in German by the Central Commission for the Navigation of the Rhine under the symbol CCNR-ZKR/ADN/WP.15/AC.2/2020/26.</w:t>
      </w:r>
    </w:p>
  </w:footnote>
  <w:footnote w:id="2">
    <w:p w14:paraId="14F7D3A5" w14:textId="77777777" w:rsidR="00CF5A5C" w:rsidRPr="00EE0BFD" w:rsidRDefault="00CF5A5C" w:rsidP="00CF5A5C">
      <w:pPr>
        <w:pStyle w:val="FootnoteText"/>
      </w:pPr>
      <w:r w:rsidRPr="00C073E2">
        <w:rPr>
          <w:rStyle w:val="FootnoteReference"/>
          <w:sz w:val="20"/>
          <w:szCs w:val="22"/>
          <w:vertAlign w:val="baseline"/>
        </w:rPr>
        <w:tab/>
        <w:t>**</w:t>
      </w:r>
      <w:r w:rsidRPr="00C073E2">
        <w:rPr>
          <w:rStyle w:val="FootnoteReference"/>
          <w:sz w:val="20"/>
          <w:szCs w:val="22"/>
          <w:vertAlign w:val="baseline"/>
        </w:rPr>
        <w:tab/>
      </w:r>
      <w:r w:rsidRPr="00EE0BFD">
        <w:t>In accordance with the programme of work of the Inland Transport Committee for 2020 as outlined in the proposed programme budget for 2020 (A/74/6 (part V, sect. 20), para.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8892" w14:textId="77777777" w:rsidR="00CF5A5C" w:rsidRDefault="00CF5A5C" w:rsidP="00CF5A5C">
    <w:pPr>
      <w:pStyle w:val="Header"/>
    </w:pPr>
    <w:r>
      <w:t>ECE/TRANS/WP.15/AC.2/2020/26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42B6" w14:textId="77777777" w:rsidR="00CF5A5C" w:rsidRDefault="00CF5A5C" w:rsidP="00CF5A5C">
    <w:pPr>
      <w:pStyle w:val="Header"/>
      <w:jc w:val="right"/>
    </w:pPr>
    <w:r>
      <w:t>ECE/TRANS/WP.15/AC.2/2020/26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F"/>
    <w:rsid w:val="00046E92"/>
    <w:rsid w:val="000534E2"/>
    <w:rsid w:val="00073AED"/>
    <w:rsid w:val="000D1B89"/>
    <w:rsid w:val="001170DC"/>
    <w:rsid w:val="001E1BE0"/>
    <w:rsid w:val="00247E2C"/>
    <w:rsid w:val="0027028F"/>
    <w:rsid w:val="002D6C53"/>
    <w:rsid w:val="002F5595"/>
    <w:rsid w:val="00334F6A"/>
    <w:rsid w:val="00342AC8"/>
    <w:rsid w:val="003B4550"/>
    <w:rsid w:val="0043448D"/>
    <w:rsid w:val="004604CD"/>
    <w:rsid w:val="00461083"/>
    <w:rsid w:val="00461253"/>
    <w:rsid w:val="00471CF2"/>
    <w:rsid w:val="004765BD"/>
    <w:rsid w:val="005042C2"/>
    <w:rsid w:val="00506C12"/>
    <w:rsid w:val="0056599A"/>
    <w:rsid w:val="005707FF"/>
    <w:rsid w:val="00587690"/>
    <w:rsid w:val="00671529"/>
    <w:rsid w:val="006F1129"/>
    <w:rsid w:val="00717266"/>
    <w:rsid w:val="007268F9"/>
    <w:rsid w:val="007C52B0"/>
    <w:rsid w:val="0086631C"/>
    <w:rsid w:val="009411B4"/>
    <w:rsid w:val="009D0139"/>
    <w:rsid w:val="009F5CDC"/>
    <w:rsid w:val="00A17BD7"/>
    <w:rsid w:val="00A429CD"/>
    <w:rsid w:val="00A775CF"/>
    <w:rsid w:val="00AB3C7E"/>
    <w:rsid w:val="00B06045"/>
    <w:rsid w:val="00C073E2"/>
    <w:rsid w:val="00C2128A"/>
    <w:rsid w:val="00C35A27"/>
    <w:rsid w:val="00CF5A5C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21599"/>
  <w15:docId w15:val="{9974A685-F585-4BBC-9500-7A2D357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CF5A5C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1197-D50A-4843-BED7-612F546A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ECE/TRANS/WP.15/AC.2/2020/26</vt:lpstr>
    </vt:vector>
  </TitlesOfParts>
  <Company>DCM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ECE/TRANS/WP.15/AC.2/2020/26</dc:title>
  <dc:subject>2007138</dc:subject>
  <dc:creator>cg</dc:creator>
  <cp:keywords/>
  <dc:description/>
  <cp:lastModifiedBy>Secretariat</cp:lastModifiedBy>
  <cp:revision>2</cp:revision>
  <dcterms:created xsi:type="dcterms:W3CDTF">2020-06-11T14:56:00Z</dcterms:created>
  <dcterms:modified xsi:type="dcterms:W3CDTF">2020-06-11T14:56:00Z</dcterms:modified>
</cp:coreProperties>
</file>