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A3E79" w:rsidRPr="00DB58B5" w:rsidTr="00111B8A">
        <w:trPr>
          <w:trHeight w:hRule="exact" w:val="851"/>
        </w:trPr>
        <w:tc>
          <w:tcPr>
            <w:tcW w:w="1276" w:type="dxa"/>
            <w:tcBorders>
              <w:bottom w:val="single" w:sz="4" w:space="0" w:color="auto"/>
            </w:tcBorders>
          </w:tcPr>
          <w:p w:rsidR="007A3E79" w:rsidRPr="00DB58B5" w:rsidRDefault="007A3E79" w:rsidP="00111B8A"/>
        </w:tc>
        <w:tc>
          <w:tcPr>
            <w:tcW w:w="2268" w:type="dxa"/>
            <w:tcBorders>
              <w:bottom w:val="single" w:sz="4" w:space="0" w:color="auto"/>
            </w:tcBorders>
            <w:vAlign w:val="bottom"/>
          </w:tcPr>
          <w:p w:rsidR="007A3E79" w:rsidRPr="00DB58B5" w:rsidRDefault="007A3E79" w:rsidP="00111B8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7A3E79" w:rsidRPr="00DB58B5" w:rsidRDefault="007A3E79" w:rsidP="007A3E79">
            <w:pPr>
              <w:jc w:val="right"/>
            </w:pPr>
            <w:r w:rsidRPr="00551E31">
              <w:rPr>
                <w:sz w:val="40"/>
              </w:rPr>
              <w:t>ECE</w:t>
            </w:r>
            <w:r>
              <w:t>/TRANS/WP.15/AC.2/</w:t>
            </w:r>
            <w:r w:rsidR="002F42AA">
              <w:t>2020</w:t>
            </w:r>
            <w:r>
              <w:t>/</w:t>
            </w:r>
            <w:r w:rsidR="002F42AA">
              <w:t>23</w:t>
            </w:r>
          </w:p>
        </w:tc>
      </w:tr>
      <w:tr w:rsidR="007A3E79" w:rsidRPr="00DB58B5" w:rsidTr="00111B8A">
        <w:trPr>
          <w:trHeight w:hRule="exact" w:val="2835"/>
        </w:trPr>
        <w:tc>
          <w:tcPr>
            <w:tcW w:w="1276" w:type="dxa"/>
            <w:tcBorders>
              <w:top w:val="single" w:sz="4" w:space="0" w:color="auto"/>
              <w:bottom w:val="single" w:sz="12" w:space="0" w:color="auto"/>
            </w:tcBorders>
          </w:tcPr>
          <w:p w:rsidR="007A3E79" w:rsidRPr="00DB58B5" w:rsidRDefault="007A3E79" w:rsidP="00111B8A">
            <w:pPr>
              <w:spacing w:before="120"/>
              <w:jc w:val="center"/>
            </w:pPr>
            <w:r>
              <w:rPr>
                <w:noProof/>
                <w:lang w:val="en-GB" w:eastAsia="en-GB"/>
              </w:rPr>
              <w:drawing>
                <wp:inline distT="0" distB="0" distL="0" distR="0" wp14:anchorId="2D44063D" wp14:editId="25B016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A3E79" w:rsidRPr="00740562" w:rsidRDefault="007A3E79" w:rsidP="00111B8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A3E79" w:rsidRDefault="007A3E79" w:rsidP="00A60C38">
            <w:pPr>
              <w:tabs>
                <w:tab w:val="right" w:pos="2835"/>
              </w:tabs>
              <w:spacing w:before="240"/>
            </w:pPr>
            <w:proofErr w:type="spellStart"/>
            <w:r>
              <w:t>Distr</w:t>
            </w:r>
            <w:proofErr w:type="spellEnd"/>
            <w:r>
              <w:t xml:space="preserve">. </w:t>
            </w:r>
            <w:proofErr w:type="gramStart"/>
            <w:r>
              <w:t>générale</w:t>
            </w:r>
            <w:proofErr w:type="gramEnd"/>
            <w:r w:rsidR="00A60C38">
              <w:tab/>
            </w:r>
          </w:p>
          <w:p w:rsidR="007A3E79" w:rsidRDefault="002F42AA" w:rsidP="00111B8A">
            <w:pPr>
              <w:spacing w:line="240" w:lineRule="exact"/>
            </w:pPr>
            <w:r>
              <w:t xml:space="preserve">18 </w:t>
            </w:r>
            <w:r w:rsidR="007A3E79">
              <w:t xml:space="preserve">novembre </w:t>
            </w:r>
            <w:r>
              <w:t>2019</w:t>
            </w:r>
          </w:p>
          <w:p w:rsidR="007A3E79" w:rsidRDefault="007A3E79" w:rsidP="00111B8A">
            <w:pPr>
              <w:spacing w:line="240" w:lineRule="exact"/>
            </w:pPr>
            <w:r>
              <w:t>Français</w:t>
            </w:r>
          </w:p>
          <w:p w:rsidR="007A3E79" w:rsidRPr="00DB58B5" w:rsidRDefault="007A3E79" w:rsidP="00111B8A">
            <w:pPr>
              <w:spacing w:line="240" w:lineRule="exact"/>
            </w:pPr>
            <w:r>
              <w:t>Original : anglais et français</w:t>
            </w:r>
          </w:p>
        </w:tc>
      </w:tr>
    </w:tbl>
    <w:p w:rsidR="007A3E79" w:rsidRPr="000312C0" w:rsidRDefault="007A3E79" w:rsidP="007A3E79">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7A3E79" w:rsidRDefault="007A3E79" w:rsidP="007A3E79">
      <w:pPr>
        <w:spacing w:before="120"/>
        <w:rPr>
          <w:sz w:val="28"/>
          <w:szCs w:val="28"/>
        </w:rPr>
      </w:pPr>
      <w:r w:rsidRPr="00685843">
        <w:rPr>
          <w:sz w:val="28"/>
          <w:szCs w:val="28"/>
        </w:rPr>
        <w:t>Comité des transports intérieurs</w:t>
      </w:r>
    </w:p>
    <w:p w:rsidR="007A3E79" w:rsidRPr="009E01B8" w:rsidRDefault="007A3E79" w:rsidP="007A3E79">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7A3E79" w:rsidRPr="004812F5" w:rsidRDefault="007A3E79" w:rsidP="007A3E79">
      <w:pPr>
        <w:spacing w:before="120"/>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rsidR="00F3492A" w:rsidRPr="00234E40" w:rsidRDefault="00F3492A" w:rsidP="00F3492A">
      <w:pPr>
        <w:spacing w:before="120"/>
        <w:rPr>
          <w:b/>
        </w:rPr>
      </w:pPr>
      <w:r>
        <w:rPr>
          <w:b/>
        </w:rPr>
        <w:t xml:space="preserve">Trente-sixième </w:t>
      </w:r>
      <w:r w:rsidRPr="00234E40">
        <w:rPr>
          <w:b/>
        </w:rPr>
        <w:t>session</w:t>
      </w:r>
    </w:p>
    <w:p w:rsidR="00F3492A" w:rsidRDefault="00F3492A" w:rsidP="00F3492A">
      <w:r>
        <w:t>Genève, 27-31 janvier 2020</w:t>
      </w:r>
    </w:p>
    <w:p w:rsidR="007A3E79" w:rsidRDefault="007A3E79" w:rsidP="00F3492A">
      <w:r w:rsidRPr="00B93E72">
        <w:t xml:space="preserve">Point </w:t>
      </w:r>
      <w:r>
        <w:t>5 a)</w:t>
      </w:r>
      <w:r w:rsidRPr="00B93E72">
        <w:t xml:space="preserve"> de l</w:t>
      </w:r>
      <w:r>
        <w:t>’</w:t>
      </w:r>
      <w:r w:rsidRPr="00B93E72">
        <w:t>ordre du jour provisoire</w:t>
      </w:r>
    </w:p>
    <w:p w:rsidR="007A3E79" w:rsidRDefault="007A3E79" w:rsidP="007A3E79">
      <w:pPr>
        <w:rPr>
          <w:b/>
          <w:lang w:val="fr-FR"/>
        </w:rPr>
      </w:pPr>
      <w:r w:rsidRPr="00551E31">
        <w:rPr>
          <w:b/>
        </w:rPr>
        <w:t>Propositions d</w:t>
      </w:r>
      <w:r>
        <w:rPr>
          <w:b/>
        </w:rPr>
        <w:t>’</w:t>
      </w:r>
      <w:r w:rsidRPr="00551E31">
        <w:rPr>
          <w:b/>
        </w:rPr>
        <w:t>amendements au Règlement annexé à l</w:t>
      </w:r>
      <w:r>
        <w:rPr>
          <w:b/>
        </w:rPr>
        <w:t>’</w:t>
      </w:r>
      <w:r w:rsidR="00E71C07">
        <w:rPr>
          <w:b/>
        </w:rPr>
        <w:t>ADN :</w:t>
      </w:r>
      <w:r w:rsidR="00E71C07">
        <w:rPr>
          <w:b/>
        </w:rPr>
        <w:br/>
      </w:r>
      <w:r w:rsidR="00E71C07" w:rsidRPr="00E71C07">
        <w:rPr>
          <w:b/>
          <w:lang w:val="fr-FR"/>
        </w:rPr>
        <w:t>travaux de la Réunion commune RID/ADR/ADN</w:t>
      </w:r>
    </w:p>
    <w:p w:rsidR="002F42AA" w:rsidRPr="00C85ADC" w:rsidRDefault="002F42AA" w:rsidP="002F42AA">
      <w:pPr>
        <w:pStyle w:val="HChG"/>
        <w:rPr>
          <w:lang w:val="fr-FR"/>
        </w:rPr>
      </w:pPr>
      <w:r w:rsidRPr="00C85ADC">
        <w:rPr>
          <w:lang w:val="fr-FR"/>
        </w:rPr>
        <w:tab/>
      </w:r>
      <w:r w:rsidRPr="00C85ADC">
        <w:rPr>
          <w:lang w:val="fr-FR"/>
        </w:rPr>
        <w:tab/>
        <w:t xml:space="preserve">Liste consolidée d'amendements adoptés par la Réunion Commune et par le Groupe de </w:t>
      </w:r>
      <w:r w:rsidR="00A02824">
        <w:rPr>
          <w:lang w:val="fr-FR"/>
        </w:rPr>
        <w:t>t</w:t>
      </w:r>
      <w:r w:rsidRPr="00C85ADC">
        <w:rPr>
          <w:lang w:val="fr-FR"/>
        </w:rPr>
        <w:t xml:space="preserve">ravail </w:t>
      </w:r>
      <w:r w:rsidR="00A02824" w:rsidRPr="0031373C">
        <w:t>des transports de marchandises dangereuses (WP.15)</w:t>
      </w:r>
      <w:r w:rsidR="00A02824">
        <w:t xml:space="preserve"> </w:t>
      </w:r>
      <w:r w:rsidR="00A02824" w:rsidRPr="00713B01">
        <w:rPr>
          <w:lang w:val="fr-FR"/>
        </w:rPr>
        <w:t xml:space="preserve">pour </w:t>
      </w:r>
      <w:proofErr w:type="spellStart"/>
      <w:r w:rsidR="00A02824" w:rsidRPr="00713B01">
        <w:rPr>
          <w:lang w:val="fr-FR"/>
        </w:rPr>
        <w:t>entrée</w:t>
      </w:r>
      <w:proofErr w:type="spellEnd"/>
      <w:r w:rsidR="00A02824" w:rsidRPr="00713B01">
        <w:rPr>
          <w:lang w:val="fr-FR"/>
        </w:rPr>
        <w:t xml:space="preserve"> en vigueur le </w:t>
      </w:r>
      <w:r w:rsidR="00A02824" w:rsidRPr="00713B01">
        <w:rPr>
          <w:lang w:val="fr-FR"/>
        </w:rPr>
        <w:br/>
        <w:t>1</w:t>
      </w:r>
      <w:r w:rsidR="00A02824" w:rsidRPr="00713B01">
        <w:rPr>
          <w:vertAlign w:val="superscript"/>
          <w:lang w:val="fr-FR"/>
        </w:rPr>
        <w:t>er</w:t>
      </w:r>
      <w:r w:rsidR="00A02824" w:rsidRPr="00713B01">
        <w:rPr>
          <w:lang w:val="fr-FR"/>
        </w:rPr>
        <w:t xml:space="preserve"> janvier 20</w:t>
      </w:r>
      <w:r w:rsidR="00A02824">
        <w:rPr>
          <w:lang w:val="fr-FR"/>
        </w:rPr>
        <w:t>21</w:t>
      </w:r>
      <w:bookmarkStart w:id="0" w:name="_GoBack"/>
      <w:bookmarkEnd w:id="0"/>
    </w:p>
    <w:p w:rsidR="002F42AA" w:rsidRPr="00C85ADC" w:rsidRDefault="002F42AA" w:rsidP="002F42AA">
      <w:pPr>
        <w:pStyle w:val="H23G"/>
        <w:rPr>
          <w:lang w:val="fr-FR"/>
        </w:rPr>
      </w:pPr>
      <w:r w:rsidRPr="00C85ADC">
        <w:rPr>
          <w:lang w:val="fr-FR"/>
        </w:rPr>
        <w:tab/>
      </w:r>
      <w:r w:rsidRPr="00C85ADC">
        <w:rPr>
          <w:lang w:val="fr-FR"/>
        </w:rPr>
        <w:tab/>
        <w:t>Note du secrétariat</w:t>
      </w:r>
      <w:r w:rsidR="00F3492A" w:rsidRPr="00A67CE0">
        <w:rPr>
          <w:rStyle w:val="FootnoteReference"/>
          <w:bCs/>
          <w:sz w:val="20"/>
        </w:rPr>
        <w:footnoteReference w:customMarkFollows="1" w:id="2"/>
        <w:t>*,</w:t>
      </w:r>
      <w:r w:rsidR="00F3492A" w:rsidRPr="00A67CE0">
        <w:rPr>
          <w:vertAlign w:val="superscript"/>
          <w:lang w:val="fr-FR"/>
        </w:rPr>
        <w:t xml:space="preserve"> </w:t>
      </w:r>
      <w:r w:rsidR="00F3492A" w:rsidRPr="00A67CE0">
        <w:rPr>
          <w:rStyle w:val="FootnoteReference"/>
          <w:bCs/>
          <w:sz w:val="20"/>
        </w:rPr>
        <w:footnoteReference w:customMarkFollows="1" w:id="3"/>
        <w:t>*</w:t>
      </w:r>
      <w:r w:rsidR="00F3492A" w:rsidRPr="00A67CE0">
        <w:rPr>
          <w:rStyle w:val="FootnoteReference"/>
          <w:bCs/>
          <w:sz w:val="20"/>
          <w:szCs w:val="18"/>
        </w:rPr>
        <w:t>*</w:t>
      </w:r>
      <w:r w:rsidRPr="00C85ADC">
        <w:rPr>
          <w:lang w:val="fr-FR"/>
        </w:rPr>
        <w:t xml:space="preserve"> </w:t>
      </w:r>
    </w:p>
    <w:p w:rsidR="0031373C" w:rsidRPr="0031373C" w:rsidRDefault="0031373C" w:rsidP="0031373C">
      <w:pPr>
        <w:pStyle w:val="SingleTxtG"/>
      </w:pPr>
      <w:r w:rsidRPr="0031373C">
        <w:t>1.</w:t>
      </w:r>
      <w:r>
        <w:tab/>
      </w:r>
      <w:r w:rsidRPr="0031373C">
        <w:t xml:space="preserve">Le secrétariat reproduit ci-après les projets d'amendements </w:t>
      </w:r>
      <w:r w:rsidR="00D305FA" w:rsidRPr="00713B01">
        <w:rPr>
          <w:lang w:val="fr-FR"/>
        </w:rPr>
        <w:t xml:space="preserve">pertinents pour l'ADN </w:t>
      </w:r>
      <w:r w:rsidRPr="0031373C">
        <w:t xml:space="preserve">adoptés par la Réunion commune à ses sessions de printemps et d'automne 2018 </w:t>
      </w:r>
      <w:r w:rsidRPr="00C85ADC">
        <w:rPr>
          <w:lang w:val="fr-FR"/>
        </w:rPr>
        <w:t xml:space="preserve">et à ses sessions </w:t>
      </w:r>
      <w:r w:rsidRPr="0031373C">
        <w:t xml:space="preserve">de printemps et d'automne 2019, ainsi que les amendements </w:t>
      </w:r>
      <w:r w:rsidR="00D305FA" w:rsidRPr="00713B01">
        <w:rPr>
          <w:lang w:val="fr-FR"/>
        </w:rPr>
        <w:t xml:space="preserve">pertinents pour l'ADN </w:t>
      </w:r>
      <w:r w:rsidRPr="0031373C">
        <w:t>adoptés par le Groupe de travail des transports de marchandises dangereuses (WP.15) pendant la période biennale.</w:t>
      </w:r>
    </w:p>
    <w:p w:rsidR="0031373C" w:rsidRPr="0031373C" w:rsidRDefault="0031373C" w:rsidP="0031373C">
      <w:pPr>
        <w:pStyle w:val="SingleTxtG"/>
      </w:pPr>
      <w:r w:rsidRPr="0031373C">
        <w:t>2.</w:t>
      </w:r>
      <w:r>
        <w:tab/>
      </w:r>
      <w:r w:rsidRPr="0031373C">
        <w:t xml:space="preserve">Les amendements adoptés par la Réunion commune à ses sessions de printemps et d'automne 2018 et à ses sessions de printemps et d'automne 2019 figurent dans le document ECE/TRANS/WP.15/AC.1/150, annexe </w:t>
      </w:r>
      <w:proofErr w:type="gramStart"/>
      <w:r w:rsidRPr="0031373C">
        <w:t>IV;</w:t>
      </w:r>
      <w:proofErr w:type="gramEnd"/>
      <w:r w:rsidRPr="0031373C">
        <w:t xml:space="preserve"> </w:t>
      </w:r>
      <w:r w:rsidR="00A21DAE" w:rsidRPr="0031373C">
        <w:t>ECE/TRANS/WP.15/AC.1</w:t>
      </w:r>
      <w:r w:rsidRPr="0031373C">
        <w:t xml:space="preserve">/152, annexe II; </w:t>
      </w:r>
      <w:r w:rsidR="00A21DAE" w:rsidRPr="0031373C">
        <w:t>ECE/TRANS/WP.15/AC.1</w:t>
      </w:r>
      <w:r w:rsidRPr="0031373C">
        <w:t xml:space="preserve">/154, annexe II, </w:t>
      </w:r>
      <w:r w:rsidR="00A21DAE" w:rsidRPr="0031373C">
        <w:t>ECE/TRANS/WP.15/AC.1</w:t>
      </w:r>
      <w:r w:rsidRPr="0031373C">
        <w:t xml:space="preserve">/156, annexe II et </w:t>
      </w:r>
      <w:r w:rsidR="00A21DAE" w:rsidRPr="0031373C">
        <w:t>ECE/TRANS/WP.15/AC.1</w:t>
      </w:r>
      <w:r w:rsidRPr="0031373C">
        <w:t>/ 2019/22/Add.1.</w:t>
      </w:r>
    </w:p>
    <w:p w:rsidR="0031373C" w:rsidRPr="0031373C" w:rsidRDefault="0031373C" w:rsidP="0031373C">
      <w:pPr>
        <w:pStyle w:val="SingleTxtG"/>
      </w:pPr>
      <w:r w:rsidRPr="0031373C">
        <w:t xml:space="preserve">Le texte en noir correspond au </w:t>
      </w:r>
      <w:r w:rsidR="00D305FA" w:rsidRPr="00713B01">
        <w:rPr>
          <w:lang w:val="fr-FR"/>
        </w:rPr>
        <w:t>projet</w:t>
      </w:r>
      <w:r w:rsidR="009A071F" w:rsidRPr="00713B01">
        <w:rPr>
          <w:lang w:val="fr-FR"/>
        </w:rPr>
        <w:t xml:space="preserve"> d'amendements pertinents pour l'ADN adoptés par le Groupe de travail des transports de marchandises dangereuses (WP.15) et la Réunion </w:t>
      </w:r>
      <w:r w:rsidR="009A071F" w:rsidRPr="00713B01">
        <w:rPr>
          <w:lang w:val="fr-FR"/>
        </w:rPr>
        <w:lastRenderedPageBreak/>
        <w:t>Commune RID/ADR/ADN en 201</w:t>
      </w:r>
      <w:r w:rsidR="009A071F">
        <w:rPr>
          <w:lang w:val="fr-FR"/>
        </w:rPr>
        <w:t>8</w:t>
      </w:r>
      <w:r w:rsidR="009A071F" w:rsidRPr="00713B01">
        <w:rPr>
          <w:lang w:val="fr-FR"/>
        </w:rPr>
        <w:t xml:space="preserve"> et 201</w:t>
      </w:r>
      <w:r w:rsidR="009A071F">
        <w:rPr>
          <w:lang w:val="fr-FR"/>
        </w:rPr>
        <w:t>9</w:t>
      </w:r>
      <w:r w:rsidR="009A071F" w:rsidRPr="00713B01">
        <w:rPr>
          <w:lang w:val="fr-FR"/>
        </w:rPr>
        <w:t xml:space="preserve"> pour </w:t>
      </w:r>
      <w:proofErr w:type="spellStart"/>
      <w:r w:rsidR="009A071F" w:rsidRPr="00713B01">
        <w:rPr>
          <w:lang w:val="fr-FR"/>
        </w:rPr>
        <w:t>entrée</w:t>
      </w:r>
      <w:proofErr w:type="spellEnd"/>
      <w:r w:rsidR="009A071F" w:rsidRPr="00713B01">
        <w:rPr>
          <w:lang w:val="fr-FR"/>
        </w:rPr>
        <w:t xml:space="preserve"> en vigueur le </w:t>
      </w:r>
      <w:r w:rsidR="009A071F" w:rsidRPr="00713B01">
        <w:rPr>
          <w:lang w:val="fr-FR"/>
        </w:rPr>
        <w:br/>
        <w:t>1</w:t>
      </w:r>
      <w:r w:rsidR="009A071F" w:rsidRPr="00713B01">
        <w:rPr>
          <w:vertAlign w:val="superscript"/>
          <w:lang w:val="fr-FR"/>
        </w:rPr>
        <w:t>er</w:t>
      </w:r>
      <w:r w:rsidR="009A071F" w:rsidRPr="00713B01">
        <w:rPr>
          <w:lang w:val="fr-FR"/>
        </w:rPr>
        <w:t xml:space="preserve"> janvier 20</w:t>
      </w:r>
      <w:r w:rsidR="009A071F">
        <w:rPr>
          <w:lang w:val="fr-FR"/>
        </w:rPr>
        <w:t>21</w:t>
      </w:r>
      <w:r w:rsidR="00982FCF">
        <w:rPr>
          <w:lang w:val="fr-FR"/>
        </w:rPr>
        <w:t>.</w:t>
      </w:r>
    </w:p>
    <w:p w:rsidR="0031373C" w:rsidRPr="004A022A" w:rsidRDefault="0031373C" w:rsidP="004A022A">
      <w:pPr>
        <w:pStyle w:val="SingleTxtG"/>
        <w:rPr>
          <w:lang w:val="fr-FR"/>
        </w:rPr>
      </w:pPr>
      <w:r w:rsidRPr="00C35261">
        <w:rPr>
          <w:color w:val="548DD4" w:themeColor="text2" w:themeTint="99"/>
        </w:rPr>
        <w:t>Le texte en bleu</w:t>
      </w:r>
      <w:r w:rsidRPr="0031373C">
        <w:rPr>
          <w:lang w:val="fr-FR"/>
        </w:rPr>
        <w:t xml:space="preserve"> correspond </w:t>
      </w:r>
      <w:r w:rsidR="004A022A">
        <w:rPr>
          <w:lang w:val="fr-FR"/>
        </w:rPr>
        <w:t>au p</w:t>
      </w:r>
      <w:r w:rsidR="004A022A" w:rsidRPr="004A022A">
        <w:rPr>
          <w:lang w:val="fr-FR"/>
        </w:rPr>
        <w:t>rojet d'amendements du Groupe de travail spécial de l’harmonisation des Règlements RID/ADR/ADN avec les Recommandations de l’ONU relatives au transport des marchandises dangereuses et modifié par la Réunion commune de la Commission d’experts du RID et du Groupe de travail des transports de marchandises dangereuses</w:t>
      </w:r>
      <w:r w:rsidR="004A022A">
        <w:rPr>
          <w:lang w:val="fr-FR"/>
        </w:rPr>
        <w:t>.</w:t>
      </w:r>
    </w:p>
    <w:p w:rsidR="002F42AA" w:rsidRPr="00C35261" w:rsidRDefault="002F42AA" w:rsidP="00982FCF">
      <w:pPr>
        <w:pStyle w:val="H1G"/>
      </w:pPr>
      <w:r w:rsidRPr="00C35261">
        <w:tab/>
      </w:r>
      <w:r w:rsidRPr="00C35261">
        <w:tab/>
        <w:t>Chapitre 1.1</w:t>
      </w:r>
    </w:p>
    <w:p w:rsidR="002F42AA" w:rsidRPr="00FB0637" w:rsidRDefault="002F42AA" w:rsidP="002F42AA">
      <w:pPr>
        <w:pStyle w:val="SingleTxtG"/>
        <w:tabs>
          <w:tab w:val="left" w:pos="2268"/>
        </w:tabs>
        <w:ind w:left="2259" w:hanging="1125"/>
        <w:rPr>
          <w:color w:val="548DD4" w:themeColor="text2" w:themeTint="99"/>
          <w:lang w:val="fr-FR"/>
        </w:rPr>
      </w:pPr>
      <w:r w:rsidRPr="00FB0637">
        <w:rPr>
          <w:color w:val="548DD4" w:themeColor="text2" w:themeTint="99"/>
          <w:lang w:val="fr-FR"/>
        </w:rPr>
        <w:t>1.1.3.7 b)</w:t>
      </w:r>
      <w:r w:rsidRPr="00FB0637">
        <w:rPr>
          <w:color w:val="548DD4" w:themeColor="text2" w:themeTint="99"/>
          <w:lang w:val="fr-FR"/>
        </w:rPr>
        <w:tab/>
        <w:t>À la fin, ajouter « à l’exception des équipements tels que les enregistreurs de données et les dispositifs de suivi des cargaisons, qui sont attachés ou placés dans des colis, des suremballages ou des conteneurs ou compartiments de charge pour lesquels seules les prescriptions du 5.5.4 s’appliquent ».</w:t>
      </w:r>
    </w:p>
    <w:p w:rsidR="002F42AA" w:rsidRPr="00C85ADC" w:rsidRDefault="002F42AA" w:rsidP="002F42AA">
      <w:pPr>
        <w:pStyle w:val="H1G"/>
        <w:rPr>
          <w:lang w:val="fr-FR"/>
        </w:rPr>
      </w:pPr>
      <w:r w:rsidRPr="00C85ADC">
        <w:rPr>
          <w:lang w:val="fr-FR"/>
        </w:rPr>
        <w:tab/>
      </w:r>
      <w:r w:rsidRPr="00C85ADC">
        <w:rPr>
          <w:lang w:val="fr-FR"/>
        </w:rPr>
        <w:tab/>
        <w:t>Chapitre 1.2</w:t>
      </w:r>
    </w:p>
    <w:p w:rsidR="002F42AA" w:rsidRPr="00C85ADC" w:rsidRDefault="002F42AA" w:rsidP="002F42AA">
      <w:pPr>
        <w:pStyle w:val="SingleTxtG"/>
        <w:tabs>
          <w:tab w:val="left" w:pos="2268"/>
        </w:tabs>
        <w:ind w:left="2259" w:hanging="1125"/>
        <w:rPr>
          <w:szCs w:val="24"/>
          <w:lang w:val="fr-FR"/>
        </w:rPr>
      </w:pPr>
      <w:r w:rsidRPr="00C85ADC">
        <w:rPr>
          <w:szCs w:val="24"/>
          <w:lang w:val="fr-FR"/>
        </w:rPr>
        <w:t>1.2.1</w:t>
      </w:r>
      <w:r w:rsidRPr="00C85ADC">
        <w:rPr>
          <w:szCs w:val="24"/>
          <w:lang w:val="fr-FR"/>
        </w:rPr>
        <w:tab/>
        <w:t>Insérer les nouvelles définitions suivantes, selon l’ordre alphabétique :</w:t>
      </w:r>
    </w:p>
    <w:p w:rsidR="002F42AA" w:rsidRPr="00FB0637" w:rsidRDefault="002F42AA" w:rsidP="002F42AA">
      <w:pPr>
        <w:pStyle w:val="SingleTxtG"/>
        <w:tabs>
          <w:tab w:val="left" w:pos="2268"/>
        </w:tabs>
        <w:ind w:left="2259" w:hanging="1125"/>
        <w:rPr>
          <w:color w:val="548DD4" w:themeColor="text2" w:themeTint="99"/>
          <w:szCs w:val="24"/>
          <w:lang w:val="fr-FR"/>
        </w:rPr>
      </w:pPr>
      <w:r w:rsidRPr="00FB0637">
        <w:rPr>
          <w:i/>
          <w:iCs/>
          <w:color w:val="548DD4" w:themeColor="text2" w:themeTint="99"/>
          <w:szCs w:val="24"/>
          <w:lang w:val="fr-FR"/>
        </w:rPr>
        <w:tab/>
        <w:t>« </w:t>
      </w:r>
      <w:bookmarkStart w:id="1" w:name="_Hlk2237740"/>
      <w:r w:rsidRPr="00FB0637">
        <w:rPr>
          <w:i/>
          <w:iCs/>
          <w:color w:val="548DD4" w:themeColor="text2" w:themeTint="99"/>
          <w:szCs w:val="24"/>
          <w:lang w:val="fr-FR"/>
        </w:rPr>
        <w:t>Débit de dose</w:t>
      </w:r>
      <w:r w:rsidRPr="00FB0637">
        <w:rPr>
          <w:color w:val="548DD4" w:themeColor="text2" w:themeTint="99"/>
          <w:szCs w:val="24"/>
          <w:lang w:val="fr-FR"/>
        </w:rPr>
        <w:t>, l’équivalent de dose ambiant ou l’équivalent de dose directionnel, suivant le cas, par unité de temps, mesuré au point d’intérêt ;</w:t>
      </w:r>
    </w:p>
    <w:bookmarkEnd w:id="1"/>
    <w:p w:rsidR="002F42AA" w:rsidRPr="00C85ADC" w:rsidRDefault="002F42AA" w:rsidP="002F42AA">
      <w:pPr>
        <w:pStyle w:val="SingleTxtG"/>
        <w:ind w:left="2259"/>
        <w:rPr>
          <w:lang w:val="fr-FR"/>
        </w:rPr>
      </w:pPr>
      <w:r w:rsidRPr="00C85ADC">
        <w:rPr>
          <w:lang w:val="fr-FR"/>
        </w:rPr>
        <w:t>« </w:t>
      </w:r>
      <w:r w:rsidRPr="00C85ADC">
        <w:rPr>
          <w:i/>
          <w:iCs/>
          <w:lang w:val="fr-FR"/>
        </w:rPr>
        <w:t xml:space="preserve">Règlement de transport des matières radioactives de l’AIEA, </w:t>
      </w:r>
      <w:r w:rsidRPr="00C85ADC">
        <w:rPr>
          <w:lang w:val="fr-FR"/>
        </w:rPr>
        <w:t xml:space="preserve">l’une des éditions de ce Règlement, comme suit : </w:t>
      </w:r>
    </w:p>
    <w:p w:rsidR="002F42AA" w:rsidRPr="00C85ADC" w:rsidRDefault="002F42AA" w:rsidP="002F42AA">
      <w:pPr>
        <w:pStyle w:val="SingleTxtG"/>
        <w:ind w:left="3393" w:hanging="567"/>
        <w:rPr>
          <w:lang w:val="fr-FR"/>
        </w:rPr>
      </w:pPr>
      <w:r w:rsidRPr="00C85ADC">
        <w:rPr>
          <w:lang w:val="fr-FR"/>
        </w:rPr>
        <w:t>a)</w:t>
      </w:r>
      <w:r w:rsidRPr="00C85ADC">
        <w:rPr>
          <w:lang w:val="fr-FR"/>
        </w:rPr>
        <w:tab/>
        <w:t>Pour les éditions de 1985 et de 1985 (</w:t>
      </w:r>
      <w:r w:rsidRPr="00C85ADC">
        <w:rPr>
          <w:szCs w:val="24"/>
          <w:lang w:val="fr-FR"/>
        </w:rPr>
        <w:t>telle que modifiée en 1990</w:t>
      </w:r>
      <w:r w:rsidRPr="00C85ADC">
        <w:rPr>
          <w:lang w:val="fr-FR"/>
        </w:rPr>
        <w:t xml:space="preserve">) : </w:t>
      </w:r>
      <w:r w:rsidRPr="00C85ADC">
        <w:rPr>
          <w:szCs w:val="24"/>
          <w:lang w:val="fr-FR"/>
        </w:rPr>
        <w:t>No 6 de la Collection Sécurité de l'AIEA ;</w:t>
      </w:r>
    </w:p>
    <w:p w:rsidR="002F42AA" w:rsidRPr="00C85ADC" w:rsidRDefault="002F42AA" w:rsidP="002F42AA">
      <w:pPr>
        <w:pStyle w:val="SingleTxtG"/>
        <w:ind w:left="3393" w:hanging="567"/>
        <w:rPr>
          <w:lang w:val="fr-FR"/>
        </w:rPr>
      </w:pPr>
      <w:r w:rsidRPr="00C85ADC">
        <w:rPr>
          <w:lang w:val="fr-FR"/>
        </w:rPr>
        <w:t>(b)</w:t>
      </w:r>
      <w:r w:rsidRPr="00C85ADC">
        <w:rPr>
          <w:lang w:val="fr-FR"/>
        </w:rPr>
        <w:tab/>
        <w:t>Pour l’édition de 1996 :  No. ST-1 de la Collection des Normes de Sûreté de l’AIEA ;</w:t>
      </w:r>
    </w:p>
    <w:p w:rsidR="002F42AA" w:rsidRPr="00C85ADC" w:rsidRDefault="002F42AA" w:rsidP="002F42AA">
      <w:pPr>
        <w:pStyle w:val="SingleTxtG"/>
        <w:ind w:left="3393" w:hanging="567"/>
        <w:rPr>
          <w:lang w:val="fr-FR"/>
        </w:rPr>
      </w:pPr>
      <w:r w:rsidRPr="00C85ADC">
        <w:rPr>
          <w:lang w:val="fr-FR"/>
        </w:rPr>
        <w:t>(c)</w:t>
      </w:r>
      <w:r w:rsidRPr="00C85ADC">
        <w:rPr>
          <w:lang w:val="fr-FR"/>
        </w:rPr>
        <w:tab/>
        <w:t>Pour l’édition de 1996 (révisée) : No. TS-R-1 (ST-1, révisée) de la Collection des Normes de Sûreté de l’AIEA ;</w:t>
      </w:r>
    </w:p>
    <w:p w:rsidR="002F42AA" w:rsidRPr="00C85ADC" w:rsidRDefault="002F42AA" w:rsidP="002F42AA">
      <w:pPr>
        <w:pStyle w:val="SingleTxtG"/>
        <w:ind w:left="3393" w:hanging="567"/>
        <w:rPr>
          <w:lang w:val="fr-FR"/>
        </w:rPr>
      </w:pPr>
      <w:r w:rsidRPr="00C85ADC">
        <w:rPr>
          <w:lang w:val="fr-FR"/>
        </w:rPr>
        <w:t>(d)</w:t>
      </w:r>
      <w:r w:rsidRPr="00C85ADC">
        <w:rPr>
          <w:lang w:val="fr-FR"/>
        </w:rPr>
        <w:tab/>
        <w:t xml:space="preserve">Pour les éditions de </w:t>
      </w:r>
      <w:r w:rsidRPr="00C85ADC">
        <w:rPr>
          <w:szCs w:val="24"/>
          <w:lang w:val="fr-FR"/>
        </w:rPr>
        <w:t>1996 (telle que modifiée en 2003),</w:t>
      </w:r>
      <w:r w:rsidRPr="00C85ADC">
        <w:rPr>
          <w:lang w:val="fr-FR"/>
        </w:rPr>
        <w:t xml:space="preserve"> 2005 et 2009 : No. TS-R-1 (ST-1, révisée) de la Collection des Normes de Sûreté de l’AIEA ; </w:t>
      </w:r>
    </w:p>
    <w:p w:rsidR="002F42AA" w:rsidRPr="00C85ADC" w:rsidRDefault="002F42AA" w:rsidP="002F42AA">
      <w:pPr>
        <w:pStyle w:val="SingleTxtG"/>
        <w:ind w:left="3393" w:hanging="567"/>
        <w:rPr>
          <w:lang w:val="fr-FR"/>
        </w:rPr>
      </w:pPr>
      <w:r w:rsidRPr="00C85ADC">
        <w:rPr>
          <w:lang w:val="fr-FR"/>
        </w:rPr>
        <w:t>(e)</w:t>
      </w:r>
      <w:r w:rsidRPr="00C85ADC">
        <w:rPr>
          <w:lang w:val="fr-FR"/>
        </w:rPr>
        <w:tab/>
        <w:t>Pour l’édition de 2012 : No. SSR-6 de la Collection des Normes de Sûreté de l’AIEA ;</w:t>
      </w:r>
    </w:p>
    <w:p w:rsidR="002F42AA" w:rsidRDefault="002F42AA" w:rsidP="002F42AA">
      <w:pPr>
        <w:pStyle w:val="SingleTxtG"/>
        <w:ind w:left="3393" w:hanging="567"/>
        <w:rPr>
          <w:lang w:val="fr-FR"/>
        </w:rPr>
      </w:pPr>
      <w:r w:rsidRPr="00C85ADC">
        <w:rPr>
          <w:lang w:val="fr-FR"/>
        </w:rPr>
        <w:t>(f)</w:t>
      </w:r>
      <w:r w:rsidRPr="00C85ADC">
        <w:rPr>
          <w:lang w:val="fr-FR"/>
        </w:rPr>
        <w:tab/>
        <w:t>Pour l’édition de 2018 : No. SSR–6 (Rev.1) de la Collection des Normes de Sûreté de l’AIEA. ».</w:t>
      </w:r>
    </w:p>
    <w:p w:rsidR="00460BCF" w:rsidRPr="00970F67" w:rsidRDefault="00460BCF" w:rsidP="00460BCF">
      <w:pPr>
        <w:pStyle w:val="SingleTxtG"/>
        <w:tabs>
          <w:tab w:val="left" w:pos="2268"/>
        </w:tabs>
        <w:ind w:left="2259" w:hanging="1125"/>
        <w:rPr>
          <w:i/>
          <w:iCs/>
        </w:rPr>
      </w:pPr>
      <w:r w:rsidRPr="00817699">
        <w:rPr>
          <w:i/>
          <w:iCs/>
        </w:rPr>
        <w:t>(</w:t>
      </w:r>
      <w:r w:rsidR="00EF52B3">
        <w:rPr>
          <w:i/>
          <w:iCs/>
        </w:rPr>
        <w:t xml:space="preserve">Document de </w:t>
      </w:r>
      <w:proofErr w:type="gramStart"/>
      <w:r w:rsidR="00EF52B3">
        <w:rPr>
          <w:i/>
          <w:iCs/>
        </w:rPr>
        <w:t>référence</w:t>
      </w:r>
      <w:r w:rsidRPr="00817699">
        <w:rPr>
          <w:i/>
          <w:iCs/>
        </w:rPr>
        <w:t>:</w:t>
      </w:r>
      <w:proofErr w:type="gramEnd"/>
      <w:r w:rsidRPr="00817699">
        <w:rPr>
          <w:i/>
          <w:iCs/>
        </w:rPr>
        <w:t xml:space="preserve"> </w:t>
      </w:r>
      <w:r w:rsidRPr="00970F67">
        <w:rPr>
          <w:i/>
          <w:iCs/>
        </w:rPr>
        <w:t xml:space="preserve">ECE/TRANS/WP.15/AC.1/156, </w:t>
      </w:r>
      <w:r w:rsidR="00C35261">
        <w:rPr>
          <w:i/>
          <w:iCs/>
        </w:rPr>
        <w:t>annexe</w:t>
      </w:r>
      <w:r w:rsidRPr="00970F67">
        <w:rPr>
          <w:i/>
          <w:iCs/>
        </w:rPr>
        <w:t xml:space="preserve"> II</w:t>
      </w:r>
      <w:r w:rsidRPr="00817699">
        <w:rPr>
          <w:i/>
          <w:iCs/>
        </w:rPr>
        <w:t>)</w:t>
      </w:r>
    </w:p>
    <w:p w:rsidR="002F42AA" w:rsidRPr="000D6BE3" w:rsidRDefault="002F42AA" w:rsidP="002F42AA">
      <w:pPr>
        <w:pStyle w:val="SingleTxtG"/>
        <w:tabs>
          <w:tab w:val="left" w:pos="2268"/>
        </w:tabs>
        <w:ind w:left="2259" w:hanging="1125"/>
        <w:rPr>
          <w:color w:val="548DD4" w:themeColor="text2" w:themeTint="99"/>
          <w:szCs w:val="24"/>
          <w:lang w:val="fr-FR"/>
        </w:rPr>
      </w:pPr>
      <w:r w:rsidRPr="00C85ADC">
        <w:rPr>
          <w:szCs w:val="24"/>
          <w:lang w:val="fr-FR"/>
        </w:rPr>
        <w:t>1.2.1</w:t>
      </w:r>
      <w:r w:rsidRPr="00C85ADC">
        <w:rPr>
          <w:szCs w:val="24"/>
          <w:lang w:val="fr-FR"/>
        </w:rPr>
        <w:tab/>
      </w:r>
      <w:r w:rsidRPr="000D6BE3">
        <w:rPr>
          <w:color w:val="548DD4" w:themeColor="text2" w:themeTint="99"/>
          <w:szCs w:val="24"/>
          <w:lang w:val="fr-FR"/>
        </w:rPr>
        <w:t>Modifier la définition de « </w:t>
      </w:r>
      <w:r w:rsidRPr="000D6BE3">
        <w:rPr>
          <w:i/>
          <w:iCs/>
          <w:color w:val="548DD4" w:themeColor="text2" w:themeTint="99"/>
          <w:szCs w:val="24"/>
          <w:lang w:val="fr-FR"/>
        </w:rPr>
        <w:t>Température de décomposition auto-accélérée</w:t>
      </w:r>
      <w:r w:rsidRPr="000D6BE3">
        <w:rPr>
          <w:color w:val="548DD4" w:themeColor="text2" w:themeTint="99"/>
          <w:szCs w:val="24"/>
          <w:lang w:val="fr-FR"/>
        </w:rPr>
        <w:t> » : pour lire comme suit :</w:t>
      </w:r>
    </w:p>
    <w:p w:rsidR="002F42AA" w:rsidRPr="000D6BE3" w:rsidRDefault="002F42AA" w:rsidP="002F42AA">
      <w:pPr>
        <w:pStyle w:val="SingleTxtG"/>
        <w:tabs>
          <w:tab w:val="left" w:pos="2268"/>
        </w:tabs>
        <w:ind w:left="2259" w:hanging="1125"/>
        <w:rPr>
          <w:color w:val="548DD4" w:themeColor="text2" w:themeTint="99"/>
          <w:lang w:val="fr-FR"/>
        </w:rPr>
      </w:pPr>
      <w:r w:rsidRPr="000D6BE3">
        <w:rPr>
          <w:color w:val="548DD4" w:themeColor="text2" w:themeTint="99"/>
          <w:lang w:val="fr-FR"/>
        </w:rPr>
        <w:tab/>
        <w:t>« </w:t>
      </w:r>
      <w:bookmarkStart w:id="2" w:name="_Hlk10038968"/>
      <w:r w:rsidRPr="000D6BE3">
        <w:rPr>
          <w:i/>
          <w:iCs/>
          <w:color w:val="548DD4" w:themeColor="text2" w:themeTint="99"/>
          <w:lang w:val="fr-FR"/>
        </w:rPr>
        <w:t>Température de décomposition auto-accélérée (TDAA)</w:t>
      </w:r>
      <w:bookmarkEnd w:id="2"/>
      <w:r w:rsidRPr="000D6BE3">
        <w:rPr>
          <w:i/>
          <w:iCs/>
          <w:color w:val="548DD4" w:themeColor="text2" w:themeTint="99"/>
          <w:lang w:val="fr-FR"/>
        </w:rPr>
        <w:t xml:space="preserve">, </w:t>
      </w:r>
      <w:r w:rsidRPr="000D6BE3">
        <w:rPr>
          <w:iCs/>
          <w:color w:val="548DD4" w:themeColor="text2" w:themeTint="99"/>
          <w:lang w:val="fr-FR"/>
        </w:rPr>
        <w:t>la température la plus basse à laquelle une décomposition auto-accélérée peut se produire dans une matière dans l’emballage</w:t>
      </w:r>
      <w:r w:rsidRPr="000D6BE3">
        <w:rPr>
          <w:color w:val="548DD4" w:themeColor="text2" w:themeTint="99"/>
          <w:lang w:val="fr-FR"/>
        </w:rPr>
        <w:t xml:space="preserve">, le GRV ou la citerne </w:t>
      </w:r>
      <w:r w:rsidRPr="000D6BE3">
        <w:rPr>
          <w:iCs/>
          <w:color w:val="548DD4" w:themeColor="text2" w:themeTint="99"/>
          <w:lang w:val="fr-FR"/>
        </w:rPr>
        <w:t>servant au transport</w:t>
      </w:r>
      <w:r w:rsidRPr="000D6BE3">
        <w:rPr>
          <w:color w:val="548DD4" w:themeColor="text2" w:themeTint="99"/>
          <w:lang w:val="fr-FR"/>
        </w:rPr>
        <w:t xml:space="preserve">. Elle </w:t>
      </w:r>
      <w:r w:rsidRPr="000D6BE3">
        <w:rPr>
          <w:iCs/>
          <w:color w:val="548DD4" w:themeColor="text2" w:themeTint="99"/>
          <w:lang w:val="fr-FR"/>
        </w:rPr>
        <w:t xml:space="preserve">s’obtient en appliquant les procédures d’épreuve </w:t>
      </w:r>
      <w:r w:rsidRPr="000D6BE3">
        <w:rPr>
          <w:color w:val="548DD4" w:themeColor="text2" w:themeTint="99"/>
          <w:lang w:val="fr-FR"/>
        </w:rPr>
        <w:t xml:space="preserve">indiquées </w:t>
      </w:r>
      <w:r w:rsidRPr="000D6BE3">
        <w:rPr>
          <w:iCs/>
          <w:color w:val="548DD4" w:themeColor="text2" w:themeTint="99"/>
          <w:lang w:val="fr-FR"/>
        </w:rPr>
        <w:t>à la section 28 de la deuxième partie du Manuel d’épreuves et de critères </w:t>
      </w:r>
      <w:r w:rsidRPr="000D6BE3">
        <w:rPr>
          <w:color w:val="548DD4" w:themeColor="text2" w:themeTint="99"/>
          <w:lang w:val="fr-FR"/>
        </w:rPr>
        <w:t>; ».</w:t>
      </w:r>
    </w:p>
    <w:p w:rsidR="002F42AA" w:rsidRPr="000D6BE3" w:rsidRDefault="002F42AA" w:rsidP="002F42AA">
      <w:pPr>
        <w:pStyle w:val="SingleTxtG"/>
        <w:tabs>
          <w:tab w:val="left" w:pos="2268"/>
        </w:tabs>
        <w:ind w:left="2259" w:hanging="1125"/>
        <w:rPr>
          <w:color w:val="548DD4" w:themeColor="text2" w:themeTint="99"/>
          <w:szCs w:val="24"/>
          <w:lang w:val="fr-FR"/>
        </w:rPr>
      </w:pPr>
      <w:r w:rsidRPr="000D6BE3">
        <w:rPr>
          <w:color w:val="548DD4" w:themeColor="text2" w:themeTint="99"/>
          <w:szCs w:val="24"/>
          <w:lang w:val="fr-FR"/>
        </w:rPr>
        <w:t>1.2.1</w:t>
      </w:r>
      <w:r w:rsidRPr="000D6BE3">
        <w:rPr>
          <w:color w:val="548DD4" w:themeColor="text2" w:themeTint="99"/>
          <w:szCs w:val="24"/>
          <w:lang w:val="fr-FR"/>
        </w:rPr>
        <w:tab/>
        <w:t>Supprimer la définition de « </w:t>
      </w:r>
      <w:r w:rsidRPr="000D6BE3">
        <w:rPr>
          <w:i/>
          <w:iCs/>
          <w:color w:val="548DD4" w:themeColor="text2" w:themeTint="99"/>
          <w:szCs w:val="24"/>
          <w:lang w:val="fr-FR"/>
        </w:rPr>
        <w:t>Intensité de rayonnement</w:t>
      </w:r>
      <w:r w:rsidRPr="000D6BE3">
        <w:rPr>
          <w:color w:val="548DD4" w:themeColor="text2" w:themeTint="99"/>
          <w:szCs w:val="24"/>
          <w:lang w:val="fr-FR"/>
        </w:rPr>
        <w:t> ».</w:t>
      </w:r>
    </w:p>
    <w:p w:rsidR="002F42AA" w:rsidRPr="000D6BE3" w:rsidRDefault="002F42AA" w:rsidP="002F42AA">
      <w:pPr>
        <w:pStyle w:val="SingleTxtG"/>
        <w:tabs>
          <w:tab w:val="left" w:pos="2268"/>
        </w:tabs>
        <w:ind w:left="2259" w:hanging="1125"/>
        <w:rPr>
          <w:color w:val="548DD4" w:themeColor="text2" w:themeTint="99"/>
          <w:lang w:val="fr-FR"/>
        </w:rPr>
      </w:pPr>
      <w:r w:rsidRPr="000D6BE3">
        <w:rPr>
          <w:color w:val="548DD4" w:themeColor="text2" w:themeTint="99"/>
          <w:lang w:val="fr-FR"/>
        </w:rPr>
        <w:lastRenderedPageBreak/>
        <w:t>1.2.1</w:t>
      </w:r>
      <w:r w:rsidRPr="000D6BE3">
        <w:rPr>
          <w:color w:val="548DD4" w:themeColor="text2" w:themeTint="99"/>
          <w:lang w:val="fr-FR"/>
        </w:rPr>
        <w:tab/>
        <w:t>Dans la définition de « </w:t>
      </w:r>
      <w:r w:rsidRPr="000D6BE3">
        <w:rPr>
          <w:i/>
          <w:iCs/>
          <w:color w:val="548DD4" w:themeColor="text2" w:themeTint="99"/>
          <w:lang w:val="fr-FR"/>
        </w:rPr>
        <w:t>Température de polymérisation auto-accélérée (TPAA)</w:t>
      </w:r>
      <w:r w:rsidRPr="000D6BE3">
        <w:rPr>
          <w:color w:val="548DD4" w:themeColor="text2" w:themeTint="99"/>
          <w:lang w:val="fr-FR"/>
        </w:rPr>
        <w:t> », dans la première phrase, remplacer « une matière peut commencer à polymériser » par « </w:t>
      </w:r>
      <w:bookmarkStart w:id="3" w:name="_Hlk2238008"/>
      <w:r w:rsidRPr="000D6BE3">
        <w:rPr>
          <w:color w:val="548DD4" w:themeColor="text2" w:themeTint="99"/>
          <w:lang w:val="fr-FR"/>
        </w:rPr>
        <w:t>une polymérisation auto-accélérée peut se produire pour une matière </w:t>
      </w:r>
      <w:bookmarkEnd w:id="3"/>
      <w:r w:rsidRPr="000D6BE3">
        <w:rPr>
          <w:color w:val="548DD4" w:themeColor="text2" w:themeTint="99"/>
          <w:lang w:val="fr-FR"/>
        </w:rPr>
        <w:t>».</w:t>
      </w:r>
    </w:p>
    <w:p w:rsidR="002F42AA" w:rsidRPr="000D6BE3" w:rsidRDefault="002F42AA" w:rsidP="002F42AA">
      <w:pPr>
        <w:pStyle w:val="SingleTxtG"/>
        <w:tabs>
          <w:tab w:val="left" w:pos="2268"/>
        </w:tabs>
        <w:ind w:left="2259" w:hanging="1125"/>
        <w:rPr>
          <w:color w:val="548DD4" w:themeColor="text2" w:themeTint="99"/>
          <w:szCs w:val="24"/>
          <w:lang w:val="fr-FR"/>
        </w:rPr>
      </w:pPr>
      <w:r w:rsidRPr="000D6BE3">
        <w:rPr>
          <w:color w:val="548DD4" w:themeColor="text2" w:themeTint="99"/>
          <w:szCs w:val="24"/>
          <w:lang w:val="fr-FR"/>
        </w:rPr>
        <w:t>1.2.1</w:t>
      </w:r>
      <w:r w:rsidRPr="000D6BE3">
        <w:rPr>
          <w:color w:val="548DD4" w:themeColor="text2" w:themeTint="99"/>
          <w:szCs w:val="24"/>
          <w:lang w:val="fr-FR"/>
        </w:rPr>
        <w:tab/>
        <w:t>Dans la définition de « </w:t>
      </w:r>
      <w:r w:rsidRPr="000D6BE3">
        <w:rPr>
          <w:i/>
          <w:iCs/>
          <w:color w:val="548DD4" w:themeColor="text2" w:themeTint="99"/>
          <w:szCs w:val="24"/>
          <w:lang w:val="fr-FR"/>
        </w:rPr>
        <w:t>Indice de transport</w:t>
      </w:r>
      <w:r w:rsidRPr="000D6BE3">
        <w:rPr>
          <w:color w:val="548DD4" w:themeColor="text2" w:themeTint="99"/>
          <w:szCs w:val="24"/>
          <w:lang w:val="fr-FR"/>
        </w:rPr>
        <w:t> », dans la première phrase, ajouter « </w:t>
      </w:r>
      <w:bookmarkStart w:id="4" w:name="_Hlk2238145"/>
      <w:r w:rsidRPr="000D6BE3">
        <w:rPr>
          <w:color w:val="548DD4" w:themeColor="text2" w:themeTint="99"/>
          <w:szCs w:val="24"/>
          <w:lang w:val="fr-FR"/>
        </w:rPr>
        <w:t>ou SCO-III </w:t>
      </w:r>
      <w:bookmarkEnd w:id="4"/>
      <w:r w:rsidRPr="000D6BE3">
        <w:rPr>
          <w:color w:val="548DD4" w:themeColor="text2" w:themeTint="99"/>
          <w:szCs w:val="24"/>
          <w:lang w:val="fr-FR"/>
        </w:rPr>
        <w:t>» après « SCO-I ».</w:t>
      </w:r>
    </w:p>
    <w:p w:rsidR="002F42AA" w:rsidRPr="000D6BE3" w:rsidRDefault="002F42AA" w:rsidP="002F42AA">
      <w:pPr>
        <w:pStyle w:val="SingleTxtG"/>
        <w:tabs>
          <w:tab w:val="left" w:pos="2268"/>
        </w:tabs>
        <w:ind w:left="2259" w:hanging="1125"/>
        <w:rPr>
          <w:color w:val="548DD4" w:themeColor="text2" w:themeTint="99"/>
          <w:lang w:val="fr-FR"/>
        </w:rPr>
      </w:pPr>
      <w:r w:rsidRPr="000D6BE3">
        <w:rPr>
          <w:color w:val="548DD4" w:themeColor="text2" w:themeTint="99"/>
          <w:lang w:val="fr-FR"/>
        </w:rPr>
        <w:t>1.2.1</w:t>
      </w:r>
      <w:r w:rsidRPr="000D6BE3">
        <w:rPr>
          <w:color w:val="548DD4" w:themeColor="text2" w:themeTint="99"/>
          <w:lang w:val="fr-FR"/>
        </w:rPr>
        <w:tab/>
        <w:t>Dans la définition de « </w:t>
      </w:r>
      <w:r w:rsidRPr="000D6BE3">
        <w:rPr>
          <w:i/>
          <w:color w:val="548DD4" w:themeColor="text2" w:themeTint="99"/>
          <w:lang w:val="fr-FR"/>
        </w:rPr>
        <w:t>SGH </w:t>
      </w:r>
      <w:r w:rsidRPr="000D6BE3">
        <w:rPr>
          <w:color w:val="548DD4" w:themeColor="text2" w:themeTint="99"/>
          <w:lang w:val="fr-FR"/>
        </w:rPr>
        <w:t>», remplacer « septième » par « huitième » et remplacer « ST/SG/AC.10/30/Rev.7 » par « ST/SG/AC.10/30/Rev.8 ».</w:t>
      </w:r>
    </w:p>
    <w:p w:rsidR="002F42AA" w:rsidRPr="000D6BE3" w:rsidRDefault="002F42AA" w:rsidP="002F42AA">
      <w:pPr>
        <w:pStyle w:val="SingleTxtG"/>
        <w:tabs>
          <w:tab w:val="left" w:pos="2268"/>
        </w:tabs>
        <w:ind w:left="2259" w:hanging="1125"/>
        <w:rPr>
          <w:color w:val="548DD4" w:themeColor="text2" w:themeTint="99"/>
          <w:lang w:val="fr-FR"/>
        </w:rPr>
      </w:pPr>
      <w:r w:rsidRPr="000D6BE3">
        <w:rPr>
          <w:color w:val="548DD4" w:themeColor="text2" w:themeTint="99"/>
          <w:lang w:val="fr-FR"/>
        </w:rPr>
        <w:t>1.2.1</w:t>
      </w:r>
      <w:r w:rsidRPr="000D6BE3">
        <w:rPr>
          <w:color w:val="548DD4" w:themeColor="text2" w:themeTint="99"/>
          <w:lang w:val="fr-FR"/>
        </w:rPr>
        <w:tab/>
        <w:t>Dans la définition de « </w:t>
      </w:r>
      <w:r w:rsidRPr="000D6BE3">
        <w:rPr>
          <w:i/>
          <w:color w:val="548DD4" w:themeColor="text2" w:themeTint="99"/>
          <w:lang w:val="fr-FR"/>
        </w:rPr>
        <w:t>Manuel d’épreuves et de critères</w:t>
      </w:r>
      <w:r w:rsidRPr="000D6BE3">
        <w:rPr>
          <w:color w:val="548DD4" w:themeColor="text2" w:themeTint="99"/>
          <w:lang w:val="fr-FR"/>
        </w:rPr>
        <w:t> », remplacer « sixième » par « septième » et « ST/SG/AC.10/11/Rev.6 et Amend.1 » par « ST/SG/AC.10/11/Rev.7 ». Supprimer « </w:t>
      </w:r>
      <w:r w:rsidRPr="000D6BE3">
        <w:rPr>
          <w:i/>
          <w:iCs/>
          <w:color w:val="548DD4" w:themeColor="text2" w:themeTint="99"/>
          <w:lang w:val="fr-FR"/>
        </w:rPr>
        <w:t>Recommandations relatives au transport des marchandises dangereuses,</w:t>
      </w:r>
      <w:r w:rsidRPr="000D6BE3">
        <w:rPr>
          <w:color w:val="548DD4" w:themeColor="text2" w:themeTint="99"/>
          <w:lang w:val="fr-FR"/>
        </w:rPr>
        <w:t> ».</w:t>
      </w:r>
    </w:p>
    <w:p w:rsidR="002F42AA" w:rsidRPr="00C85ADC" w:rsidRDefault="002F42AA" w:rsidP="002F42AA">
      <w:pPr>
        <w:pStyle w:val="SingleTxtG"/>
        <w:tabs>
          <w:tab w:val="left" w:pos="2268"/>
        </w:tabs>
        <w:ind w:left="2259" w:hanging="1125"/>
        <w:rPr>
          <w:lang w:val="fr-FR"/>
        </w:rPr>
      </w:pPr>
      <w:r w:rsidRPr="000D6BE3">
        <w:rPr>
          <w:color w:val="548DD4" w:themeColor="text2" w:themeTint="99"/>
          <w:lang w:val="fr-FR"/>
        </w:rPr>
        <w:t>1.2.1</w:t>
      </w:r>
      <w:r w:rsidRPr="000D6BE3">
        <w:rPr>
          <w:color w:val="548DD4" w:themeColor="text2" w:themeTint="99"/>
          <w:lang w:val="fr-FR"/>
        </w:rPr>
        <w:tab/>
        <w:t>Dans la définition de « </w:t>
      </w:r>
      <w:r w:rsidRPr="000D6BE3">
        <w:rPr>
          <w:i/>
          <w:color w:val="548DD4" w:themeColor="text2" w:themeTint="99"/>
          <w:lang w:val="fr-FR"/>
        </w:rPr>
        <w:t>Règlement type de l'ONU</w:t>
      </w:r>
      <w:r w:rsidRPr="000D6BE3">
        <w:rPr>
          <w:color w:val="548DD4" w:themeColor="text2" w:themeTint="99"/>
          <w:lang w:val="fr-FR"/>
        </w:rPr>
        <w:t> », remplacer « vingtième » par « vingt-et-unième » et remplacer « (ST/SG/AC.10/1/Rev.20) » par « (ST/SG/AC.10/1/Rev.21) ».</w:t>
      </w:r>
      <w:r w:rsidRPr="00C85ADC">
        <w:rPr>
          <w:lang w:val="fr-FR"/>
        </w:rPr>
        <w:t xml:space="preserve"> </w:t>
      </w:r>
    </w:p>
    <w:p w:rsidR="002F42AA" w:rsidRPr="00C85ADC" w:rsidRDefault="002F42AA" w:rsidP="002F42AA">
      <w:pPr>
        <w:pStyle w:val="SingleTxtG"/>
        <w:tabs>
          <w:tab w:val="left" w:pos="2268"/>
        </w:tabs>
        <w:ind w:left="2259" w:hanging="1125"/>
        <w:rPr>
          <w:lang w:val="fr-FR"/>
        </w:rPr>
      </w:pPr>
      <w:r w:rsidRPr="00C85ADC">
        <w:rPr>
          <w:lang w:val="fr-FR"/>
        </w:rPr>
        <w:t>1.2.1</w:t>
      </w:r>
      <w:r w:rsidRPr="00C85ADC">
        <w:rPr>
          <w:lang w:val="fr-FR"/>
        </w:rPr>
        <w:tab/>
        <w:t>Modifier la définition de « </w:t>
      </w:r>
      <w:r w:rsidRPr="00C85ADC">
        <w:rPr>
          <w:i/>
          <w:iCs/>
          <w:lang w:val="fr-FR"/>
        </w:rPr>
        <w:t>Exploitant d'un conteneur-citerne ou d'une citerne mobile</w:t>
      </w:r>
      <w:r w:rsidRPr="00C85ADC">
        <w:rPr>
          <w:lang w:val="fr-FR"/>
        </w:rPr>
        <w:t> » pour lire :</w:t>
      </w:r>
    </w:p>
    <w:p w:rsidR="002F42AA" w:rsidRDefault="002F42AA" w:rsidP="002F42AA">
      <w:pPr>
        <w:pStyle w:val="SingleTxtG"/>
        <w:tabs>
          <w:tab w:val="left" w:pos="2268"/>
        </w:tabs>
        <w:ind w:left="2259" w:hanging="1125"/>
        <w:rPr>
          <w:lang w:val="fr-FR"/>
        </w:rPr>
      </w:pPr>
      <w:r w:rsidRPr="00C85ADC">
        <w:rPr>
          <w:lang w:val="fr-FR"/>
        </w:rPr>
        <w:tab/>
        <w:t>« </w:t>
      </w:r>
      <w:r w:rsidRPr="00C85ADC">
        <w:rPr>
          <w:i/>
          <w:iCs/>
          <w:lang w:val="fr-FR"/>
        </w:rPr>
        <w:t>Exploitant d’un conteneur-citerne ou d’une citerne mobile</w:t>
      </w:r>
      <w:r w:rsidRPr="00C85ADC">
        <w:rPr>
          <w:lang w:val="fr-FR"/>
        </w:rPr>
        <w:t>, toute entreprise au nom de laquelle le conteneur-citerne ou la citerne mobile sont exploités. ».</w:t>
      </w:r>
    </w:p>
    <w:p w:rsidR="00111B8A" w:rsidRPr="00C85ADC" w:rsidRDefault="00111B8A" w:rsidP="002F42AA">
      <w:pPr>
        <w:pStyle w:val="SingleTxtG"/>
        <w:tabs>
          <w:tab w:val="left" w:pos="2268"/>
        </w:tabs>
        <w:ind w:left="2259" w:hanging="1125"/>
        <w:rPr>
          <w:lang w:val="fr-FR"/>
        </w:rPr>
      </w:pPr>
      <w:r w:rsidRPr="0022302B">
        <w:rPr>
          <w:i/>
          <w:iCs/>
        </w:rPr>
        <w:t>(</w:t>
      </w:r>
      <w:r w:rsidR="00EF52B3">
        <w:rPr>
          <w:i/>
          <w:iCs/>
        </w:rPr>
        <w:t xml:space="preserve">Document de </w:t>
      </w:r>
      <w:proofErr w:type="gramStart"/>
      <w:r w:rsidR="00EF52B3">
        <w:rPr>
          <w:i/>
          <w:iCs/>
        </w:rPr>
        <w:t>référence</w:t>
      </w:r>
      <w:r w:rsidRPr="0022302B">
        <w:rPr>
          <w:i/>
          <w:iCs/>
        </w:rPr>
        <w:t>:</w:t>
      </w:r>
      <w:proofErr w:type="gramEnd"/>
      <w:r w:rsidRPr="0022302B">
        <w:rPr>
          <w:i/>
          <w:iCs/>
        </w:rPr>
        <w:t xml:space="preserve"> </w:t>
      </w:r>
      <w:r w:rsidRPr="00817699">
        <w:rPr>
          <w:i/>
          <w:iCs/>
        </w:rPr>
        <w:t xml:space="preserve">ECE/TRANS/WP.15/AC.1/156, </w:t>
      </w:r>
      <w:r w:rsidR="00C35261">
        <w:rPr>
          <w:i/>
          <w:iCs/>
        </w:rPr>
        <w:t>annexe</w:t>
      </w:r>
      <w:r w:rsidRPr="00817699">
        <w:rPr>
          <w:i/>
          <w:iCs/>
        </w:rPr>
        <w:t xml:space="preserve"> II</w:t>
      </w:r>
      <w:r w:rsidRPr="0022302B">
        <w:rPr>
          <w:i/>
          <w:iCs/>
        </w:rPr>
        <w:t>)</w:t>
      </w:r>
    </w:p>
    <w:p w:rsidR="002F42AA" w:rsidRPr="008444E4" w:rsidRDefault="002F42AA" w:rsidP="002F42AA">
      <w:pPr>
        <w:pStyle w:val="H1G"/>
      </w:pPr>
      <w:r w:rsidRPr="008444E4">
        <w:rPr>
          <w:lang w:val="fr-FR"/>
        </w:rPr>
        <w:tab/>
      </w:r>
      <w:r w:rsidRPr="008444E4">
        <w:rPr>
          <w:lang w:val="fr-FR"/>
        </w:rPr>
        <w:tab/>
        <w:t>Chapitre 1.4</w:t>
      </w:r>
    </w:p>
    <w:p w:rsidR="002F42AA" w:rsidRPr="008444E4" w:rsidRDefault="002F42AA" w:rsidP="002F42AA">
      <w:pPr>
        <w:pStyle w:val="SingleTxtG"/>
        <w:ind w:left="2268" w:hanging="1134"/>
      </w:pPr>
      <w:bookmarkStart w:id="5" w:name="_Hlk525252460"/>
      <w:r w:rsidRPr="008444E4">
        <w:rPr>
          <w:lang w:val="fr-FR"/>
        </w:rPr>
        <w:t>1.4.3.3 e)</w:t>
      </w:r>
      <w:r w:rsidRPr="008444E4">
        <w:rPr>
          <w:lang w:val="fr-FR"/>
        </w:rPr>
        <w:tab/>
        <w:t>Supprimer « maximal » et « maximale ».</w:t>
      </w:r>
      <w:bookmarkEnd w:id="5"/>
    </w:p>
    <w:p w:rsidR="002F42AA" w:rsidRPr="008444E4" w:rsidRDefault="002F42AA" w:rsidP="002F42AA">
      <w:pPr>
        <w:pStyle w:val="SingleTxtG"/>
        <w:rPr>
          <w:i/>
          <w:iCs/>
        </w:rPr>
      </w:pPr>
      <w:r w:rsidRPr="008444E4">
        <w:rPr>
          <w:i/>
          <w:lang w:val="fr-FR"/>
        </w:rPr>
        <w:t xml:space="preserve">(Document de référence : </w:t>
      </w:r>
      <w:r w:rsidR="00111B8A" w:rsidRPr="008444E4">
        <w:rPr>
          <w:i/>
          <w:iCs/>
        </w:rPr>
        <w:t xml:space="preserve">ECE/TRANS/WP.15/AC.1/152, </w:t>
      </w:r>
      <w:r w:rsidR="00C35261">
        <w:rPr>
          <w:i/>
          <w:iCs/>
        </w:rPr>
        <w:t>annex</w:t>
      </w:r>
      <w:r w:rsidR="008444E4" w:rsidRPr="008444E4">
        <w:rPr>
          <w:i/>
          <w:iCs/>
        </w:rPr>
        <w:t>e</w:t>
      </w:r>
      <w:r w:rsidR="00111B8A" w:rsidRPr="008444E4">
        <w:rPr>
          <w:i/>
          <w:iCs/>
        </w:rPr>
        <w:t xml:space="preserve"> II</w:t>
      </w:r>
      <w:r w:rsidRPr="008444E4">
        <w:rPr>
          <w:i/>
          <w:lang w:val="fr-FR"/>
        </w:rPr>
        <w:t>)</w:t>
      </w:r>
    </w:p>
    <w:p w:rsidR="002F42AA" w:rsidRPr="008444E4" w:rsidRDefault="002F42AA" w:rsidP="002F42AA">
      <w:pPr>
        <w:pStyle w:val="H1G"/>
      </w:pPr>
      <w:r w:rsidRPr="00C85ADC">
        <w:rPr>
          <w:lang w:val="fr-FR"/>
        </w:rPr>
        <w:tab/>
      </w:r>
      <w:r w:rsidRPr="00C85ADC">
        <w:rPr>
          <w:lang w:val="fr-FR"/>
        </w:rPr>
        <w:tab/>
        <w:t>Chapitre 1.7</w:t>
      </w:r>
    </w:p>
    <w:p w:rsidR="002F42AA" w:rsidRPr="008444E4" w:rsidRDefault="002F42AA" w:rsidP="002F42AA">
      <w:pPr>
        <w:pStyle w:val="SingleTxtG"/>
        <w:tabs>
          <w:tab w:val="left" w:pos="2268"/>
        </w:tabs>
        <w:ind w:left="2259" w:hanging="1125"/>
        <w:rPr>
          <w:color w:val="548DD4" w:themeColor="text2" w:themeTint="99"/>
          <w:lang w:val="fr-FR"/>
        </w:rPr>
      </w:pPr>
      <w:r w:rsidRPr="008444E4">
        <w:rPr>
          <w:color w:val="548DD4" w:themeColor="text2" w:themeTint="99"/>
          <w:lang w:val="fr-FR"/>
        </w:rPr>
        <w:t>1.7.1, Nota 1</w:t>
      </w:r>
      <w:r w:rsidRPr="008444E4">
        <w:rPr>
          <w:color w:val="548DD4" w:themeColor="text2" w:themeTint="99"/>
          <w:lang w:val="fr-FR"/>
        </w:rPr>
        <w:tab/>
        <w:t>Dans la première phrase, remplacer « En cas d’accident ou d’incident » par « </w:t>
      </w:r>
      <w:bookmarkStart w:id="6" w:name="_Hlk2241189"/>
      <w:r w:rsidRPr="008444E4">
        <w:rPr>
          <w:color w:val="548DD4" w:themeColor="text2" w:themeTint="99"/>
          <w:lang w:val="fr-FR"/>
        </w:rPr>
        <w:t>En cas d’urgence nucléaire ou radiologique </w:t>
      </w:r>
      <w:bookmarkEnd w:id="6"/>
      <w:r w:rsidRPr="008444E4">
        <w:rPr>
          <w:color w:val="548DD4" w:themeColor="text2" w:themeTint="99"/>
          <w:lang w:val="fr-FR"/>
        </w:rPr>
        <w:t>» et « les plans d’intervention, tels qu’établis par les organismes nationaux ou internationaux doivent être observés » par « </w:t>
      </w:r>
      <w:bookmarkStart w:id="7" w:name="_Hlk2241217"/>
      <w:r w:rsidRPr="008444E4">
        <w:rPr>
          <w:color w:val="548DD4" w:themeColor="text2" w:themeTint="99"/>
          <w:lang w:val="fr-FR"/>
        </w:rPr>
        <w:t>les dispositions prévues par les organismes nationaux ou internationaux doivent être observées </w:t>
      </w:r>
      <w:bookmarkEnd w:id="7"/>
      <w:r w:rsidRPr="008444E4">
        <w:rPr>
          <w:color w:val="548DD4" w:themeColor="text2" w:themeTint="99"/>
          <w:lang w:val="fr-FR"/>
        </w:rPr>
        <w:t xml:space="preserve">». </w:t>
      </w:r>
    </w:p>
    <w:p w:rsidR="002F42AA" w:rsidRPr="008444E4" w:rsidRDefault="002F42AA" w:rsidP="002F42AA">
      <w:pPr>
        <w:pStyle w:val="SingleTxtG"/>
        <w:tabs>
          <w:tab w:val="left" w:pos="2268"/>
        </w:tabs>
        <w:ind w:left="2259" w:hanging="1125"/>
        <w:rPr>
          <w:color w:val="548DD4" w:themeColor="text2" w:themeTint="99"/>
          <w:lang w:val="fr-FR"/>
        </w:rPr>
      </w:pPr>
      <w:r w:rsidRPr="008444E4">
        <w:rPr>
          <w:color w:val="548DD4" w:themeColor="text2" w:themeTint="99"/>
          <w:lang w:val="fr-FR"/>
        </w:rPr>
        <w:tab/>
        <w:t>Modifier la deuxième phrase pour lire comme suit : « </w:t>
      </w:r>
      <w:bookmarkStart w:id="8" w:name="_Hlk2241260"/>
      <w:r w:rsidRPr="008444E4">
        <w:rPr>
          <w:color w:val="548DD4" w:themeColor="text2" w:themeTint="99"/>
          <w:lang w:val="fr-FR"/>
        </w:rPr>
        <w:t xml:space="preserve">Ceci inclut un dispositif de préparation et d’intervention conforme aux prescriptions nationales et/ou internationales et établi de manière cohérente et coordonnée avec les dispositifs nationaux et/ou internationaux pour les situations d’urgence. </w:t>
      </w:r>
      <w:bookmarkEnd w:id="8"/>
      <w:r w:rsidRPr="008444E4">
        <w:rPr>
          <w:color w:val="548DD4" w:themeColor="text2" w:themeTint="99"/>
          <w:lang w:val="fr-FR"/>
        </w:rPr>
        <w:t>».</w:t>
      </w:r>
    </w:p>
    <w:p w:rsidR="002F42AA" w:rsidRPr="008444E4" w:rsidRDefault="002F42AA" w:rsidP="002F42AA">
      <w:pPr>
        <w:pStyle w:val="SingleTxtG"/>
        <w:tabs>
          <w:tab w:val="left" w:pos="2268"/>
        </w:tabs>
        <w:ind w:left="2259" w:hanging="1125"/>
        <w:rPr>
          <w:color w:val="548DD4" w:themeColor="text2" w:themeTint="99"/>
          <w:lang w:val="fr-FR"/>
        </w:rPr>
      </w:pPr>
      <w:r w:rsidRPr="008444E4">
        <w:rPr>
          <w:color w:val="548DD4" w:themeColor="text2" w:themeTint="99"/>
          <w:lang w:val="fr-FR"/>
        </w:rPr>
        <w:t>1.7.1, Nota 2</w:t>
      </w:r>
      <w:r w:rsidRPr="008444E4">
        <w:rPr>
          <w:color w:val="548DD4" w:themeColor="text2" w:themeTint="99"/>
          <w:lang w:val="fr-FR"/>
        </w:rPr>
        <w:tab/>
        <w:t>Modifier pour lire comme suit :</w:t>
      </w:r>
    </w:p>
    <w:p w:rsidR="002F42AA" w:rsidRPr="008444E4" w:rsidRDefault="002F42AA" w:rsidP="002F42AA">
      <w:pPr>
        <w:pStyle w:val="SingleTxtG"/>
        <w:tabs>
          <w:tab w:val="left" w:pos="2268"/>
        </w:tabs>
        <w:ind w:left="2259" w:hanging="1125"/>
        <w:rPr>
          <w:i/>
          <w:color w:val="548DD4" w:themeColor="text2" w:themeTint="99"/>
          <w:szCs w:val="24"/>
          <w:lang w:val="fr-FR"/>
        </w:rPr>
      </w:pPr>
      <w:r w:rsidRPr="008444E4">
        <w:rPr>
          <w:color w:val="548DD4" w:themeColor="text2" w:themeTint="99"/>
          <w:szCs w:val="24"/>
          <w:lang w:val="fr-FR"/>
        </w:rPr>
        <w:tab/>
        <w:t>« </w:t>
      </w:r>
      <w:r w:rsidRPr="008444E4">
        <w:rPr>
          <w:b/>
          <w:bCs/>
          <w:i/>
          <w:iCs/>
          <w:color w:val="548DD4" w:themeColor="text2" w:themeTint="99"/>
          <w:szCs w:val="24"/>
          <w:lang w:val="fr-FR"/>
        </w:rPr>
        <w:t>2 :</w:t>
      </w:r>
      <w:r w:rsidRPr="008444E4">
        <w:rPr>
          <w:i/>
          <w:iCs/>
          <w:color w:val="548DD4" w:themeColor="text2" w:themeTint="99"/>
          <w:szCs w:val="24"/>
          <w:lang w:val="fr-FR"/>
        </w:rPr>
        <w:tab/>
      </w:r>
      <w:bookmarkStart w:id="9" w:name="_Hlk2241288"/>
      <w:r w:rsidRPr="008444E4">
        <w:rPr>
          <w:i/>
          <w:iCs/>
          <w:color w:val="548DD4" w:themeColor="text2" w:themeTint="99"/>
          <w:szCs w:val="24"/>
          <w:lang w:val="fr-FR"/>
        </w:rPr>
        <w:t xml:space="preserve">Le dispositif de préparation et d’intervention est de type progressif et tient compte des dangers recensés et de leurs conséquences potentielles, notamment de la possibilité de formation d’autres matières dangereuses qui pourrait résulter de la réaction entre le contenu d’un envoi et l’environnement en cas d’urgence nucléaire ou radiologique. On trouvera des directives pour la mise en place de tels dispositifs dans les ouvrages suivants : Préparation et intervention en cas de situation d’urgence nucléaire ou radiologique, collection Normes de sûreté de l’AIEA, No. GSR, partie 7, </w:t>
      </w:r>
      <w:r w:rsidRPr="008444E4">
        <w:rPr>
          <w:i/>
          <w:iCs/>
          <w:color w:val="548DD4" w:themeColor="text2" w:themeTint="99"/>
          <w:szCs w:val="24"/>
          <w:lang w:val="fr-FR"/>
        </w:rPr>
        <w:lastRenderedPageBreak/>
        <w:t>AIEA, Vienne (2015) ; Critères à utiliser pour la préparation et la conduite des interventions en cas d’urgence nucléaire ou radiologique, collection Normes de sûreté de l’AIEA, No. </w:t>
      </w:r>
      <w:r w:rsidRPr="008444E4">
        <w:rPr>
          <w:i/>
          <w:iCs/>
          <w:color w:val="548DD4" w:themeColor="text2" w:themeTint="99"/>
          <w:szCs w:val="24"/>
          <w:lang w:val="en-GB"/>
        </w:rPr>
        <w:t>GSG-2, IAEA, Vienne (2011</w:t>
      </w:r>
      <w:proofErr w:type="gramStart"/>
      <w:r w:rsidRPr="008444E4">
        <w:rPr>
          <w:i/>
          <w:iCs/>
          <w:color w:val="548DD4" w:themeColor="text2" w:themeTint="99"/>
          <w:szCs w:val="24"/>
          <w:lang w:val="en-GB"/>
        </w:rPr>
        <w:t>) ;</w:t>
      </w:r>
      <w:proofErr w:type="gramEnd"/>
      <w:r w:rsidRPr="008444E4">
        <w:rPr>
          <w:i/>
          <w:iCs/>
          <w:color w:val="548DD4" w:themeColor="text2" w:themeTint="99"/>
          <w:szCs w:val="24"/>
          <w:lang w:val="en-GB"/>
        </w:rPr>
        <w:t xml:space="preserve"> Arrangements for Preparedness for a Nuclear or Radiological Emergency, IAEA Safety Standards Series No. GS-G-2.1, IAEA, Vienne (2007), et Arrangements for the Termination of a Nuclear or Radiological Emergency, IAEA Safety Standards Series No. </w:t>
      </w:r>
      <w:r w:rsidRPr="008444E4">
        <w:rPr>
          <w:i/>
          <w:iCs/>
          <w:color w:val="548DD4" w:themeColor="text2" w:themeTint="99"/>
          <w:szCs w:val="24"/>
          <w:lang w:val="fr-FR"/>
        </w:rPr>
        <w:t>GSG-11, IAEA, Vienne (2018).</w:t>
      </w:r>
      <w:r w:rsidRPr="008444E4">
        <w:rPr>
          <w:color w:val="548DD4" w:themeColor="text2" w:themeTint="99"/>
          <w:szCs w:val="24"/>
          <w:lang w:val="fr-FR"/>
        </w:rPr>
        <w:t> </w:t>
      </w:r>
      <w:bookmarkEnd w:id="9"/>
      <w:r w:rsidRPr="008444E4">
        <w:rPr>
          <w:color w:val="548DD4" w:themeColor="text2" w:themeTint="99"/>
          <w:szCs w:val="24"/>
          <w:lang w:val="fr-FR"/>
        </w:rPr>
        <w:t>».</w:t>
      </w:r>
      <w:r w:rsidRPr="008444E4">
        <w:rPr>
          <w:color w:val="548DD4" w:themeColor="text2" w:themeTint="99"/>
          <w:lang w:val="fr-FR"/>
        </w:rPr>
        <w:tab/>
      </w:r>
    </w:p>
    <w:p w:rsidR="002F42AA" w:rsidRPr="008444E4" w:rsidRDefault="002F42AA" w:rsidP="002F42AA">
      <w:pPr>
        <w:pStyle w:val="SingleTxtG"/>
        <w:tabs>
          <w:tab w:val="left" w:pos="2268"/>
        </w:tabs>
        <w:ind w:left="2259" w:hanging="1125"/>
        <w:rPr>
          <w:color w:val="548DD4" w:themeColor="text2" w:themeTint="99"/>
          <w:spacing w:val="-2"/>
          <w:szCs w:val="24"/>
          <w:lang w:val="fr-FR"/>
        </w:rPr>
      </w:pPr>
      <w:r w:rsidRPr="008444E4">
        <w:rPr>
          <w:color w:val="548DD4" w:themeColor="text2" w:themeTint="99"/>
          <w:szCs w:val="24"/>
          <w:lang w:val="fr-FR"/>
        </w:rPr>
        <w:t>1.7.1.1</w:t>
      </w:r>
      <w:r w:rsidRPr="008444E4">
        <w:rPr>
          <w:color w:val="548DD4" w:themeColor="text2" w:themeTint="99"/>
          <w:szCs w:val="24"/>
          <w:lang w:val="fr-FR"/>
        </w:rPr>
        <w:tab/>
        <w:t xml:space="preserve">La modification de la première phrase dans la version anglaise ne s’applique pas au texte français. Modifier les deuxième et </w:t>
      </w:r>
      <w:proofErr w:type="gramStart"/>
      <w:r w:rsidRPr="008444E4">
        <w:rPr>
          <w:color w:val="548DD4" w:themeColor="text2" w:themeTint="99"/>
          <w:szCs w:val="24"/>
          <w:lang w:val="fr-FR"/>
        </w:rPr>
        <w:t>troisième phrases</w:t>
      </w:r>
      <w:proofErr w:type="gramEnd"/>
      <w:r w:rsidRPr="008444E4">
        <w:rPr>
          <w:color w:val="548DD4" w:themeColor="text2" w:themeTint="99"/>
          <w:szCs w:val="24"/>
          <w:lang w:val="fr-FR"/>
        </w:rPr>
        <w:t xml:space="preserve"> pour lire comme suit : « </w:t>
      </w:r>
      <w:bookmarkStart w:id="10" w:name="_Hlk2240508"/>
      <w:r w:rsidRPr="008444E4">
        <w:rPr>
          <w:color w:val="548DD4" w:themeColor="text2" w:themeTint="99"/>
          <w:szCs w:val="24"/>
          <w:lang w:val="fr-FR"/>
        </w:rPr>
        <w:t xml:space="preserve">Ces normes sont fondées sur le </w:t>
      </w:r>
      <w:r w:rsidRPr="008444E4">
        <w:rPr>
          <w:i/>
          <w:iCs/>
          <w:color w:val="548DD4" w:themeColor="text2" w:themeTint="99"/>
          <w:szCs w:val="24"/>
          <w:lang w:val="fr-FR"/>
        </w:rPr>
        <w:t>Règlement de transport des matières radioactives</w:t>
      </w:r>
      <w:r w:rsidRPr="008444E4">
        <w:rPr>
          <w:color w:val="548DD4" w:themeColor="text2" w:themeTint="99"/>
          <w:szCs w:val="24"/>
          <w:lang w:val="fr-FR"/>
        </w:rPr>
        <w:t xml:space="preserve"> (Éd. 2018), collection Normes de sûreté de l’AIEA, n</w:t>
      </w:r>
      <w:r w:rsidRPr="008444E4">
        <w:rPr>
          <w:color w:val="548DD4" w:themeColor="text2" w:themeTint="99"/>
          <w:szCs w:val="24"/>
          <w:vertAlign w:val="superscript"/>
          <w:lang w:val="fr-FR"/>
        </w:rPr>
        <w:t>o</w:t>
      </w:r>
      <w:r w:rsidRPr="008444E4">
        <w:rPr>
          <w:color w:val="548DD4" w:themeColor="text2" w:themeTint="99"/>
          <w:szCs w:val="24"/>
          <w:lang w:val="fr-FR"/>
        </w:rPr>
        <w:t xml:space="preserve"> SSR-6 (Rev.1), AIEA, Vienne (2018). Les notes d’information figurent dans le document </w:t>
      </w:r>
      <w:r w:rsidRPr="008444E4">
        <w:rPr>
          <w:i/>
          <w:iCs/>
          <w:color w:val="548DD4" w:themeColor="text2" w:themeTint="99"/>
          <w:szCs w:val="24"/>
          <w:lang w:val="fr-FR"/>
        </w:rPr>
        <w:t xml:space="preserve">Advisory </w:t>
      </w:r>
      <w:proofErr w:type="spellStart"/>
      <w:r w:rsidRPr="008444E4">
        <w:rPr>
          <w:i/>
          <w:iCs/>
          <w:color w:val="548DD4" w:themeColor="text2" w:themeTint="99"/>
          <w:szCs w:val="24"/>
          <w:lang w:val="fr-FR"/>
        </w:rPr>
        <w:t>Material</w:t>
      </w:r>
      <w:proofErr w:type="spellEnd"/>
      <w:r w:rsidRPr="008444E4">
        <w:rPr>
          <w:i/>
          <w:iCs/>
          <w:color w:val="548DD4" w:themeColor="text2" w:themeTint="99"/>
          <w:szCs w:val="24"/>
          <w:lang w:val="fr-FR"/>
        </w:rPr>
        <w:t xml:space="preserve"> for the IAEA </w:t>
      </w:r>
      <w:proofErr w:type="spellStart"/>
      <w:r w:rsidRPr="008444E4">
        <w:rPr>
          <w:i/>
          <w:iCs/>
          <w:color w:val="548DD4" w:themeColor="text2" w:themeTint="99"/>
          <w:szCs w:val="24"/>
          <w:lang w:val="fr-FR"/>
        </w:rPr>
        <w:t>Regulations</w:t>
      </w:r>
      <w:proofErr w:type="spellEnd"/>
      <w:r w:rsidRPr="008444E4">
        <w:rPr>
          <w:i/>
          <w:iCs/>
          <w:color w:val="548DD4" w:themeColor="text2" w:themeTint="99"/>
          <w:szCs w:val="24"/>
          <w:lang w:val="fr-FR"/>
        </w:rPr>
        <w:t xml:space="preserve"> for the Safe Transport of Radioactive </w:t>
      </w:r>
      <w:proofErr w:type="spellStart"/>
      <w:r w:rsidRPr="008444E4">
        <w:rPr>
          <w:i/>
          <w:iCs/>
          <w:color w:val="548DD4" w:themeColor="text2" w:themeTint="99"/>
          <w:szCs w:val="24"/>
          <w:lang w:val="fr-FR"/>
        </w:rPr>
        <w:t>Material</w:t>
      </w:r>
      <w:proofErr w:type="spellEnd"/>
      <w:r w:rsidRPr="008444E4">
        <w:rPr>
          <w:i/>
          <w:iCs/>
          <w:color w:val="548DD4" w:themeColor="text2" w:themeTint="99"/>
          <w:szCs w:val="24"/>
          <w:lang w:val="fr-FR"/>
        </w:rPr>
        <w:t xml:space="preserve"> (2018 </w:t>
      </w:r>
      <w:r w:rsidRPr="008444E4">
        <w:rPr>
          <w:i/>
          <w:iCs/>
          <w:color w:val="548DD4" w:themeColor="text2" w:themeTint="99"/>
          <w:spacing w:val="-2"/>
          <w:szCs w:val="24"/>
          <w:lang w:val="fr-FR"/>
        </w:rPr>
        <w:t>Edition)</w:t>
      </w:r>
      <w:r w:rsidRPr="008444E4">
        <w:rPr>
          <w:color w:val="548DD4" w:themeColor="text2" w:themeTint="99"/>
          <w:spacing w:val="-2"/>
          <w:szCs w:val="24"/>
          <w:lang w:val="fr-FR"/>
        </w:rPr>
        <w:t xml:space="preserve">, </w:t>
      </w:r>
      <w:r w:rsidRPr="008444E4">
        <w:rPr>
          <w:color w:val="548DD4" w:themeColor="text2" w:themeTint="99"/>
          <w:spacing w:val="-4"/>
          <w:szCs w:val="24"/>
          <w:lang w:val="fr-FR"/>
        </w:rPr>
        <w:t xml:space="preserve">collection Normes de sûreté de l’AIEA, </w:t>
      </w:r>
      <w:r w:rsidRPr="008444E4">
        <w:rPr>
          <w:color w:val="548DD4" w:themeColor="text2" w:themeTint="99"/>
          <w:spacing w:val="-2"/>
          <w:szCs w:val="24"/>
          <w:lang w:val="fr-FR"/>
        </w:rPr>
        <w:t>n</w:t>
      </w:r>
      <w:r w:rsidRPr="008444E4">
        <w:rPr>
          <w:color w:val="548DD4" w:themeColor="text2" w:themeTint="99"/>
          <w:spacing w:val="-2"/>
          <w:szCs w:val="24"/>
          <w:vertAlign w:val="superscript"/>
          <w:lang w:val="fr-FR"/>
        </w:rPr>
        <w:t>o</w:t>
      </w:r>
      <w:r w:rsidRPr="008444E4">
        <w:rPr>
          <w:color w:val="548DD4" w:themeColor="text2" w:themeTint="99"/>
          <w:spacing w:val="-2"/>
          <w:szCs w:val="24"/>
          <w:lang w:val="fr-FR"/>
        </w:rPr>
        <w:t> SSG-26 (Rev.1), AIEA, Vienne (2019). </w:t>
      </w:r>
      <w:bookmarkEnd w:id="10"/>
      <w:r w:rsidRPr="008444E4">
        <w:rPr>
          <w:color w:val="548DD4" w:themeColor="text2" w:themeTint="99"/>
          <w:spacing w:val="-2"/>
          <w:szCs w:val="24"/>
          <w:lang w:val="fr-FR"/>
        </w:rPr>
        <w:t>».</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1.7.1.2</w:t>
      </w:r>
      <w:r w:rsidRPr="008444E4">
        <w:rPr>
          <w:color w:val="548DD4" w:themeColor="text2" w:themeTint="99"/>
          <w:szCs w:val="24"/>
          <w:lang w:val="fr-FR"/>
        </w:rPr>
        <w:tab/>
        <w:t>La première modification de la première phrase dans la version anglaise ne s’applique pas au texte en français. À la première phrase, remplacer « contre les effets des rayonnements au cours du transport » par « </w:t>
      </w:r>
      <w:bookmarkStart w:id="11" w:name="_Hlk2240647"/>
      <w:r w:rsidRPr="008444E4">
        <w:rPr>
          <w:color w:val="548DD4" w:themeColor="text2" w:themeTint="99"/>
          <w:szCs w:val="24"/>
          <w:lang w:val="fr-FR"/>
        </w:rPr>
        <w:t>contre les effets nocifs des rayonnements ionisants au cours du transport</w:t>
      </w:r>
      <w:bookmarkEnd w:id="11"/>
      <w:r w:rsidRPr="008444E4">
        <w:rPr>
          <w:color w:val="548DD4" w:themeColor="text2" w:themeTint="99"/>
          <w:szCs w:val="24"/>
          <w:lang w:val="fr-FR"/>
        </w:rPr>
        <w:t xml:space="preserve"> ».</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pacing w:val="-2"/>
          <w:szCs w:val="24"/>
          <w:lang w:val="fr-FR"/>
        </w:rPr>
        <w:tab/>
        <w:t>À l’alinéa b), remplacer « l’intensité de rayonnement » par « </w:t>
      </w:r>
      <w:bookmarkStart w:id="12" w:name="_Hlk2240670"/>
      <w:r w:rsidRPr="008444E4">
        <w:rPr>
          <w:color w:val="548DD4" w:themeColor="text2" w:themeTint="99"/>
          <w:spacing w:val="-2"/>
          <w:szCs w:val="24"/>
          <w:lang w:val="fr-FR"/>
        </w:rPr>
        <w:t>le débit de</w:t>
      </w:r>
      <w:r w:rsidRPr="008444E4">
        <w:rPr>
          <w:color w:val="548DD4" w:themeColor="text2" w:themeTint="99"/>
          <w:szCs w:val="24"/>
          <w:lang w:val="fr-FR"/>
        </w:rPr>
        <w:t xml:space="preserve"> dose </w:t>
      </w:r>
      <w:bookmarkEnd w:id="12"/>
      <w:r w:rsidRPr="008444E4">
        <w:rPr>
          <w:color w:val="548DD4" w:themeColor="text2" w:themeTint="99"/>
          <w:szCs w:val="24"/>
          <w:lang w:val="fr-FR"/>
        </w:rPr>
        <w:t>».</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ab/>
        <w:t>Dans la dernière phrase, remplacer « enfin » par « </w:t>
      </w:r>
      <w:bookmarkStart w:id="13" w:name="_Hlk2240705"/>
      <w:r w:rsidRPr="008444E4">
        <w:rPr>
          <w:color w:val="548DD4" w:themeColor="text2" w:themeTint="99"/>
          <w:szCs w:val="24"/>
          <w:lang w:val="fr-FR"/>
        </w:rPr>
        <w:t>troisièmement</w:t>
      </w:r>
      <w:bookmarkEnd w:id="13"/>
      <w:r w:rsidRPr="008444E4">
        <w:rPr>
          <w:color w:val="548DD4" w:themeColor="text2" w:themeTint="99"/>
          <w:szCs w:val="24"/>
          <w:lang w:val="fr-FR"/>
        </w:rPr>
        <w:t> », et ajouter la nouvelle phrase suivante à la fin du paragraphe : « </w:t>
      </w:r>
      <w:bookmarkStart w:id="14" w:name="_Hlk2240721"/>
      <w:r w:rsidRPr="008444E4">
        <w:rPr>
          <w:color w:val="548DD4" w:themeColor="text2" w:themeTint="99"/>
          <w:szCs w:val="24"/>
          <w:lang w:val="fr-FR"/>
        </w:rPr>
        <w:t>Enfin, une protection supplémentaire est assurée par la prise de dispositions pour la planification et la préparation des interventions d’urgence pour protéger les personnes, les biens et l’environnement. </w:t>
      </w:r>
      <w:bookmarkEnd w:id="14"/>
      <w:r w:rsidRPr="008444E4">
        <w:rPr>
          <w:color w:val="548DD4" w:themeColor="text2" w:themeTint="99"/>
          <w:szCs w:val="24"/>
          <w:lang w:val="fr-FR"/>
        </w:rPr>
        <w:t>».</w:t>
      </w:r>
    </w:p>
    <w:p w:rsidR="002F42AA" w:rsidRPr="008444E4" w:rsidRDefault="002F42AA" w:rsidP="008444E4">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1.7.1.5.1 (a)</w:t>
      </w:r>
      <w:r w:rsidRPr="008444E4">
        <w:rPr>
          <w:color w:val="548DD4" w:themeColor="text2" w:themeTint="99"/>
          <w:szCs w:val="24"/>
          <w:lang w:val="fr-FR"/>
        </w:rPr>
        <w:tab/>
        <w:t xml:space="preserve">Après « 5.2.1.10, » ajouter « 5.4.1.2.5.1 f) i) et ii), 5.4.1.2.5.1 i), » et après « 7.1.4.14.7.3.1 » ajouter </w:t>
      </w:r>
      <w:proofErr w:type="gramStart"/>
      <w:r w:rsidRPr="008444E4">
        <w:rPr>
          <w:color w:val="548DD4" w:themeColor="text2" w:themeTint="99"/>
          <w:szCs w:val="24"/>
          <w:lang w:val="fr-FR"/>
        </w:rPr>
        <w:t>« ,</w:t>
      </w:r>
      <w:proofErr w:type="gramEnd"/>
      <w:r w:rsidRPr="008444E4">
        <w:rPr>
          <w:color w:val="548DD4" w:themeColor="text2" w:themeTint="99"/>
          <w:szCs w:val="24"/>
          <w:lang w:val="fr-FR"/>
        </w:rPr>
        <w:t xml:space="preserve"> 7.1.4.14.7.4.3 ». </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1.7.1.5.2</w:t>
      </w:r>
      <w:r w:rsidRPr="008444E4">
        <w:rPr>
          <w:color w:val="548DD4" w:themeColor="text2" w:themeTint="99"/>
          <w:szCs w:val="24"/>
          <w:lang w:val="fr-FR"/>
        </w:rPr>
        <w:tab/>
        <w:t>Supprimer la deuxième phrase.</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1.7.2.4</w:t>
      </w:r>
      <w:r w:rsidRPr="008444E4">
        <w:rPr>
          <w:color w:val="548DD4" w:themeColor="text2" w:themeTint="99"/>
          <w:szCs w:val="24"/>
          <w:lang w:val="fr-FR"/>
        </w:rPr>
        <w:tab/>
        <w:t>Dans la dernière phrase remplacer « une surveillance individuelle ou à une surveillance des lieux de travail » par « </w:t>
      </w:r>
      <w:bookmarkStart w:id="15" w:name="_Hlk2240998"/>
      <w:r w:rsidRPr="008444E4">
        <w:rPr>
          <w:color w:val="548DD4" w:themeColor="text2" w:themeTint="99"/>
          <w:szCs w:val="24"/>
          <w:lang w:val="fr-FR"/>
        </w:rPr>
        <w:t>une surveillance des lieux de travail ou une surveillance individuelle</w:t>
      </w:r>
      <w:bookmarkEnd w:id="15"/>
      <w:r w:rsidRPr="008444E4">
        <w:rPr>
          <w:color w:val="548DD4" w:themeColor="text2" w:themeTint="99"/>
          <w:szCs w:val="24"/>
          <w:lang w:val="fr-FR"/>
        </w:rPr>
        <w:t> ».</w:t>
      </w:r>
    </w:p>
    <w:p w:rsidR="002F42AA" w:rsidRPr="008444E4" w:rsidRDefault="002F42AA" w:rsidP="002F42AA">
      <w:pPr>
        <w:pStyle w:val="SingleTxtG"/>
        <w:tabs>
          <w:tab w:val="left" w:pos="2268"/>
        </w:tabs>
        <w:ind w:left="2259" w:hanging="1125"/>
        <w:rPr>
          <w:i/>
          <w:color w:val="548DD4" w:themeColor="text2" w:themeTint="99"/>
          <w:szCs w:val="24"/>
          <w:lang w:val="fr-FR"/>
        </w:rPr>
      </w:pPr>
      <w:r w:rsidRPr="008444E4">
        <w:rPr>
          <w:color w:val="548DD4" w:themeColor="text2" w:themeTint="99"/>
          <w:szCs w:val="24"/>
          <w:lang w:val="fr-FR"/>
        </w:rPr>
        <w:t>1.7.4.2</w:t>
      </w:r>
      <w:r w:rsidRPr="008444E4">
        <w:rPr>
          <w:color w:val="548DD4" w:themeColor="text2" w:themeTint="99"/>
          <w:szCs w:val="24"/>
          <w:lang w:val="fr-FR"/>
        </w:rPr>
        <w:tab/>
        <w:t>Dans la deuxième phrase, remplacer « d’autres moyens » par « </w:t>
      </w:r>
      <w:bookmarkStart w:id="16" w:name="_Hlk2241334"/>
      <w:r w:rsidRPr="008444E4">
        <w:rPr>
          <w:color w:val="548DD4" w:themeColor="text2" w:themeTint="99"/>
          <w:szCs w:val="24"/>
          <w:lang w:val="fr-FR"/>
        </w:rPr>
        <w:t>d’autres moyens que les autres dispositions de l’ADN</w:t>
      </w:r>
      <w:bookmarkEnd w:id="16"/>
      <w:r w:rsidRPr="008444E4">
        <w:rPr>
          <w:color w:val="548DD4" w:themeColor="text2" w:themeTint="99"/>
          <w:szCs w:val="24"/>
          <w:lang w:val="fr-FR"/>
        </w:rPr>
        <w:t> ». Le deuxième amendement à la version anglaise est sans objet en français. Dans la troisième phrase, après « prescriptions applicables », ajouter « </w:t>
      </w:r>
      <w:bookmarkStart w:id="17" w:name="_Hlk2241434"/>
      <w:r w:rsidRPr="008444E4">
        <w:rPr>
          <w:color w:val="548DD4" w:themeColor="text2" w:themeTint="99"/>
          <w:szCs w:val="24"/>
          <w:lang w:val="fr-FR"/>
        </w:rPr>
        <w:t>de l’ADN </w:t>
      </w:r>
      <w:bookmarkEnd w:id="17"/>
      <w:r w:rsidRPr="008444E4">
        <w:rPr>
          <w:color w:val="548DD4" w:themeColor="text2" w:themeTint="99"/>
          <w:szCs w:val="24"/>
          <w:lang w:val="fr-FR"/>
        </w:rPr>
        <w:t>».</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1.7.6.1</w:t>
      </w:r>
      <w:r w:rsidRPr="008444E4">
        <w:rPr>
          <w:color w:val="548DD4" w:themeColor="text2" w:themeTint="99"/>
          <w:szCs w:val="24"/>
          <w:lang w:val="fr-FR"/>
        </w:rPr>
        <w:tab/>
        <w:t>Faire les modifications suivantes :</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ab/>
        <w:t>Dans la phrase introductive, remplacer « l’intensité de rayonnement » par « </w:t>
      </w:r>
      <w:bookmarkStart w:id="18" w:name="_Hlk2241608"/>
      <w:r w:rsidRPr="008444E4">
        <w:rPr>
          <w:color w:val="548DD4" w:themeColor="text2" w:themeTint="99"/>
          <w:szCs w:val="24"/>
          <w:lang w:val="fr-FR"/>
        </w:rPr>
        <w:t>le débit de dose </w:t>
      </w:r>
      <w:bookmarkEnd w:id="18"/>
      <w:r w:rsidRPr="008444E4">
        <w:rPr>
          <w:color w:val="548DD4" w:themeColor="text2" w:themeTint="99"/>
          <w:szCs w:val="24"/>
          <w:lang w:val="fr-FR"/>
        </w:rPr>
        <w:t xml:space="preserve">». </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ab/>
        <w:t>Au début de l’alinéa a), remplacer « l’expéditeur, le destinataire, le transporteur » par « l’expéditeur, le transporteur, le destinataire ».</w:t>
      </w:r>
    </w:p>
    <w:p w:rsidR="002F42AA" w:rsidRPr="00C85ADC" w:rsidRDefault="002F42AA" w:rsidP="002F42AA">
      <w:pPr>
        <w:pStyle w:val="SingleTxtG"/>
        <w:tabs>
          <w:tab w:val="left" w:pos="2268"/>
        </w:tabs>
        <w:ind w:left="2259" w:hanging="1125"/>
        <w:rPr>
          <w:szCs w:val="24"/>
          <w:lang w:val="fr-FR"/>
        </w:rPr>
      </w:pPr>
      <w:r w:rsidRPr="008444E4">
        <w:rPr>
          <w:color w:val="548DD4" w:themeColor="text2" w:themeTint="99"/>
          <w:szCs w:val="24"/>
          <w:lang w:val="fr-FR"/>
        </w:rPr>
        <w:tab/>
        <w:t>Au début de l’alinéa b), remplacer « </w:t>
      </w:r>
      <w:bookmarkStart w:id="19" w:name="_Hlk536801818"/>
      <w:r w:rsidRPr="008444E4">
        <w:rPr>
          <w:color w:val="548DD4" w:themeColor="text2" w:themeTint="99"/>
          <w:szCs w:val="24"/>
          <w:lang w:val="fr-FR"/>
        </w:rPr>
        <w:t>le transporteur, l'expéditeur ou le destinataire</w:t>
      </w:r>
      <w:bookmarkEnd w:id="19"/>
      <w:r w:rsidRPr="008444E4">
        <w:rPr>
          <w:color w:val="548DD4" w:themeColor="text2" w:themeTint="99"/>
          <w:szCs w:val="24"/>
          <w:lang w:val="fr-FR"/>
        </w:rPr>
        <w:t xml:space="preserve"> » par </w:t>
      </w:r>
      <w:bookmarkStart w:id="20" w:name="_Hlk2242149"/>
      <w:r w:rsidRPr="008444E4">
        <w:rPr>
          <w:iCs/>
          <w:color w:val="548DD4" w:themeColor="text2" w:themeTint="99"/>
          <w:szCs w:val="24"/>
          <w:lang w:val="fr-FR"/>
        </w:rPr>
        <w:t>« l’expéditeur, le transporteur ou le destinataire</w:t>
      </w:r>
      <w:r w:rsidRPr="008444E4">
        <w:rPr>
          <w:i/>
          <w:color w:val="548DD4" w:themeColor="text2" w:themeTint="99"/>
          <w:szCs w:val="24"/>
          <w:lang w:val="fr-FR"/>
        </w:rPr>
        <w:t> </w:t>
      </w:r>
      <w:bookmarkEnd w:id="20"/>
      <w:r w:rsidRPr="008444E4">
        <w:rPr>
          <w:i/>
          <w:color w:val="548DD4" w:themeColor="text2" w:themeTint="99"/>
          <w:szCs w:val="24"/>
          <w:lang w:val="fr-FR"/>
        </w:rPr>
        <w:t>».</w:t>
      </w:r>
      <w:r w:rsidRPr="008444E4">
        <w:rPr>
          <w:color w:val="548DD4" w:themeColor="text2" w:themeTint="99"/>
          <w:szCs w:val="24"/>
          <w:lang w:val="fr-FR"/>
        </w:rPr>
        <w:t xml:space="preserve"> Au point iii) de l’alinéa b), remplacer « de circonstances analogues » par « </w:t>
      </w:r>
      <w:bookmarkStart w:id="21" w:name="_Hlk2243291"/>
      <w:r w:rsidRPr="008444E4">
        <w:rPr>
          <w:color w:val="548DD4" w:themeColor="text2" w:themeTint="99"/>
          <w:szCs w:val="24"/>
          <w:lang w:val="fr-FR"/>
        </w:rPr>
        <w:t>de causes et de circonstances analogues </w:t>
      </w:r>
      <w:bookmarkEnd w:id="21"/>
      <w:r w:rsidRPr="008444E4">
        <w:rPr>
          <w:color w:val="548DD4" w:themeColor="text2" w:themeTint="99"/>
          <w:szCs w:val="24"/>
          <w:lang w:val="fr-FR"/>
        </w:rPr>
        <w:t>». L’amendement à l’alinéa b) iv) dans la version anglaise est sans objet en français.</w:t>
      </w:r>
    </w:p>
    <w:p w:rsidR="002F42AA" w:rsidRPr="00C85ADC" w:rsidRDefault="002F42AA" w:rsidP="002F42AA">
      <w:pPr>
        <w:pStyle w:val="H1G"/>
        <w:rPr>
          <w:lang w:val="fr-FR"/>
        </w:rPr>
      </w:pPr>
      <w:r w:rsidRPr="00C85ADC">
        <w:rPr>
          <w:lang w:val="fr-FR"/>
        </w:rPr>
        <w:lastRenderedPageBreak/>
        <w:tab/>
      </w:r>
      <w:r w:rsidRPr="00C85ADC">
        <w:rPr>
          <w:lang w:val="fr-FR"/>
        </w:rPr>
        <w:tab/>
        <w:t>Chapitre 1.8</w:t>
      </w:r>
    </w:p>
    <w:p w:rsidR="002F42AA" w:rsidRPr="008444E4" w:rsidRDefault="002F42AA" w:rsidP="002F42AA">
      <w:pPr>
        <w:pStyle w:val="SingleTxtG"/>
        <w:ind w:left="2268" w:hanging="1134"/>
      </w:pPr>
      <w:r w:rsidRPr="008444E4">
        <w:rPr>
          <w:lang w:val="fr-FR"/>
        </w:rPr>
        <w:t>1.8.5.1</w:t>
      </w:r>
      <w:r w:rsidRPr="008444E4">
        <w:rPr>
          <w:lang w:val="fr-FR"/>
        </w:rPr>
        <w:tab/>
        <w:t xml:space="preserve">Après « le transporteur » ajouter </w:t>
      </w:r>
      <w:proofErr w:type="gramStart"/>
      <w:r w:rsidRPr="008444E4">
        <w:rPr>
          <w:lang w:val="fr-FR"/>
        </w:rPr>
        <w:t>« ,</w:t>
      </w:r>
      <w:proofErr w:type="gramEnd"/>
      <w:r w:rsidRPr="008444E4">
        <w:rPr>
          <w:lang w:val="fr-FR"/>
        </w:rPr>
        <w:t xml:space="preserve"> le déchargeur ».</w:t>
      </w:r>
    </w:p>
    <w:p w:rsidR="002F42AA" w:rsidRPr="008444E4" w:rsidRDefault="002F42AA" w:rsidP="002F42AA">
      <w:pPr>
        <w:pStyle w:val="SingleTxtG"/>
        <w:rPr>
          <w:i/>
          <w:iCs/>
        </w:rPr>
      </w:pPr>
      <w:r w:rsidRPr="008444E4">
        <w:rPr>
          <w:i/>
          <w:lang w:val="fr-FR"/>
        </w:rPr>
        <w:t xml:space="preserve">(Document de référence : </w:t>
      </w:r>
      <w:r w:rsidR="008444E4" w:rsidRPr="008444E4">
        <w:rPr>
          <w:i/>
          <w:iCs/>
        </w:rPr>
        <w:t xml:space="preserve">ECE/TRANS/WP.15/AC.1/152, </w:t>
      </w:r>
      <w:r w:rsidR="00C35261">
        <w:rPr>
          <w:i/>
          <w:iCs/>
        </w:rPr>
        <w:t>annexe</w:t>
      </w:r>
      <w:r w:rsidR="008444E4" w:rsidRPr="008444E4">
        <w:rPr>
          <w:i/>
          <w:iCs/>
        </w:rPr>
        <w:t xml:space="preserve"> II</w:t>
      </w:r>
      <w:r w:rsidRPr="008444E4">
        <w:rPr>
          <w:i/>
          <w:lang w:val="fr-FR"/>
        </w:rPr>
        <w:t>)</w:t>
      </w:r>
    </w:p>
    <w:p w:rsidR="002F42AA" w:rsidRPr="008444E4" w:rsidRDefault="002F42AA" w:rsidP="002F42AA">
      <w:pPr>
        <w:pStyle w:val="SingleTxtG"/>
        <w:tabs>
          <w:tab w:val="left" w:pos="2268"/>
        </w:tabs>
        <w:ind w:left="2259" w:hanging="1125"/>
        <w:rPr>
          <w:color w:val="548DD4" w:themeColor="text2" w:themeTint="99"/>
          <w:szCs w:val="24"/>
          <w:lang w:val="fr-FR"/>
        </w:rPr>
      </w:pPr>
      <w:r w:rsidRPr="008444E4">
        <w:rPr>
          <w:color w:val="548DD4" w:themeColor="text2" w:themeTint="99"/>
          <w:szCs w:val="24"/>
          <w:lang w:val="fr-FR"/>
        </w:rPr>
        <w:t>1.8.5.3</w:t>
      </w:r>
      <w:r w:rsidRPr="008444E4">
        <w:rPr>
          <w:color w:val="548DD4" w:themeColor="text2" w:themeTint="99"/>
          <w:szCs w:val="24"/>
          <w:lang w:val="fr-FR"/>
        </w:rPr>
        <w:tab/>
        <w:t>À l’alinéa b) sous « Dans un évènement impliquant des matières radioactives, les critères de perte de produit sont les suivants : », remplacer « Tableau II de la Collection Sécurité No 115 de l’AIEA - ‶</w:t>
      </w:r>
      <w:r w:rsidRPr="008444E4">
        <w:rPr>
          <w:i/>
          <w:iCs/>
          <w:color w:val="548DD4" w:themeColor="text2" w:themeTint="99"/>
          <w:szCs w:val="24"/>
          <w:lang w:val="fr-FR"/>
        </w:rPr>
        <w:t>Normes fondamentales internationales de protection contre les rayonnements ionisants et de sûreté des sources de rayonnements″</w:t>
      </w:r>
      <w:r w:rsidRPr="008444E4">
        <w:rPr>
          <w:color w:val="548DD4" w:themeColor="text2" w:themeTint="99"/>
          <w:szCs w:val="24"/>
          <w:lang w:val="fr-FR"/>
        </w:rPr>
        <w:t>, Collection Sécurité, n</w:t>
      </w:r>
      <w:r w:rsidRPr="008444E4">
        <w:rPr>
          <w:color w:val="548DD4" w:themeColor="text2" w:themeTint="99"/>
          <w:szCs w:val="24"/>
          <w:vertAlign w:val="superscript"/>
          <w:lang w:val="fr-FR"/>
        </w:rPr>
        <w:t>o</w:t>
      </w:r>
      <w:r w:rsidRPr="008444E4">
        <w:rPr>
          <w:color w:val="548DD4" w:themeColor="text2" w:themeTint="99"/>
          <w:szCs w:val="24"/>
          <w:lang w:val="fr-FR"/>
        </w:rPr>
        <w:t xml:space="preserve"> 115, AIEA, Vienne (1996) », par </w:t>
      </w:r>
      <w:bookmarkStart w:id="22" w:name="_Hlk2236936"/>
      <w:r w:rsidRPr="008444E4">
        <w:rPr>
          <w:color w:val="548DD4" w:themeColor="text2" w:themeTint="99"/>
          <w:szCs w:val="24"/>
          <w:lang w:val="fr-FR"/>
        </w:rPr>
        <w:t>« "</w:t>
      </w:r>
      <w:r w:rsidRPr="008444E4">
        <w:rPr>
          <w:i/>
          <w:iCs/>
          <w:color w:val="548DD4" w:themeColor="text2" w:themeTint="99"/>
          <w:szCs w:val="24"/>
          <w:lang w:val="fr-FR"/>
        </w:rPr>
        <w:t>Radioprotection et sûreté des sources de rayonnements : normes fondamentales internationales de sûreté"</w:t>
      </w:r>
      <w:r w:rsidRPr="008444E4">
        <w:rPr>
          <w:color w:val="548DD4" w:themeColor="text2" w:themeTint="99"/>
          <w:szCs w:val="24"/>
          <w:lang w:val="fr-FR"/>
        </w:rPr>
        <w:t>, collection Normes de sûreté de l’AIEA, n</w:t>
      </w:r>
      <w:r w:rsidRPr="008444E4">
        <w:rPr>
          <w:color w:val="548DD4" w:themeColor="text2" w:themeTint="99"/>
          <w:szCs w:val="24"/>
          <w:vertAlign w:val="superscript"/>
          <w:lang w:val="fr-FR"/>
        </w:rPr>
        <w:t>o</w:t>
      </w:r>
      <w:r w:rsidRPr="008444E4">
        <w:rPr>
          <w:color w:val="548DD4" w:themeColor="text2" w:themeTint="99"/>
          <w:szCs w:val="24"/>
          <w:lang w:val="fr-FR"/>
        </w:rPr>
        <w:t> GSR Part 3, AIEA, Vienne (2014)</w:t>
      </w:r>
      <w:bookmarkEnd w:id="22"/>
      <w:r w:rsidRPr="008444E4">
        <w:rPr>
          <w:color w:val="548DD4" w:themeColor="text2" w:themeTint="99"/>
          <w:szCs w:val="24"/>
          <w:lang w:val="fr-FR"/>
        </w:rPr>
        <w:t> ».</w:t>
      </w:r>
    </w:p>
    <w:p w:rsidR="002F42AA" w:rsidRPr="00C85ADC" w:rsidRDefault="002F42AA" w:rsidP="002F42AA">
      <w:pPr>
        <w:pStyle w:val="H1G"/>
        <w:rPr>
          <w:lang w:val="fr-FR"/>
        </w:rPr>
      </w:pPr>
      <w:r w:rsidRPr="00C85ADC">
        <w:rPr>
          <w:lang w:val="fr-FR"/>
        </w:rPr>
        <w:tab/>
      </w:r>
      <w:r w:rsidRPr="00C85ADC">
        <w:rPr>
          <w:lang w:val="fr-FR"/>
        </w:rPr>
        <w:tab/>
        <w:t>Chapitre 1.10</w:t>
      </w:r>
    </w:p>
    <w:p w:rsidR="002F42AA" w:rsidRPr="00BD5208" w:rsidRDefault="002F42AA" w:rsidP="002F42AA">
      <w:pPr>
        <w:pStyle w:val="SingleTxtG"/>
        <w:tabs>
          <w:tab w:val="left" w:pos="2268"/>
        </w:tabs>
        <w:ind w:left="2259" w:hanging="1125"/>
        <w:rPr>
          <w:color w:val="548DD4" w:themeColor="text2" w:themeTint="99"/>
          <w:lang w:val="fr-FR"/>
        </w:rPr>
      </w:pPr>
      <w:r w:rsidRPr="00BD5208">
        <w:rPr>
          <w:color w:val="548DD4" w:themeColor="text2" w:themeTint="99"/>
          <w:lang w:val="fr-FR"/>
        </w:rPr>
        <w:t>Tableau 1.10.3.1.2</w:t>
      </w:r>
    </w:p>
    <w:p w:rsidR="002F42AA" w:rsidRPr="00BD5208" w:rsidRDefault="002F42AA" w:rsidP="002F42AA">
      <w:pPr>
        <w:pStyle w:val="SingleTxtG"/>
        <w:tabs>
          <w:tab w:val="left" w:pos="2268"/>
        </w:tabs>
        <w:ind w:left="2259" w:hanging="1125"/>
        <w:rPr>
          <w:color w:val="548DD4" w:themeColor="text2" w:themeTint="99"/>
          <w:lang w:val="fr-FR"/>
        </w:rPr>
      </w:pPr>
      <w:r w:rsidRPr="00BD5208">
        <w:rPr>
          <w:color w:val="548DD4" w:themeColor="text2" w:themeTint="99"/>
          <w:lang w:val="fr-FR"/>
        </w:rPr>
        <w:t xml:space="preserve"> </w:t>
      </w:r>
      <w:r w:rsidRPr="00BD5208">
        <w:rPr>
          <w:color w:val="548DD4" w:themeColor="text2" w:themeTint="99"/>
          <w:lang w:val="fr-FR"/>
        </w:rPr>
        <w:tab/>
        <w:t>Faire les modifications suivantes :</w:t>
      </w:r>
    </w:p>
    <w:p w:rsidR="002F42AA" w:rsidRPr="00BD5208" w:rsidRDefault="002F42AA" w:rsidP="002F42AA">
      <w:pPr>
        <w:pStyle w:val="SingleTxtG"/>
        <w:tabs>
          <w:tab w:val="left" w:pos="2268"/>
        </w:tabs>
        <w:ind w:left="2259" w:hanging="1125"/>
        <w:rPr>
          <w:color w:val="548DD4" w:themeColor="text2" w:themeTint="99"/>
          <w:lang w:val="fr-FR"/>
        </w:rPr>
      </w:pPr>
      <w:r w:rsidRPr="00BD5208">
        <w:rPr>
          <w:color w:val="548DD4" w:themeColor="text2" w:themeTint="99"/>
          <w:lang w:val="fr-FR"/>
        </w:rPr>
        <w:tab/>
        <w:t xml:space="preserve">Pour Classe 1, Division 1.4, dans la colonne « Matière ou objets », remplacer « et 0500 » par </w:t>
      </w:r>
      <w:proofErr w:type="gramStart"/>
      <w:r w:rsidRPr="00BD5208">
        <w:rPr>
          <w:color w:val="548DD4" w:themeColor="text2" w:themeTint="99"/>
          <w:lang w:val="fr-FR"/>
        </w:rPr>
        <w:t>« ,</w:t>
      </w:r>
      <w:proofErr w:type="gramEnd"/>
      <w:r w:rsidRPr="00BD5208">
        <w:rPr>
          <w:color w:val="548DD4" w:themeColor="text2" w:themeTint="99"/>
          <w:lang w:val="fr-FR"/>
        </w:rPr>
        <w:t xml:space="preserve"> 0500, 0512 et 0513 ».</w:t>
      </w:r>
    </w:p>
    <w:p w:rsidR="002F42AA" w:rsidRPr="00BD5208" w:rsidRDefault="002F42AA" w:rsidP="002F42AA">
      <w:pPr>
        <w:pStyle w:val="SingleTxtG"/>
        <w:tabs>
          <w:tab w:val="left" w:pos="2268"/>
        </w:tabs>
        <w:ind w:left="2259" w:hanging="1125"/>
        <w:rPr>
          <w:color w:val="548DD4" w:themeColor="text2" w:themeTint="99"/>
          <w:lang w:val="fr-FR"/>
        </w:rPr>
      </w:pPr>
      <w:r w:rsidRPr="00BD5208">
        <w:rPr>
          <w:color w:val="548DD4" w:themeColor="text2" w:themeTint="99"/>
          <w:lang w:val="fr-FR"/>
        </w:rPr>
        <w:tab/>
        <w:t>Ajouter la nouvelle ligne suivante après « Classe 1, Division 1.5 » :</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277"/>
        <w:gridCol w:w="2270"/>
        <w:gridCol w:w="814"/>
        <w:gridCol w:w="1084"/>
        <w:gridCol w:w="1086"/>
      </w:tblGrid>
      <w:tr w:rsidR="002F42AA" w:rsidRPr="00BD5208" w:rsidTr="00111B8A">
        <w:trPr>
          <w:cantSplit/>
          <w:tblHeade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suppressAutoHyphens w:val="0"/>
              <w:spacing w:before="20" w:after="20" w:line="216" w:lineRule="auto"/>
              <w:ind w:left="1418" w:hanging="1418"/>
              <w:jc w:val="center"/>
              <w:rPr>
                <w:b/>
                <w:bCs/>
                <w:color w:val="548DD4" w:themeColor="text2" w:themeTint="99"/>
                <w:lang w:val="fr-FR"/>
              </w:rPr>
            </w:pPr>
            <w:r w:rsidRPr="00BD5208">
              <w:rPr>
                <w:b/>
                <w:bCs/>
                <w:color w:val="548DD4" w:themeColor="text2" w:themeTint="99"/>
                <w:lang w:val="fr-FR"/>
              </w:rPr>
              <w:t>Classe</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suppressAutoHyphens w:val="0"/>
              <w:spacing w:before="20" w:after="20" w:line="216" w:lineRule="auto"/>
              <w:ind w:left="1418" w:hanging="1418"/>
              <w:jc w:val="center"/>
              <w:rPr>
                <w:b/>
                <w:bCs/>
                <w:color w:val="548DD4" w:themeColor="text2" w:themeTint="99"/>
                <w:lang w:val="fr-FR"/>
              </w:rPr>
            </w:pPr>
            <w:r w:rsidRPr="00BD5208">
              <w:rPr>
                <w:b/>
                <w:bCs/>
                <w:color w:val="548DD4" w:themeColor="text2" w:themeTint="99"/>
                <w:lang w:val="fr-FR"/>
              </w:rPr>
              <w:t>Division</w:t>
            </w:r>
          </w:p>
        </w:tc>
        <w:tc>
          <w:tcPr>
            <w:tcW w:w="2270" w:type="dxa"/>
            <w:vMerge w:val="restart"/>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suppressAutoHyphens w:val="0"/>
              <w:spacing w:before="20" w:after="20" w:line="216" w:lineRule="auto"/>
              <w:ind w:left="1418" w:hanging="1418"/>
              <w:jc w:val="center"/>
              <w:rPr>
                <w:b/>
                <w:bCs/>
                <w:color w:val="548DD4" w:themeColor="text2" w:themeTint="99"/>
                <w:lang w:val="fr-FR"/>
              </w:rPr>
            </w:pPr>
            <w:r w:rsidRPr="00BD5208">
              <w:rPr>
                <w:b/>
                <w:bCs/>
                <w:color w:val="548DD4" w:themeColor="text2" w:themeTint="99"/>
                <w:lang w:val="fr-FR"/>
              </w:rPr>
              <w:t>Matière ou objet</w:t>
            </w:r>
          </w:p>
        </w:tc>
        <w:tc>
          <w:tcPr>
            <w:tcW w:w="2984" w:type="dxa"/>
            <w:gridSpan w:val="3"/>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suppressAutoHyphens w:val="0"/>
              <w:spacing w:before="20" w:after="20" w:line="216" w:lineRule="auto"/>
              <w:ind w:left="1418" w:hanging="1418"/>
              <w:jc w:val="center"/>
              <w:rPr>
                <w:b/>
                <w:bCs/>
                <w:color w:val="548DD4" w:themeColor="text2" w:themeTint="99"/>
                <w:lang w:val="fr-FR"/>
              </w:rPr>
            </w:pPr>
            <w:r w:rsidRPr="00BD5208">
              <w:rPr>
                <w:b/>
                <w:bCs/>
                <w:color w:val="548DD4" w:themeColor="text2" w:themeTint="99"/>
                <w:lang w:val="fr-FR"/>
              </w:rPr>
              <w:t>Quantité</w:t>
            </w:r>
          </w:p>
        </w:tc>
      </w:tr>
      <w:tr w:rsidR="002F42AA" w:rsidRPr="00BD5208" w:rsidTr="00111B8A">
        <w:trPr>
          <w:cantSplit/>
          <w:tblHeade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F42AA" w:rsidRPr="00BD5208" w:rsidRDefault="002F42AA" w:rsidP="00111B8A">
            <w:pPr>
              <w:suppressAutoHyphens w:val="0"/>
              <w:spacing w:line="240" w:lineRule="auto"/>
              <w:rPr>
                <w:b/>
                <w:bCs/>
                <w:color w:val="548DD4" w:themeColor="text2" w:themeTint="99"/>
                <w:lang w:val="fr-FR"/>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42AA" w:rsidRPr="00BD5208" w:rsidRDefault="002F42AA" w:rsidP="00111B8A">
            <w:pPr>
              <w:suppressAutoHyphens w:val="0"/>
              <w:spacing w:line="240" w:lineRule="auto"/>
              <w:rPr>
                <w:b/>
                <w:bCs/>
                <w:color w:val="548DD4" w:themeColor="text2" w:themeTint="99"/>
                <w:lang w:val="fr-FR"/>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F42AA" w:rsidRPr="00BD5208" w:rsidRDefault="002F42AA" w:rsidP="00111B8A">
            <w:pPr>
              <w:suppressAutoHyphens w:val="0"/>
              <w:spacing w:line="240" w:lineRule="auto"/>
              <w:rPr>
                <w:b/>
                <w:bCs/>
                <w:color w:val="548DD4" w:themeColor="text2" w:themeTint="99"/>
                <w:lang w:val="fr-FR"/>
              </w:rPr>
            </w:pPr>
          </w:p>
        </w:tc>
        <w:tc>
          <w:tcPr>
            <w:tcW w:w="814"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suppressAutoHyphens w:val="0"/>
              <w:spacing w:before="20" w:after="20" w:line="216" w:lineRule="auto"/>
              <w:ind w:left="1418" w:hanging="1411"/>
              <w:jc w:val="center"/>
              <w:rPr>
                <w:b/>
                <w:bCs/>
                <w:color w:val="548DD4" w:themeColor="text2" w:themeTint="99"/>
                <w:lang w:val="fr-FR"/>
              </w:rPr>
            </w:pPr>
            <w:r w:rsidRPr="00BD5208">
              <w:rPr>
                <w:b/>
                <w:bCs/>
                <w:color w:val="548DD4" w:themeColor="text2" w:themeTint="99"/>
                <w:lang w:val="fr-FR"/>
              </w:rPr>
              <w:t>Citerne</w:t>
            </w:r>
          </w:p>
          <w:p w:rsidR="002F42AA" w:rsidRPr="00BD5208" w:rsidRDefault="002F42AA" w:rsidP="00111B8A">
            <w:pPr>
              <w:suppressAutoHyphens w:val="0"/>
              <w:spacing w:before="20" w:after="20" w:line="216" w:lineRule="auto"/>
              <w:ind w:left="1418" w:hanging="1411"/>
              <w:jc w:val="center"/>
              <w:rPr>
                <w:b/>
                <w:bCs/>
                <w:color w:val="548DD4" w:themeColor="text2" w:themeTint="99"/>
                <w:lang w:val="fr-FR"/>
              </w:rPr>
            </w:pPr>
            <w:r w:rsidRPr="00BD5208">
              <w:rPr>
                <w:b/>
                <w:bCs/>
                <w:color w:val="548DD4" w:themeColor="text2" w:themeTint="99"/>
                <w:lang w:val="fr-FR"/>
              </w:rPr>
              <w:t>(</w:t>
            </w:r>
            <w:r w:rsidRPr="00BD5208">
              <w:rPr>
                <w:b/>
                <w:bCs/>
                <w:i/>
                <w:iCs/>
                <w:color w:val="548DD4" w:themeColor="text2" w:themeTint="99"/>
                <w:lang w:val="fr-FR"/>
              </w:rPr>
              <w:t>l</w:t>
            </w:r>
            <w:r w:rsidRPr="00BD5208">
              <w:rPr>
                <w:b/>
                <w:bCs/>
                <w:color w:val="548DD4" w:themeColor="text2" w:themeTint="99"/>
                <w:lang w:val="fr-FR"/>
              </w:rPr>
              <w:t>)</w:t>
            </w:r>
            <w:r w:rsidRPr="00BD5208">
              <w:rPr>
                <w:b/>
                <w:bCs/>
                <w:color w:val="548DD4" w:themeColor="text2" w:themeTint="99"/>
                <w:vertAlign w:val="superscript"/>
                <w:lang w:val="fr-FR"/>
              </w:rPr>
              <w:t xml:space="preserve"> c</w:t>
            </w:r>
          </w:p>
        </w:tc>
        <w:tc>
          <w:tcPr>
            <w:tcW w:w="1084"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suppressAutoHyphens w:val="0"/>
              <w:spacing w:before="20" w:after="20" w:line="216" w:lineRule="auto"/>
              <w:ind w:left="1418" w:hanging="1411"/>
              <w:jc w:val="center"/>
              <w:rPr>
                <w:b/>
                <w:bCs/>
                <w:color w:val="548DD4" w:themeColor="text2" w:themeTint="99"/>
                <w:lang w:val="fr-FR"/>
              </w:rPr>
            </w:pPr>
            <w:r w:rsidRPr="00BD5208">
              <w:rPr>
                <w:b/>
                <w:bCs/>
                <w:color w:val="548DD4" w:themeColor="text2" w:themeTint="99"/>
                <w:lang w:val="fr-FR"/>
              </w:rPr>
              <w:t>Vrac</w:t>
            </w:r>
          </w:p>
          <w:p w:rsidR="002F42AA" w:rsidRPr="00BD5208" w:rsidRDefault="002F42AA" w:rsidP="00111B8A">
            <w:pPr>
              <w:suppressAutoHyphens w:val="0"/>
              <w:spacing w:before="20" w:after="20" w:line="216" w:lineRule="auto"/>
              <w:ind w:left="1418" w:hanging="1411"/>
              <w:jc w:val="center"/>
              <w:rPr>
                <w:b/>
                <w:bCs/>
                <w:color w:val="548DD4" w:themeColor="text2" w:themeTint="99"/>
                <w:lang w:val="fr-FR"/>
              </w:rPr>
            </w:pPr>
            <w:r w:rsidRPr="00BD5208">
              <w:rPr>
                <w:b/>
                <w:bCs/>
                <w:color w:val="548DD4" w:themeColor="text2" w:themeTint="99"/>
                <w:lang w:val="fr-FR"/>
              </w:rPr>
              <w:t>(</w:t>
            </w:r>
            <w:proofErr w:type="gramStart"/>
            <w:r w:rsidRPr="00BD5208">
              <w:rPr>
                <w:b/>
                <w:bCs/>
                <w:color w:val="548DD4" w:themeColor="text2" w:themeTint="99"/>
                <w:lang w:val="fr-FR"/>
              </w:rPr>
              <w:t>kg</w:t>
            </w:r>
            <w:proofErr w:type="gramEnd"/>
            <w:r w:rsidRPr="00BD5208">
              <w:rPr>
                <w:b/>
                <w:bCs/>
                <w:color w:val="548DD4" w:themeColor="text2" w:themeTint="99"/>
                <w:lang w:val="fr-FR"/>
              </w:rPr>
              <w:t>)</w:t>
            </w:r>
            <w:r w:rsidRPr="00BD5208">
              <w:rPr>
                <w:b/>
                <w:bCs/>
                <w:color w:val="548DD4" w:themeColor="text2" w:themeTint="99"/>
                <w:vertAlign w:val="superscript"/>
                <w:lang w:val="fr-FR"/>
              </w:rPr>
              <w:t xml:space="preserve"> d</w:t>
            </w:r>
          </w:p>
        </w:tc>
        <w:tc>
          <w:tcPr>
            <w:tcW w:w="1086"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suppressAutoHyphens w:val="0"/>
              <w:spacing w:before="20" w:after="20" w:line="216" w:lineRule="auto"/>
              <w:ind w:left="49"/>
              <w:jc w:val="center"/>
              <w:rPr>
                <w:b/>
                <w:bCs/>
                <w:color w:val="548DD4" w:themeColor="text2" w:themeTint="99"/>
                <w:lang w:val="fr-FR"/>
              </w:rPr>
            </w:pPr>
            <w:r w:rsidRPr="00BD5208">
              <w:rPr>
                <w:b/>
                <w:bCs/>
                <w:color w:val="548DD4" w:themeColor="text2" w:themeTint="99"/>
                <w:lang w:val="fr-FR"/>
              </w:rPr>
              <w:t>Colis</w:t>
            </w:r>
          </w:p>
          <w:p w:rsidR="002F42AA" w:rsidRPr="00BD5208" w:rsidRDefault="002F42AA" w:rsidP="00111B8A">
            <w:pPr>
              <w:suppressAutoHyphens w:val="0"/>
              <w:spacing w:before="20" w:after="20" w:line="216" w:lineRule="auto"/>
              <w:ind w:left="43"/>
              <w:jc w:val="center"/>
              <w:rPr>
                <w:b/>
                <w:bCs/>
                <w:color w:val="548DD4" w:themeColor="text2" w:themeTint="99"/>
                <w:lang w:val="fr-FR"/>
              </w:rPr>
            </w:pPr>
            <w:r w:rsidRPr="00BD5208">
              <w:rPr>
                <w:b/>
                <w:bCs/>
                <w:color w:val="548DD4" w:themeColor="text2" w:themeTint="99"/>
                <w:lang w:val="fr-FR"/>
              </w:rPr>
              <w:t>(</w:t>
            </w:r>
            <w:proofErr w:type="gramStart"/>
            <w:r w:rsidRPr="00BD5208">
              <w:rPr>
                <w:b/>
                <w:bCs/>
                <w:color w:val="548DD4" w:themeColor="text2" w:themeTint="99"/>
                <w:lang w:val="fr-FR"/>
              </w:rPr>
              <w:t>kg</w:t>
            </w:r>
            <w:proofErr w:type="gramEnd"/>
            <w:r w:rsidRPr="00BD5208">
              <w:rPr>
                <w:b/>
                <w:bCs/>
                <w:color w:val="548DD4" w:themeColor="text2" w:themeTint="99"/>
                <w:lang w:val="fr-FR"/>
              </w:rPr>
              <w:t>)</w:t>
            </w:r>
          </w:p>
        </w:tc>
      </w:tr>
      <w:tr w:rsidR="002F42AA" w:rsidRPr="00BD5208" w:rsidTr="00111B8A">
        <w:trPr>
          <w:cantSplit/>
          <w:jc w:val="center"/>
        </w:trPr>
        <w:tc>
          <w:tcPr>
            <w:tcW w:w="1134"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keepNext/>
              <w:keepLines/>
              <w:suppressAutoHyphens w:val="0"/>
              <w:spacing w:before="20" w:after="20" w:line="216" w:lineRule="auto"/>
              <w:ind w:left="1418" w:hanging="1418"/>
              <w:jc w:val="center"/>
              <w:rPr>
                <w:color w:val="548DD4" w:themeColor="text2" w:themeTint="99"/>
                <w:lang w:val="fr-FR"/>
              </w:rPr>
            </w:pPr>
            <w:r w:rsidRPr="00BD5208">
              <w:rPr>
                <w:color w:val="548DD4" w:themeColor="text2" w:themeTint="99"/>
                <w:lang w:val="fr-FR"/>
              </w:rPr>
              <w:t>1</w:t>
            </w:r>
          </w:p>
        </w:tc>
        <w:tc>
          <w:tcPr>
            <w:tcW w:w="1277"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keepNext/>
              <w:keepLines/>
              <w:suppressAutoHyphens w:val="0"/>
              <w:spacing w:before="20" w:after="20" w:line="216" w:lineRule="auto"/>
              <w:ind w:left="1418" w:hanging="1418"/>
              <w:jc w:val="center"/>
              <w:rPr>
                <w:color w:val="548DD4" w:themeColor="text2" w:themeTint="99"/>
                <w:lang w:val="fr-FR"/>
              </w:rPr>
            </w:pPr>
            <w:r w:rsidRPr="00BD5208">
              <w:rPr>
                <w:color w:val="548DD4" w:themeColor="text2" w:themeTint="99"/>
                <w:lang w:val="fr-FR"/>
              </w:rPr>
              <w:t>1.6</w:t>
            </w:r>
          </w:p>
        </w:tc>
        <w:tc>
          <w:tcPr>
            <w:tcW w:w="2270"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keepLines/>
              <w:suppressAutoHyphens w:val="0"/>
              <w:spacing w:before="20" w:after="20" w:line="216" w:lineRule="auto"/>
              <w:rPr>
                <w:color w:val="548DD4" w:themeColor="text2" w:themeTint="99"/>
                <w:lang w:val="fr-FR"/>
              </w:rPr>
            </w:pPr>
            <w:r w:rsidRPr="00BD5208">
              <w:rPr>
                <w:color w:val="548DD4" w:themeColor="text2" w:themeTint="99"/>
                <w:lang w:val="fr-FR"/>
              </w:rPr>
              <w:t>Objets explosibles</w:t>
            </w:r>
          </w:p>
        </w:tc>
        <w:tc>
          <w:tcPr>
            <w:tcW w:w="814"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keepNext/>
              <w:keepLines/>
              <w:suppressAutoHyphens w:val="0"/>
              <w:spacing w:before="20" w:after="20" w:line="216" w:lineRule="auto"/>
              <w:ind w:left="1418" w:hanging="1418"/>
              <w:jc w:val="center"/>
              <w:rPr>
                <w:color w:val="548DD4" w:themeColor="text2" w:themeTint="99"/>
                <w:lang w:val="fr-FR"/>
              </w:rPr>
            </w:pPr>
            <w:proofErr w:type="gramStart"/>
            <w:r w:rsidRPr="00BD5208">
              <w:rPr>
                <w:b/>
                <w:bCs/>
                <w:color w:val="548DD4" w:themeColor="text2" w:themeTint="99"/>
                <w:vertAlign w:val="superscript"/>
                <w:lang w:val="fr-FR"/>
              </w:rPr>
              <w:t>a</w:t>
            </w:r>
            <w:proofErr w:type="gramEnd"/>
          </w:p>
        </w:tc>
        <w:tc>
          <w:tcPr>
            <w:tcW w:w="1084"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keepNext/>
              <w:keepLines/>
              <w:suppressAutoHyphens w:val="0"/>
              <w:spacing w:before="20" w:after="20" w:line="216" w:lineRule="auto"/>
              <w:ind w:left="1418" w:hanging="1418"/>
              <w:jc w:val="center"/>
              <w:rPr>
                <w:color w:val="548DD4" w:themeColor="text2" w:themeTint="99"/>
                <w:lang w:val="fr-FR"/>
              </w:rPr>
            </w:pPr>
            <w:proofErr w:type="gramStart"/>
            <w:r w:rsidRPr="00BD5208">
              <w:rPr>
                <w:b/>
                <w:bCs/>
                <w:color w:val="548DD4" w:themeColor="text2" w:themeTint="99"/>
                <w:vertAlign w:val="superscript"/>
                <w:lang w:val="fr-FR"/>
              </w:rPr>
              <w:t>a</w:t>
            </w:r>
            <w:proofErr w:type="gramEnd"/>
          </w:p>
        </w:tc>
        <w:tc>
          <w:tcPr>
            <w:tcW w:w="1086" w:type="dxa"/>
            <w:tcBorders>
              <w:top w:val="single" w:sz="4" w:space="0" w:color="auto"/>
              <w:left w:val="single" w:sz="4" w:space="0" w:color="auto"/>
              <w:bottom w:val="single" w:sz="4" w:space="0" w:color="auto"/>
              <w:right w:val="single" w:sz="4" w:space="0" w:color="auto"/>
            </w:tcBorders>
            <w:hideMark/>
          </w:tcPr>
          <w:p w:rsidR="002F42AA" w:rsidRPr="00BD5208" w:rsidRDefault="002F42AA" w:rsidP="00111B8A">
            <w:pPr>
              <w:keepNext/>
              <w:keepLines/>
              <w:suppressAutoHyphens w:val="0"/>
              <w:spacing w:before="20" w:after="20" w:line="216" w:lineRule="auto"/>
              <w:ind w:left="1418" w:hanging="1418"/>
              <w:jc w:val="center"/>
              <w:rPr>
                <w:color w:val="548DD4" w:themeColor="text2" w:themeTint="99"/>
                <w:lang w:val="fr-FR"/>
              </w:rPr>
            </w:pPr>
            <w:r w:rsidRPr="00BD5208">
              <w:rPr>
                <w:color w:val="548DD4" w:themeColor="text2" w:themeTint="99"/>
                <w:lang w:val="fr-FR"/>
              </w:rPr>
              <w:t>0</w:t>
            </w:r>
          </w:p>
        </w:tc>
      </w:tr>
    </w:tbl>
    <w:p w:rsidR="002F42AA" w:rsidRPr="00BD5208" w:rsidRDefault="002F42AA" w:rsidP="002F42AA">
      <w:pPr>
        <w:pStyle w:val="SingleTxtG"/>
        <w:tabs>
          <w:tab w:val="left" w:pos="2268"/>
        </w:tabs>
        <w:spacing w:before="120"/>
        <w:ind w:left="2257" w:hanging="1123"/>
        <w:rPr>
          <w:color w:val="548DD4" w:themeColor="text2" w:themeTint="99"/>
          <w:lang w:val="fr-FR"/>
        </w:rPr>
      </w:pPr>
      <w:r w:rsidRPr="00BD5208">
        <w:rPr>
          <w:color w:val="548DD4" w:themeColor="text2" w:themeTint="99"/>
          <w:lang w:val="fr-FR"/>
        </w:rPr>
        <w:tab/>
        <w:t>Pour Classe 6.2, modifier le texte de la colonne « Matière ou objets » pour lire : « Matières infectieuses de la catégorie A (Nos ONU 2814 et 2900, à l’exception du matériel animal) et déchets médicaux de la catégorie A (No ONU 3549) ».</w:t>
      </w:r>
    </w:p>
    <w:p w:rsidR="002F42AA" w:rsidRPr="00C85ADC" w:rsidRDefault="002F42AA" w:rsidP="002F42AA">
      <w:pPr>
        <w:pStyle w:val="SingleTxtG"/>
        <w:tabs>
          <w:tab w:val="left" w:pos="2268"/>
        </w:tabs>
        <w:ind w:left="2259" w:hanging="1125"/>
        <w:rPr>
          <w:lang w:val="fr-FR"/>
        </w:rPr>
      </w:pPr>
      <w:r w:rsidRPr="00BD5208">
        <w:rPr>
          <w:color w:val="548DD4" w:themeColor="text2" w:themeTint="99"/>
          <w:lang w:val="fr-FR"/>
        </w:rPr>
        <w:t>1.10.5</w:t>
      </w:r>
      <w:r w:rsidRPr="00BD5208">
        <w:rPr>
          <w:color w:val="548DD4" w:themeColor="text2" w:themeTint="99"/>
          <w:lang w:val="fr-FR"/>
        </w:rPr>
        <w:tab/>
        <w:t>Remplacer « La protection physique des matières et des installations nucléaires » par « </w:t>
      </w:r>
      <w:bookmarkStart w:id="23" w:name="_Hlk2240340"/>
      <w:r w:rsidRPr="00BD5208">
        <w:rPr>
          <w:color w:val="548DD4" w:themeColor="text2" w:themeTint="99"/>
          <w:lang w:val="fr-FR"/>
        </w:rPr>
        <w:t>Recommandations de sécurité nucléaire sur la protection physique des matières nucléaires et des installations nucléaires </w:t>
      </w:r>
      <w:bookmarkEnd w:id="23"/>
      <w:r w:rsidRPr="00BD5208">
        <w:rPr>
          <w:color w:val="548DD4" w:themeColor="text2" w:themeTint="99"/>
          <w:lang w:val="fr-FR"/>
        </w:rPr>
        <w:t>». Dans la note de bas de page 26/2, remplacer « INFCIRC/225/Rev.4 (rectifié), AIEA, Vienne (1999) » par « </w:t>
      </w:r>
      <w:bookmarkStart w:id="24" w:name="_Hlk2240366"/>
      <w:r w:rsidRPr="00BD5208">
        <w:rPr>
          <w:color w:val="548DD4" w:themeColor="text2" w:themeTint="99"/>
          <w:lang w:val="fr-FR"/>
        </w:rPr>
        <w:t>INFCIRC/225/Rev.5, AIEA, Vienne (2011) </w:t>
      </w:r>
      <w:bookmarkEnd w:id="24"/>
      <w:r w:rsidRPr="00BD5208">
        <w:rPr>
          <w:color w:val="548DD4" w:themeColor="text2" w:themeTint="99"/>
          <w:lang w:val="fr-FR"/>
        </w:rPr>
        <w:t>».</w:t>
      </w:r>
      <w:r w:rsidRPr="00C85ADC">
        <w:rPr>
          <w:bCs/>
          <w:i/>
          <w:iCs/>
          <w:lang w:val="fr-FR"/>
        </w:rPr>
        <w:t xml:space="preserve"> </w:t>
      </w:r>
    </w:p>
    <w:p w:rsidR="002F42AA" w:rsidRPr="00C85ADC" w:rsidRDefault="002F42AA" w:rsidP="002F42AA">
      <w:pPr>
        <w:pStyle w:val="H1G"/>
        <w:rPr>
          <w:lang w:val="fr-FR"/>
        </w:rPr>
      </w:pPr>
      <w:r w:rsidRPr="00C85ADC">
        <w:rPr>
          <w:lang w:val="fr-FR"/>
        </w:rPr>
        <w:tab/>
      </w:r>
      <w:r w:rsidRPr="00C85ADC">
        <w:rPr>
          <w:lang w:val="fr-FR"/>
        </w:rPr>
        <w:tab/>
        <w:t>Chapitre 2.1</w:t>
      </w:r>
    </w:p>
    <w:p w:rsidR="002F42AA" w:rsidRPr="00BD5208" w:rsidRDefault="002F42AA" w:rsidP="002F42AA">
      <w:pPr>
        <w:pStyle w:val="SingleTxtG"/>
        <w:ind w:left="2268" w:hanging="1134"/>
      </w:pPr>
      <w:r w:rsidRPr="00BD5208">
        <w:rPr>
          <w:lang w:val="fr-FR"/>
        </w:rPr>
        <w:t>2.1.3.4</w:t>
      </w:r>
      <w:r w:rsidRPr="00BD5208">
        <w:rPr>
          <w:lang w:val="fr-FR"/>
        </w:rPr>
        <w:tab/>
        <w:t xml:space="preserve">Ajouter le nouveau paragraphe suivant : </w:t>
      </w:r>
    </w:p>
    <w:p w:rsidR="002F42AA" w:rsidRPr="00BD5208" w:rsidRDefault="002F42AA" w:rsidP="002F42AA">
      <w:pPr>
        <w:pStyle w:val="SingleTxtG"/>
        <w:ind w:left="2268" w:hanging="1134"/>
      </w:pPr>
      <w:r w:rsidRPr="00BD5208">
        <w:rPr>
          <w:lang w:val="fr-FR"/>
        </w:rPr>
        <w:t>« 2.1.3.4.3</w:t>
      </w:r>
      <w:r w:rsidRPr="00BD5208">
        <w:rPr>
          <w:lang w:val="fr-FR"/>
        </w:rPr>
        <w:tab/>
        <w:t xml:space="preserve">Les objets usagés, par exemple les transformateurs et les condensateurs, contenant une solution ou </w:t>
      </w:r>
      <w:proofErr w:type="gramStart"/>
      <w:r w:rsidRPr="00BD5208">
        <w:rPr>
          <w:lang w:val="fr-FR"/>
        </w:rPr>
        <w:t>un mélange visés</w:t>
      </w:r>
      <w:proofErr w:type="gramEnd"/>
      <w:r w:rsidRPr="00BD5208">
        <w:rPr>
          <w:lang w:val="fr-FR"/>
        </w:rPr>
        <w:t xml:space="preserve"> au 2.1.3.4.2, doivent toujours être classés sous la même rubrique de la classe 9, à condition :</w:t>
      </w:r>
    </w:p>
    <w:p w:rsidR="002F42AA" w:rsidRPr="00BD5208" w:rsidRDefault="002F42AA" w:rsidP="002F42AA">
      <w:pPr>
        <w:pStyle w:val="SingleTxtG"/>
        <w:ind w:left="2835" w:hanging="567"/>
      </w:pPr>
      <w:r w:rsidRPr="00BD5208">
        <w:rPr>
          <w:lang w:val="fr-FR"/>
        </w:rPr>
        <w:t>a)</w:t>
      </w:r>
      <w:r w:rsidRPr="00BD5208">
        <w:rPr>
          <w:lang w:val="fr-FR"/>
        </w:rPr>
        <w:tab/>
        <w:t xml:space="preserve">qu’ils ne contiennent pas en outre de composants dangereux autres que des </w:t>
      </w:r>
      <w:proofErr w:type="spellStart"/>
      <w:r w:rsidRPr="00BD5208">
        <w:rPr>
          <w:lang w:val="fr-FR"/>
        </w:rPr>
        <w:t>dibenzodioxines</w:t>
      </w:r>
      <w:proofErr w:type="spellEnd"/>
      <w:r w:rsidRPr="00BD5208">
        <w:rPr>
          <w:lang w:val="fr-FR"/>
        </w:rPr>
        <w:t xml:space="preserve"> et des </w:t>
      </w:r>
      <w:proofErr w:type="spellStart"/>
      <w:r w:rsidRPr="00BD5208">
        <w:rPr>
          <w:lang w:val="fr-FR"/>
        </w:rPr>
        <w:t>dibenzofurannes</w:t>
      </w:r>
      <w:proofErr w:type="spellEnd"/>
      <w:r w:rsidRPr="00BD5208">
        <w:rPr>
          <w:lang w:val="fr-FR"/>
        </w:rPr>
        <w:t xml:space="preserve"> </w:t>
      </w:r>
      <w:proofErr w:type="spellStart"/>
      <w:r w:rsidRPr="00BD5208">
        <w:rPr>
          <w:lang w:val="fr-FR"/>
        </w:rPr>
        <w:t>polyhalogénés</w:t>
      </w:r>
      <w:proofErr w:type="spellEnd"/>
      <w:r w:rsidRPr="00BD5208">
        <w:rPr>
          <w:lang w:val="fr-FR"/>
        </w:rPr>
        <w:t xml:space="preserve"> de la classe 6.1 ou des composants du groupe d’emballage III de la classe 3, 4.1, 4.2, 4.3, 5.1, 6.1 ou 8 ;</w:t>
      </w:r>
    </w:p>
    <w:p w:rsidR="002F42AA" w:rsidRPr="00BD5208" w:rsidRDefault="002F42AA" w:rsidP="002D4F04">
      <w:pPr>
        <w:pStyle w:val="SingleTxtG"/>
        <w:pageBreakBefore/>
        <w:ind w:left="2835" w:hanging="567"/>
      </w:pPr>
      <w:r w:rsidRPr="00BD5208">
        <w:rPr>
          <w:lang w:val="fr-FR"/>
        </w:rPr>
        <w:lastRenderedPageBreak/>
        <w:t>b)</w:t>
      </w:r>
      <w:r w:rsidRPr="00BD5208">
        <w:rPr>
          <w:lang w:val="fr-FR"/>
        </w:rPr>
        <w:tab/>
        <w:t>qu’ils ne présentent pas les caractéristiques de danger indiquées aux alinéas a) à g) et i) du 2.1.3.5.3. ».</w:t>
      </w:r>
    </w:p>
    <w:p w:rsidR="002F42AA" w:rsidRPr="00BD5208" w:rsidRDefault="002F42AA" w:rsidP="002F42AA">
      <w:pPr>
        <w:pStyle w:val="SingleTxtG"/>
        <w:rPr>
          <w:i/>
          <w:iCs/>
        </w:rPr>
      </w:pPr>
      <w:r w:rsidRPr="00BD5208">
        <w:rPr>
          <w:i/>
          <w:lang w:val="fr-FR"/>
        </w:rPr>
        <w:t xml:space="preserve">(Document de référence : </w:t>
      </w:r>
      <w:r w:rsidR="00BD5208" w:rsidRPr="00DD068A">
        <w:rPr>
          <w:i/>
          <w:iCs/>
        </w:rPr>
        <w:t xml:space="preserve">ECE/TRANS/WP.15/AC.1/152, </w:t>
      </w:r>
      <w:r w:rsidR="00C35261">
        <w:rPr>
          <w:i/>
          <w:iCs/>
        </w:rPr>
        <w:t>annexe</w:t>
      </w:r>
      <w:r w:rsidR="00BD5208" w:rsidRPr="00DD068A">
        <w:rPr>
          <w:i/>
          <w:iCs/>
        </w:rPr>
        <w:t xml:space="preserve"> II</w:t>
      </w:r>
      <w:r w:rsidRPr="00BD5208">
        <w:rPr>
          <w:i/>
          <w:lang w:val="fr-FR"/>
        </w:rPr>
        <w:t>)</w:t>
      </w:r>
    </w:p>
    <w:p w:rsidR="002F42AA" w:rsidRDefault="002F42AA" w:rsidP="002F42AA">
      <w:pPr>
        <w:pStyle w:val="SingleTxtG"/>
        <w:tabs>
          <w:tab w:val="left" w:pos="2268"/>
        </w:tabs>
        <w:ind w:left="2259" w:hanging="1125"/>
        <w:rPr>
          <w:lang w:val="fr-FR"/>
        </w:rPr>
      </w:pPr>
      <w:r w:rsidRPr="00BD5208">
        <w:rPr>
          <w:lang w:val="fr-FR"/>
        </w:rPr>
        <w:t>2.1.3.8</w:t>
      </w:r>
      <w:r w:rsidRPr="00BD5208">
        <w:rPr>
          <w:lang w:val="fr-FR"/>
        </w:rPr>
        <w:tab/>
        <w:t>Dans la deuxième phrase, après « Les autres matières qui ne satisfont aux critères d’aucune autre classe » ajouter « ou d’aucune autre matière de la classe 9 ».</w:t>
      </w:r>
    </w:p>
    <w:p w:rsidR="00BD5208" w:rsidRPr="00BD5208" w:rsidRDefault="00BD5208" w:rsidP="002F42AA">
      <w:pPr>
        <w:pStyle w:val="SingleTxtG"/>
        <w:tabs>
          <w:tab w:val="left" w:pos="2268"/>
        </w:tabs>
        <w:ind w:left="2259" w:hanging="1125"/>
        <w:rPr>
          <w:lang w:val="fr-FR"/>
        </w:rPr>
      </w:pPr>
      <w:r w:rsidRPr="00BD5208">
        <w:rPr>
          <w:i/>
          <w:lang w:val="fr-FR"/>
        </w:rPr>
        <w:t xml:space="preserve">(Document de référence : </w:t>
      </w:r>
      <w:r w:rsidRPr="00DD068A">
        <w:rPr>
          <w:i/>
          <w:iCs/>
        </w:rPr>
        <w:t>ECE/TRANS/WP.15/AC.1/15</w:t>
      </w:r>
      <w:r>
        <w:rPr>
          <w:i/>
          <w:iCs/>
        </w:rPr>
        <w:t>6</w:t>
      </w:r>
      <w:r w:rsidRPr="00DD068A">
        <w:rPr>
          <w:i/>
          <w:iCs/>
        </w:rPr>
        <w:t xml:space="preserve">, </w:t>
      </w:r>
      <w:r w:rsidR="00C35261">
        <w:rPr>
          <w:i/>
          <w:iCs/>
        </w:rPr>
        <w:t>annexe</w:t>
      </w:r>
      <w:r w:rsidRPr="00DD068A">
        <w:rPr>
          <w:i/>
          <w:iCs/>
        </w:rPr>
        <w:t xml:space="preserve"> II</w:t>
      </w:r>
      <w:r w:rsidRPr="00BD5208">
        <w:rPr>
          <w:i/>
          <w:lang w:val="fr-FR"/>
        </w:rPr>
        <w:t>)</w:t>
      </w:r>
    </w:p>
    <w:p w:rsidR="002F42AA" w:rsidRPr="00BD5208" w:rsidRDefault="002F42AA" w:rsidP="002F42AA">
      <w:pPr>
        <w:pStyle w:val="SingleTxtG"/>
        <w:spacing w:before="120" w:line="240" w:lineRule="auto"/>
        <w:ind w:left="2259" w:hanging="1125"/>
        <w:jc w:val="left"/>
        <w:rPr>
          <w:lang w:val="fr-FR"/>
        </w:rPr>
      </w:pPr>
      <w:r w:rsidRPr="00BD5208">
        <w:rPr>
          <w:bCs/>
          <w:lang w:val="fr-FR"/>
        </w:rPr>
        <w:t>2.1.5</w:t>
      </w:r>
      <w:r w:rsidRPr="00BD5208">
        <w:rPr>
          <w:bCs/>
          <w:lang w:val="fr-FR"/>
        </w:rPr>
        <w:tab/>
      </w:r>
      <w:r w:rsidRPr="00BD5208">
        <w:rPr>
          <w:lang w:val="fr-FR"/>
        </w:rPr>
        <w:t>Modifier le Nota pour lire comme suit :</w:t>
      </w:r>
    </w:p>
    <w:p w:rsidR="002F42AA" w:rsidRPr="00BD5208" w:rsidRDefault="002F42AA" w:rsidP="002F42AA">
      <w:pPr>
        <w:pStyle w:val="SingleTxtG"/>
        <w:ind w:left="2259"/>
        <w:rPr>
          <w:i/>
          <w:iCs/>
          <w:lang w:val="fr-FR"/>
        </w:rPr>
      </w:pPr>
      <w:r w:rsidRPr="00BD5208">
        <w:rPr>
          <w:i/>
          <w:iCs/>
          <w:lang w:val="fr-FR"/>
        </w:rPr>
        <w:t>« </w:t>
      </w:r>
      <w:r w:rsidRPr="00BD5208">
        <w:rPr>
          <w:b/>
          <w:bCs/>
          <w:i/>
          <w:iCs/>
          <w:lang w:val="fr-FR"/>
        </w:rPr>
        <w:t>NOTA :</w:t>
      </w:r>
      <w:r w:rsidRPr="00BD5208">
        <w:rPr>
          <w:i/>
          <w:iCs/>
          <w:lang w:val="fr-FR"/>
        </w:rPr>
        <w:t xml:space="preserve"> Pour les objets qui n’ont pas de désignation officielle de transport et qui contiennent seulement des marchandises dangereuses en quantités ne dépassant pas celles fixées à la colonne (7a) du tableau A du chapitre 3.2, le No ONU 3363 et les dispositions spéciales 301 et 672 du chapitre 3.3 peuvent être appliqués. ».</w:t>
      </w:r>
    </w:p>
    <w:p w:rsidR="002F42AA" w:rsidRPr="00874FA5" w:rsidRDefault="002F42AA" w:rsidP="002F42AA">
      <w:pPr>
        <w:pStyle w:val="SingleTxtG"/>
        <w:rPr>
          <w:i/>
          <w:iCs/>
          <w:color w:val="00B050"/>
          <w:lang w:val="fr-FR"/>
        </w:rPr>
      </w:pPr>
      <w:r w:rsidRPr="00BD5208">
        <w:rPr>
          <w:i/>
          <w:iCs/>
          <w:lang w:val="fr-FR"/>
        </w:rPr>
        <w:t xml:space="preserve">(Document de référence : </w:t>
      </w:r>
      <w:r w:rsidR="00CE410C" w:rsidRPr="008566A4">
        <w:rPr>
          <w:i/>
          <w:iCs/>
          <w:color w:val="000000" w:themeColor="text1"/>
        </w:rPr>
        <w:t xml:space="preserve">ECE/TRANS/WP.15/AC.1/154, </w:t>
      </w:r>
      <w:r w:rsidR="00C35261">
        <w:rPr>
          <w:i/>
          <w:iCs/>
          <w:color w:val="000000" w:themeColor="text1"/>
        </w:rPr>
        <w:t>annexe</w:t>
      </w:r>
      <w:r w:rsidR="00CE410C" w:rsidRPr="008566A4">
        <w:rPr>
          <w:i/>
          <w:iCs/>
          <w:color w:val="000000" w:themeColor="text1"/>
        </w:rPr>
        <w:t xml:space="preserve"> II</w:t>
      </w:r>
      <w:r w:rsidRPr="00BD5208">
        <w:rPr>
          <w:i/>
          <w:iCs/>
          <w:lang w:val="fr-FR"/>
        </w:rPr>
        <w:t>)</w:t>
      </w:r>
    </w:p>
    <w:p w:rsidR="002F42AA" w:rsidRPr="00CE410C" w:rsidRDefault="002F42AA" w:rsidP="002F42AA">
      <w:pPr>
        <w:pStyle w:val="SingleTxtG"/>
        <w:tabs>
          <w:tab w:val="left" w:pos="2268"/>
        </w:tabs>
        <w:ind w:left="2259" w:hanging="1125"/>
        <w:rPr>
          <w:color w:val="548DD4" w:themeColor="text2" w:themeTint="99"/>
          <w:lang w:val="fr-FR"/>
        </w:rPr>
      </w:pPr>
      <w:r w:rsidRPr="00CE410C">
        <w:rPr>
          <w:color w:val="548DD4" w:themeColor="text2" w:themeTint="99"/>
          <w:lang w:val="fr-FR"/>
        </w:rPr>
        <w:t>2.1.5.4</w:t>
      </w:r>
      <w:r w:rsidRPr="00CE410C">
        <w:rPr>
          <w:color w:val="548DD4" w:themeColor="text2" w:themeTint="99"/>
          <w:lang w:val="fr-FR"/>
        </w:rPr>
        <w:tab/>
        <w:t>À la fin, ajouter la nouvelle phrase suivante : « </w:t>
      </w:r>
      <w:bookmarkStart w:id="25" w:name="_Hlk2243344"/>
      <w:r w:rsidRPr="00CE410C">
        <w:rPr>
          <w:color w:val="548DD4" w:themeColor="text2" w:themeTint="99"/>
          <w:lang w:val="fr-FR"/>
        </w:rPr>
        <w:t>Cependant, elle s’applique aux objets contenant des matières explosibles qui sont exclus de la classe 1, conformément au 2.2.1.1.8.2. </w:t>
      </w:r>
      <w:bookmarkEnd w:id="25"/>
      <w:r w:rsidRPr="00CE410C">
        <w:rPr>
          <w:color w:val="548DD4" w:themeColor="text2" w:themeTint="99"/>
          <w:lang w:val="fr-FR"/>
        </w:rPr>
        <w:t>».</w:t>
      </w:r>
    </w:p>
    <w:p w:rsidR="002F42AA" w:rsidRPr="00C85ADC" w:rsidRDefault="002F42AA" w:rsidP="002F42AA">
      <w:pPr>
        <w:pStyle w:val="H1G"/>
        <w:rPr>
          <w:lang w:val="fr-FR"/>
        </w:rPr>
      </w:pPr>
      <w:r w:rsidRPr="00C85ADC">
        <w:rPr>
          <w:lang w:val="fr-FR"/>
        </w:rPr>
        <w:tab/>
      </w:r>
      <w:r w:rsidRPr="00C85ADC">
        <w:rPr>
          <w:lang w:val="fr-FR"/>
        </w:rPr>
        <w:tab/>
        <w:t>Chapitre 2.2</w:t>
      </w:r>
    </w:p>
    <w:p w:rsidR="002F42AA" w:rsidRPr="00391150" w:rsidRDefault="002F42AA" w:rsidP="002F42AA">
      <w:pPr>
        <w:pStyle w:val="SingleTxtG"/>
        <w:tabs>
          <w:tab w:val="left" w:pos="2268"/>
        </w:tabs>
        <w:ind w:left="2259" w:hanging="1125"/>
        <w:rPr>
          <w:color w:val="548DD4" w:themeColor="text2" w:themeTint="99"/>
          <w:lang w:val="fr-FR"/>
        </w:rPr>
      </w:pPr>
      <w:r w:rsidRPr="00391150">
        <w:rPr>
          <w:color w:val="548DD4" w:themeColor="text2" w:themeTint="99"/>
          <w:lang w:val="fr-FR"/>
        </w:rPr>
        <w:t>2.2.1.1.7.2</w:t>
      </w:r>
      <w:r w:rsidRPr="00391150">
        <w:rPr>
          <w:color w:val="548DD4" w:themeColor="text2" w:themeTint="99"/>
          <w:lang w:val="fr-FR"/>
        </w:rPr>
        <w:tab/>
        <w:t xml:space="preserve">Dans la première phrase, après « 0336 », insérer </w:t>
      </w:r>
      <w:proofErr w:type="gramStart"/>
      <w:r w:rsidRPr="00391150">
        <w:rPr>
          <w:color w:val="548DD4" w:themeColor="text2" w:themeTint="99"/>
          <w:lang w:val="fr-FR"/>
        </w:rPr>
        <w:t>« </w:t>
      </w:r>
      <w:bookmarkStart w:id="26" w:name="_Hlk2243465"/>
      <w:r w:rsidRPr="00391150">
        <w:rPr>
          <w:color w:val="548DD4" w:themeColor="text2" w:themeTint="99"/>
          <w:lang w:val="fr-FR"/>
        </w:rPr>
        <w:t>,</w:t>
      </w:r>
      <w:proofErr w:type="gramEnd"/>
      <w:r w:rsidRPr="00391150">
        <w:rPr>
          <w:color w:val="548DD4" w:themeColor="text2" w:themeTint="99"/>
          <w:lang w:val="fr-FR"/>
        </w:rPr>
        <w:t xml:space="preserve"> et l’affectation au No ONU 0431 des objets destinés aux effets scéniques, répondant à un type décrit dans le tableau de classification des artifices de divertissement du </w:t>
      </w:r>
      <w:r w:rsidRPr="00391150">
        <w:rPr>
          <w:color w:val="548DD4" w:themeColor="text2" w:themeTint="99"/>
          <w:lang w:val="fr-FR" w:eastAsia="en-GB"/>
        </w:rPr>
        <w:t>2.2.1.1.7.5</w:t>
      </w:r>
      <w:r w:rsidRPr="00391150">
        <w:rPr>
          <w:color w:val="548DD4" w:themeColor="text2" w:themeTint="99"/>
          <w:lang w:val="fr-FR"/>
        </w:rPr>
        <w:t xml:space="preserve"> et aux caractéristiques permettant une classification en 1.4G suivant ce tableau,</w:t>
      </w:r>
      <w:bookmarkEnd w:id="26"/>
      <w:r w:rsidRPr="00391150">
        <w:rPr>
          <w:color w:val="548DD4" w:themeColor="text2" w:themeTint="99"/>
          <w:lang w:val="fr-FR"/>
        </w:rPr>
        <w:t> ».</w:t>
      </w:r>
    </w:p>
    <w:p w:rsidR="002F42AA" w:rsidRPr="00391150" w:rsidRDefault="002F42AA" w:rsidP="002F42AA">
      <w:pPr>
        <w:pStyle w:val="SingleTxtG"/>
        <w:tabs>
          <w:tab w:val="left" w:pos="2268"/>
        </w:tabs>
        <w:ind w:left="2259" w:hanging="1125"/>
        <w:rPr>
          <w:color w:val="548DD4" w:themeColor="text2" w:themeTint="99"/>
          <w:lang w:val="fr-FR"/>
        </w:rPr>
      </w:pPr>
      <w:r w:rsidRPr="00391150">
        <w:rPr>
          <w:color w:val="548DD4" w:themeColor="text2" w:themeTint="99"/>
          <w:lang w:val="fr-FR"/>
        </w:rPr>
        <w:t>2.2.1.1.8.2 b)</w:t>
      </w:r>
      <w:r w:rsidRPr="00391150">
        <w:rPr>
          <w:color w:val="548DD4" w:themeColor="text2" w:themeTint="99"/>
          <w:lang w:val="fr-FR"/>
        </w:rPr>
        <w:tab/>
        <w:t>Dans le Nota, supprimer «, telle que décrite dans la norme ISO 12097-3 » et ajouter la nouvelle deuxième phrase suivante : « </w:t>
      </w:r>
      <w:bookmarkStart w:id="27" w:name="_Hlk2243585"/>
      <w:r w:rsidRPr="00391150">
        <w:rPr>
          <w:i/>
          <w:color w:val="548DD4" w:themeColor="text2" w:themeTint="99"/>
          <w:w w:val="105"/>
          <w:lang w:val="fr-FR"/>
        </w:rPr>
        <w:t>Une telle méthode est décrite dans la norme ISO 14451-2 en appliquant une vitesse de chauffe de 80 K/min</w:t>
      </w:r>
      <w:r w:rsidRPr="00391150">
        <w:rPr>
          <w:i/>
          <w:color w:val="548DD4" w:themeColor="text2" w:themeTint="99"/>
          <w:lang w:val="fr-FR"/>
        </w:rPr>
        <w:t>.</w:t>
      </w:r>
      <w:r w:rsidRPr="00391150">
        <w:rPr>
          <w:color w:val="548DD4" w:themeColor="text2" w:themeTint="99"/>
          <w:lang w:val="fr-FR"/>
        </w:rPr>
        <w:t> </w:t>
      </w:r>
      <w:bookmarkEnd w:id="27"/>
      <w:r w:rsidRPr="00391150">
        <w:rPr>
          <w:color w:val="548DD4" w:themeColor="text2" w:themeTint="99"/>
          <w:lang w:val="fr-FR"/>
        </w:rPr>
        <w:t>».</w:t>
      </w:r>
    </w:p>
    <w:p w:rsidR="002F42AA" w:rsidRPr="00391150" w:rsidRDefault="002F42AA" w:rsidP="002F42AA">
      <w:pPr>
        <w:pStyle w:val="SingleTxtG"/>
        <w:tabs>
          <w:tab w:val="left" w:pos="2268"/>
        </w:tabs>
        <w:ind w:left="2259" w:hanging="1125"/>
        <w:rPr>
          <w:color w:val="548DD4" w:themeColor="text2" w:themeTint="99"/>
          <w:lang w:val="fr-FR"/>
        </w:rPr>
      </w:pPr>
      <w:r w:rsidRPr="00391150">
        <w:rPr>
          <w:color w:val="548DD4" w:themeColor="text2" w:themeTint="99"/>
          <w:lang w:val="fr-FR"/>
        </w:rPr>
        <w:t>2.2.1.4</w:t>
      </w:r>
      <w:r w:rsidRPr="00391150">
        <w:rPr>
          <w:color w:val="548DD4" w:themeColor="text2" w:themeTint="99"/>
          <w:lang w:val="fr-FR"/>
        </w:rPr>
        <w:tab/>
        <w:t>Pour « OBJETS EXPLOSIFS EXTRÊMEMENT PEU SENSIBLES (OBJETS EEPS) », remplacer « Objets ne contenant que des matières extrêmement peu sensibles » par « Objets contenants principalement des matières extrêmement peu sensibles ».</w:t>
      </w:r>
    </w:p>
    <w:p w:rsidR="002F42AA" w:rsidRPr="00391150" w:rsidRDefault="002F42AA" w:rsidP="002F42AA">
      <w:pPr>
        <w:pStyle w:val="SingleTxtG"/>
        <w:tabs>
          <w:tab w:val="left" w:pos="2268"/>
        </w:tabs>
        <w:ind w:left="2259" w:hanging="1125"/>
        <w:rPr>
          <w:color w:val="548DD4" w:themeColor="text2" w:themeTint="99"/>
          <w:lang w:val="fr-FR"/>
        </w:rPr>
      </w:pPr>
      <w:r w:rsidRPr="00391150">
        <w:rPr>
          <w:color w:val="548DD4" w:themeColor="text2" w:themeTint="99"/>
          <w:lang w:val="fr-FR"/>
        </w:rPr>
        <w:t>2.2.1.4</w:t>
      </w:r>
      <w:r w:rsidRPr="00391150">
        <w:rPr>
          <w:color w:val="548DD4" w:themeColor="text2" w:themeTint="99"/>
          <w:lang w:val="fr-FR"/>
        </w:rPr>
        <w:tab/>
      </w:r>
      <w:r w:rsidRPr="00391150">
        <w:rPr>
          <w:color w:val="548DD4" w:themeColor="text2" w:themeTint="99"/>
          <w:lang w:val="fr-FR"/>
        </w:rPr>
        <w:tab/>
        <w:t xml:space="preserve">Après la définition de « DÉTONATEURS de mine (de sautage) ÉLECTRIQUES », ajouter la nouvelle définition suivante : </w:t>
      </w:r>
    </w:p>
    <w:p w:rsidR="002F42AA" w:rsidRPr="00391150" w:rsidRDefault="002F42AA" w:rsidP="002F42AA">
      <w:pPr>
        <w:pStyle w:val="SingleTxtG"/>
        <w:tabs>
          <w:tab w:val="left" w:pos="2268"/>
        </w:tabs>
        <w:ind w:left="2259" w:hanging="1125"/>
        <w:rPr>
          <w:color w:val="548DD4" w:themeColor="text2" w:themeTint="99"/>
          <w:lang w:val="fr-FR"/>
        </w:rPr>
      </w:pPr>
      <w:r w:rsidRPr="00391150">
        <w:rPr>
          <w:color w:val="548DD4" w:themeColor="text2" w:themeTint="99"/>
          <w:lang w:val="fr-FR"/>
        </w:rPr>
        <w:tab/>
        <w:t>« DÉTONATEURS de mine (de sautage) ÉLECTRONIQUES programmables : Nos ONU 0511, 0512 et 0513</w:t>
      </w:r>
    </w:p>
    <w:p w:rsidR="002F42AA" w:rsidRPr="00391150" w:rsidRDefault="002F42AA" w:rsidP="002F42AA">
      <w:pPr>
        <w:pStyle w:val="SingleTxtG"/>
        <w:tabs>
          <w:tab w:val="left" w:pos="2268"/>
        </w:tabs>
        <w:ind w:left="2259" w:hanging="1125"/>
        <w:rPr>
          <w:color w:val="548DD4" w:themeColor="text2" w:themeTint="99"/>
          <w:sz w:val="22"/>
          <w:szCs w:val="22"/>
          <w:lang w:val="fr-FR"/>
        </w:rPr>
      </w:pPr>
      <w:r w:rsidRPr="00391150">
        <w:rPr>
          <w:color w:val="548DD4" w:themeColor="text2" w:themeTint="99"/>
          <w:lang w:val="fr-FR"/>
        </w:rPr>
        <w:tab/>
        <w:t>Détonateurs dotés de dispositifs de sûreté et de sécurité améliorés, utilisant des composants électroniques pour transmettre un signal de mise à feu avec des commandes validées et des communications sécurisées. Les détonateurs de ce type ne peuvent pas être initiés par d'autres moyens. ».</w:t>
      </w:r>
    </w:p>
    <w:p w:rsidR="002F42AA" w:rsidRPr="00C85ADC" w:rsidRDefault="002F42AA" w:rsidP="002F42AA">
      <w:pPr>
        <w:pStyle w:val="SingleTxtG"/>
        <w:tabs>
          <w:tab w:val="left" w:pos="2268"/>
        </w:tabs>
        <w:ind w:left="2259" w:hanging="1125"/>
        <w:rPr>
          <w:lang w:val="fr-FR"/>
        </w:rPr>
      </w:pPr>
      <w:r w:rsidRPr="00391150">
        <w:rPr>
          <w:color w:val="548DD4" w:themeColor="text2" w:themeTint="99"/>
          <w:lang w:val="fr-FR"/>
        </w:rPr>
        <w:t>2.2.2.1.5</w:t>
      </w:r>
      <w:r w:rsidRPr="00391150">
        <w:rPr>
          <w:color w:val="548DD4" w:themeColor="text2" w:themeTint="99"/>
          <w:lang w:val="fr-FR"/>
        </w:rPr>
        <w:tab/>
        <w:t xml:space="preserve">Pour « Gaz inflammables » et pour « Gaz comburants », remplacer « ISO </w:t>
      </w:r>
      <w:proofErr w:type="gramStart"/>
      <w:r w:rsidRPr="00391150">
        <w:rPr>
          <w:color w:val="548DD4" w:themeColor="text2" w:themeTint="99"/>
          <w:lang w:val="fr-FR"/>
        </w:rPr>
        <w:t>10156:</w:t>
      </w:r>
      <w:proofErr w:type="gramEnd"/>
      <w:r w:rsidRPr="00391150">
        <w:rPr>
          <w:color w:val="548DD4" w:themeColor="text2" w:themeTint="99"/>
          <w:lang w:val="fr-FR"/>
        </w:rPr>
        <w:t>2010 » par « </w:t>
      </w:r>
      <w:bookmarkStart w:id="28" w:name="_Hlk2244511"/>
      <w:r w:rsidRPr="00391150">
        <w:rPr>
          <w:color w:val="548DD4" w:themeColor="text2" w:themeTint="99"/>
          <w:lang w:val="fr-FR"/>
        </w:rPr>
        <w:t>ISO 10156:2017 </w:t>
      </w:r>
      <w:bookmarkEnd w:id="28"/>
      <w:r w:rsidRPr="00391150">
        <w:rPr>
          <w:color w:val="548DD4" w:themeColor="text2" w:themeTint="99"/>
          <w:lang w:val="fr-FR"/>
        </w:rPr>
        <w:t>».</w:t>
      </w:r>
    </w:p>
    <w:p w:rsidR="002F42AA" w:rsidRPr="00391150" w:rsidRDefault="002F42AA" w:rsidP="002D4F04">
      <w:pPr>
        <w:pStyle w:val="SingleTxtG"/>
        <w:pageBreakBefore/>
        <w:tabs>
          <w:tab w:val="left" w:pos="2268"/>
        </w:tabs>
        <w:ind w:left="2257" w:hanging="1123"/>
        <w:rPr>
          <w:lang w:val="fr-FR"/>
        </w:rPr>
      </w:pPr>
      <w:r w:rsidRPr="00391150">
        <w:rPr>
          <w:bCs/>
          <w:lang w:val="fr-FR"/>
        </w:rPr>
        <w:lastRenderedPageBreak/>
        <w:t>2.2.2.3</w:t>
      </w:r>
      <w:r w:rsidRPr="00391150">
        <w:rPr>
          <w:b/>
          <w:lang w:val="fr-FR"/>
        </w:rPr>
        <w:tab/>
      </w:r>
      <w:r w:rsidRPr="00391150">
        <w:rPr>
          <w:lang w:val="fr-FR"/>
        </w:rPr>
        <w:t>Dans le tableau, pour « Gaz liquéfiés », pour le code de classification 2F, modifier le nom et la description du No ONU 1010 pour lire comme suit :</w:t>
      </w:r>
    </w:p>
    <w:p w:rsidR="002F42AA" w:rsidRPr="00391150" w:rsidRDefault="002F42AA" w:rsidP="002F42AA">
      <w:pPr>
        <w:pStyle w:val="SingleTxtG"/>
        <w:ind w:left="2259"/>
        <w:rPr>
          <w:b/>
          <w:lang w:val="fr-FR"/>
        </w:rPr>
      </w:pPr>
      <w:r w:rsidRPr="00391150">
        <w:rPr>
          <w:b/>
          <w:lang w:val="fr-FR"/>
        </w:rPr>
        <w:t>« </w:t>
      </w:r>
      <w:r w:rsidRPr="00391150">
        <w:rPr>
          <w:lang w:val="fr-FR"/>
        </w:rPr>
        <w:t>BUTADIÈNES STABILISÉS ou BUTADIÈNES ET HYDROCARBURES EN MÉLANGE STABILISÉ, contenant plus de 40 % de butadiènes ».</w:t>
      </w:r>
    </w:p>
    <w:p w:rsidR="002F42AA" w:rsidRPr="00391150" w:rsidRDefault="002F42AA" w:rsidP="002F42AA">
      <w:pPr>
        <w:pStyle w:val="SingleTxtG"/>
        <w:spacing w:before="120" w:line="240" w:lineRule="auto"/>
        <w:ind w:left="2268"/>
        <w:jc w:val="left"/>
        <w:rPr>
          <w:lang w:val="fr-FR"/>
        </w:rPr>
      </w:pPr>
      <w:r w:rsidRPr="00391150">
        <w:rPr>
          <w:iCs/>
          <w:lang w:val="fr-FR"/>
        </w:rPr>
        <w:t>Le Nota reste inchangé.</w:t>
      </w:r>
    </w:p>
    <w:p w:rsidR="002F42AA" w:rsidRPr="00874FA5" w:rsidRDefault="002F42AA" w:rsidP="002F42AA">
      <w:pPr>
        <w:pStyle w:val="SingleTxtG"/>
        <w:rPr>
          <w:i/>
          <w:iCs/>
          <w:color w:val="00B050"/>
          <w:lang w:val="fr-FR"/>
        </w:rPr>
      </w:pPr>
      <w:r w:rsidRPr="00391150">
        <w:rPr>
          <w:i/>
          <w:iCs/>
          <w:lang w:val="fr-FR"/>
        </w:rPr>
        <w:t xml:space="preserve">(Document de référence : </w:t>
      </w:r>
      <w:r w:rsidR="00391150" w:rsidRPr="008566A4">
        <w:rPr>
          <w:i/>
          <w:iCs/>
        </w:rPr>
        <w:t xml:space="preserve">ECE/TRANS/WP.15/AC.1/154, </w:t>
      </w:r>
      <w:r w:rsidR="00C35261">
        <w:rPr>
          <w:i/>
          <w:iCs/>
        </w:rPr>
        <w:t>annexe</w:t>
      </w:r>
      <w:r w:rsidR="00391150" w:rsidRPr="008566A4">
        <w:rPr>
          <w:i/>
          <w:iCs/>
        </w:rPr>
        <w:t xml:space="preserve"> II</w:t>
      </w:r>
      <w:r w:rsidRPr="00391150">
        <w:rPr>
          <w:i/>
          <w:iCs/>
          <w:lang w:val="fr-FR"/>
        </w:rPr>
        <w:t>)</w:t>
      </w:r>
    </w:p>
    <w:p w:rsidR="002F42AA" w:rsidRPr="00C85ADC" w:rsidRDefault="002F42AA" w:rsidP="002F42AA">
      <w:pPr>
        <w:pStyle w:val="SingleTxtG"/>
        <w:tabs>
          <w:tab w:val="left" w:pos="2268"/>
        </w:tabs>
        <w:ind w:left="2259" w:hanging="1125"/>
        <w:rPr>
          <w:lang w:val="fr-FR"/>
        </w:rPr>
      </w:pPr>
      <w:r w:rsidRPr="00C85ADC">
        <w:rPr>
          <w:lang w:val="fr-FR"/>
        </w:rPr>
        <w:t xml:space="preserve">2.2.2.3 </w:t>
      </w:r>
      <w:r w:rsidRPr="00C85ADC">
        <w:rPr>
          <w:lang w:val="fr-FR"/>
        </w:rPr>
        <w:tab/>
        <w:t>Dans le tableau pour « Autres objets contenant du gaz sous pression », pour le code de classification 6F, ajouter la nouvelle rubrique suivante après celle pour le No ONU 3150 :</w:t>
      </w:r>
    </w:p>
    <w:p w:rsidR="002F42AA" w:rsidRDefault="002F42AA" w:rsidP="002F42AA">
      <w:pPr>
        <w:pStyle w:val="SingleTxtG"/>
        <w:tabs>
          <w:tab w:val="left" w:pos="2268"/>
        </w:tabs>
        <w:ind w:left="2259" w:hanging="1125"/>
        <w:rPr>
          <w:lang w:val="fr-FR"/>
        </w:rPr>
      </w:pPr>
      <w:r w:rsidRPr="00C85ADC">
        <w:rPr>
          <w:lang w:val="fr-FR"/>
        </w:rPr>
        <w:tab/>
        <w:t>« 3358 MACHINES FRIGORIFIQUES contenant un gaz liquéfié inflammable et non toxique ».</w:t>
      </w:r>
    </w:p>
    <w:p w:rsidR="00391150" w:rsidRPr="00970F67" w:rsidRDefault="00391150" w:rsidP="00391150">
      <w:pPr>
        <w:pStyle w:val="SingleTxtG"/>
        <w:rPr>
          <w:i/>
          <w:iCs/>
          <w:color w:val="00B050"/>
        </w:rPr>
      </w:pPr>
      <w:r w:rsidRPr="00817699">
        <w:rPr>
          <w:i/>
          <w:iCs/>
        </w:rPr>
        <w:t>(</w:t>
      </w:r>
      <w:r w:rsidR="00EF52B3">
        <w:rPr>
          <w:i/>
          <w:iCs/>
        </w:rPr>
        <w:t xml:space="preserve">Document de </w:t>
      </w:r>
      <w:proofErr w:type="gramStart"/>
      <w:r w:rsidR="00EF52B3">
        <w:rPr>
          <w:i/>
          <w:iCs/>
        </w:rPr>
        <w:t>référence</w:t>
      </w:r>
      <w:r w:rsidRPr="00817699">
        <w:rPr>
          <w:i/>
          <w:iCs/>
        </w:rPr>
        <w:t>:</w:t>
      </w:r>
      <w:proofErr w:type="gramEnd"/>
      <w:r w:rsidRPr="00817699">
        <w:rPr>
          <w:i/>
          <w:iCs/>
        </w:rPr>
        <w:t xml:space="preserve"> </w:t>
      </w:r>
      <w:r w:rsidRPr="00970F67">
        <w:rPr>
          <w:i/>
          <w:iCs/>
        </w:rPr>
        <w:t xml:space="preserve">ECE/TRANS/WP.15/AC.1/156, </w:t>
      </w:r>
      <w:r w:rsidR="00C35261">
        <w:rPr>
          <w:i/>
          <w:iCs/>
        </w:rPr>
        <w:t>annexe</w:t>
      </w:r>
      <w:r w:rsidRPr="00970F67">
        <w:rPr>
          <w:i/>
          <w:iCs/>
        </w:rPr>
        <w:t xml:space="preserve"> II</w:t>
      </w:r>
      <w:r w:rsidRPr="00817699">
        <w:rPr>
          <w:i/>
          <w:iCs/>
        </w:rPr>
        <w:t>)</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2.2.41.1.4</w:t>
      </w:r>
      <w:r w:rsidRPr="00CC7578">
        <w:rPr>
          <w:rFonts w:asciiTheme="majorBidi" w:hAnsiTheme="majorBidi" w:cstheme="majorBidi"/>
          <w:color w:val="548DD4" w:themeColor="text2" w:themeTint="99"/>
          <w:lang w:val="fr-FR"/>
        </w:rPr>
        <w:tab/>
        <w:t>Remplacer « </w:t>
      </w:r>
      <w:r w:rsidRPr="00CC7578">
        <w:rPr>
          <w:color w:val="548DD4" w:themeColor="text2" w:themeTint="99"/>
          <w:lang w:val="fr-FR"/>
        </w:rPr>
        <w:t>sous-section 33.2.1 de la troisième partie »</w:t>
      </w:r>
      <w:r w:rsidRPr="00CC7578">
        <w:rPr>
          <w:rFonts w:asciiTheme="majorBidi" w:hAnsiTheme="majorBidi" w:cstheme="majorBidi"/>
          <w:color w:val="548DD4" w:themeColor="text2" w:themeTint="99"/>
          <w:lang w:val="fr-FR" w:eastAsia="en-GB"/>
        </w:rPr>
        <w:t xml:space="preserve"> par « </w:t>
      </w:r>
      <w:r w:rsidRPr="00CC7578">
        <w:rPr>
          <w:color w:val="548DD4" w:themeColor="text2" w:themeTint="99"/>
          <w:lang w:val="fr-FR"/>
        </w:rPr>
        <w:t xml:space="preserve">sous-section 33.2 de la troisième partie » </w:t>
      </w:r>
      <w:r w:rsidRPr="00CC7578">
        <w:rPr>
          <w:rFonts w:asciiTheme="majorBidi" w:hAnsiTheme="majorBidi" w:cstheme="majorBidi"/>
          <w:color w:val="548DD4" w:themeColor="text2" w:themeTint="99"/>
          <w:lang w:val="fr-FR" w:eastAsia="en-GB"/>
        </w:rPr>
        <w:t>(deux fois).</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2.2.41.1.5</w:t>
      </w:r>
      <w:r w:rsidRPr="00CC7578">
        <w:rPr>
          <w:rFonts w:asciiTheme="majorBidi" w:hAnsiTheme="majorBidi" w:cstheme="majorBidi"/>
          <w:color w:val="548DD4" w:themeColor="text2" w:themeTint="99"/>
          <w:lang w:val="fr-FR"/>
        </w:rPr>
        <w:tab/>
        <w:t>Remplacer « </w:t>
      </w:r>
      <w:r w:rsidRPr="00CC7578">
        <w:rPr>
          <w:color w:val="548DD4" w:themeColor="text2" w:themeTint="99"/>
          <w:lang w:val="fr-FR"/>
        </w:rPr>
        <w:t>sous-section 33.2.1 de la troisième partie »</w:t>
      </w:r>
      <w:r w:rsidRPr="00CC7578">
        <w:rPr>
          <w:rFonts w:asciiTheme="majorBidi" w:hAnsiTheme="majorBidi" w:cstheme="majorBidi"/>
          <w:color w:val="548DD4" w:themeColor="text2" w:themeTint="99"/>
          <w:lang w:val="fr-FR" w:eastAsia="en-GB"/>
        </w:rPr>
        <w:t xml:space="preserve"> par « </w:t>
      </w:r>
      <w:r w:rsidRPr="00CC7578">
        <w:rPr>
          <w:color w:val="548DD4" w:themeColor="text2" w:themeTint="99"/>
          <w:lang w:val="fr-FR"/>
        </w:rPr>
        <w:t>sous-section 33.2 de la troisième partie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2.2.41.1.6</w:t>
      </w:r>
      <w:r w:rsidRPr="00CC7578">
        <w:rPr>
          <w:rFonts w:asciiTheme="majorBidi" w:hAnsiTheme="majorBidi" w:cstheme="majorBidi"/>
          <w:color w:val="548DD4" w:themeColor="text2" w:themeTint="99"/>
          <w:lang w:val="fr-FR"/>
        </w:rPr>
        <w:tab/>
        <w:t>Remplacer « </w:t>
      </w:r>
      <w:r w:rsidRPr="00CC7578">
        <w:rPr>
          <w:color w:val="548DD4" w:themeColor="text2" w:themeTint="99"/>
          <w:lang w:val="fr-FR"/>
        </w:rPr>
        <w:t>section 33.2.1 de la troisième partie »</w:t>
      </w:r>
      <w:r w:rsidRPr="00CC7578">
        <w:rPr>
          <w:rFonts w:asciiTheme="majorBidi" w:hAnsiTheme="majorBidi" w:cstheme="majorBidi"/>
          <w:color w:val="548DD4" w:themeColor="text2" w:themeTint="99"/>
          <w:lang w:val="fr-FR" w:eastAsia="en-GB"/>
        </w:rPr>
        <w:t xml:space="preserve"> par « </w:t>
      </w:r>
      <w:r w:rsidRPr="00CC7578">
        <w:rPr>
          <w:color w:val="548DD4" w:themeColor="text2" w:themeTint="99"/>
          <w:lang w:val="fr-FR"/>
        </w:rPr>
        <w:t>sous-section 33.2 de la troisième partie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2.2.41.1.8</w:t>
      </w:r>
      <w:r w:rsidRPr="00CC7578">
        <w:rPr>
          <w:rFonts w:asciiTheme="majorBidi" w:hAnsiTheme="majorBidi" w:cstheme="majorBidi"/>
          <w:color w:val="548DD4" w:themeColor="text2" w:themeTint="99"/>
          <w:lang w:val="fr-FR"/>
        </w:rPr>
        <w:tab/>
        <w:t>Remplacer « </w:t>
      </w:r>
      <w:r w:rsidRPr="00CC7578">
        <w:rPr>
          <w:color w:val="548DD4" w:themeColor="text2" w:themeTint="99"/>
          <w:lang w:val="fr-FR"/>
        </w:rPr>
        <w:t>sous-section 33.2.1 de la troisième partie »</w:t>
      </w:r>
      <w:r w:rsidRPr="00CC7578">
        <w:rPr>
          <w:rFonts w:asciiTheme="majorBidi" w:hAnsiTheme="majorBidi" w:cstheme="majorBidi"/>
          <w:color w:val="548DD4" w:themeColor="text2" w:themeTint="99"/>
          <w:lang w:val="fr-FR" w:eastAsia="en-GB"/>
        </w:rPr>
        <w:t xml:space="preserve"> par « </w:t>
      </w:r>
      <w:r w:rsidRPr="00CC7578">
        <w:rPr>
          <w:color w:val="548DD4" w:themeColor="text2" w:themeTint="99"/>
          <w:lang w:val="fr-FR"/>
        </w:rPr>
        <w:t>sous-section 33.2 de la troisième partie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rPr>
        <w:t>2.2.41.1.10</w:t>
      </w:r>
      <w:r w:rsidRPr="00CC7578">
        <w:rPr>
          <w:color w:val="548DD4" w:themeColor="text2" w:themeTint="99"/>
          <w:lang w:val="fr-FR"/>
        </w:rPr>
        <w:tab/>
      </w:r>
      <w:r w:rsidRPr="00CC7578">
        <w:rPr>
          <w:color w:val="548DD4" w:themeColor="text2" w:themeTint="99"/>
          <w:szCs w:val="24"/>
          <w:lang w:val="fr-FR"/>
        </w:rPr>
        <w:t>L’amendement à la version anglaise est sans objet en français.</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2.2.42.1.4</w:t>
      </w:r>
      <w:r w:rsidRPr="00CC7578">
        <w:rPr>
          <w:rFonts w:asciiTheme="majorBidi" w:hAnsiTheme="majorBidi" w:cstheme="majorBidi"/>
          <w:color w:val="548DD4" w:themeColor="text2" w:themeTint="99"/>
          <w:lang w:val="fr-FR"/>
        </w:rPr>
        <w:tab/>
        <w:t>Remplacer « section 33.3 »</w:t>
      </w:r>
      <w:r w:rsidRPr="00CC7578">
        <w:rPr>
          <w:rFonts w:asciiTheme="majorBidi" w:hAnsiTheme="majorBidi" w:cstheme="majorBidi"/>
          <w:color w:val="548DD4" w:themeColor="text2" w:themeTint="99"/>
          <w:lang w:val="fr-FR" w:eastAsia="en-GB"/>
        </w:rPr>
        <w:t xml:space="preserve"> par « sous-section 33.4 » (deux fois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2.2.42.1.5</w:t>
      </w:r>
      <w:r w:rsidRPr="00CC7578">
        <w:rPr>
          <w:rFonts w:asciiTheme="majorBidi" w:hAnsiTheme="majorBidi" w:cstheme="majorBidi"/>
          <w:color w:val="548DD4" w:themeColor="text2" w:themeTint="99"/>
          <w:lang w:val="fr-FR"/>
        </w:rPr>
        <w:tab/>
        <w:t>Remplacer « section 33.3 »</w:t>
      </w:r>
      <w:r w:rsidRPr="00CC7578">
        <w:rPr>
          <w:rFonts w:asciiTheme="majorBidi" w:hAnsiTheme="majorBidi" w:cstheme="majorBidi"/>
          <w:color w:val="548DD4" w:themeColor="text2" w:themeTint="99"/>
          <w:lang w:val="fr-FR" w:eastAsia="en-GB"/>
        </w:rPr>
        <w:t xml:space="preserve"> par « sous-section 33.4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2.2.42.1.7</w:t>
      </w:r>
      <w:r w:rsidRPr="00CC7578">
        <w:rPr>
          <w:rFonts w:asciiTheme="majorBidi" w:hAnsiTheme="majorBidi" w:cstheme="majorBidi"/>
          <w:color w:val="548DD4" w:themeColor="text2" w:themeTint="99"/>
          <w:lang w:val="fr-FR"/>
        </w:rPr>
        <w:tab/>
        <w:t>Remplacer « section 33.3 »</w:t>
      </w:r>
      <w:r w:rsidRPr="00CC7578">
        <w:rPr>
          <w:rFonts w:asciiTheme="majorBidi" w:hAnsiTheme="majorBidi" w:cstheme="majorBidi"/>
          <w:color w:val="548DD4" w:themeColor="text2" w:themeTint="99"/>
          <w:lang w:val="fr-FR" w:eastAsia="en-GB"/>
        </w:rPr>
        <w:t xml:space="preserve"> par « sous-section 33.4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2.2.42.1.8</w:t>
      </w:r>
      <w:r w:rsidRPr="00CC7578">
        <w:rPr>
          <w:rFonts w:asciiTheme="majorBidi" w:hAnsiTheme="majorBidi" w:cstheme="majorBidi"/>
          <w:color w:val="548DD4" w:themeColor="text2" w:themeTint="99"/>
          <w:lang w:val="fr-FR"/>
        </w:rPr>
        <w:tab/>
        <w:t>Remplacer « section 33.3 »</w:t>
      </w:r>
      <w:r w:rsidRPr="00CC7578">
        <w:rPr>
          <w:rFonts w:asciiTheme="majorBidi" w:hAnsiTheme="majorBidi" w:cstheme="majorBidi"/>
          <w:color w:val="548DD4" w:themeColor="text2" w:themeTint="99"/>
          <w:lang w:val="fr-FR" w:eastAsia="en-GB"/>
        </w:rPr>
        <w:t xml:space="preserve"> par « sous-section 33.4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2.2.43.1.4</w:t>
      </w:r>
      <w:r w:rsidRPr="00CC7578">
        <w:rPr>
          <w:rFonts w:asciiTheme="majorBidi" w:hAnsiTheme="majorBidi" w:cstheme="majorBidi"/>
          <w:color w:val="548DD4" w:themeColor="text2" w:themeTint="99"/>
          <w:lang w:val="fr-FR"/>
        </w:rPr>
        <w:tab/>
        <w:t>Remplacer « section 33.4 »</w:t>
      </w:r>
      <w:r w:rsidRPr="00CC7578">
        <w:rPr>
          <w:rFonts w:asciiTheme="majorBidi" w:hAnsiTheme="majorBidi" w:cstheme="majorBidi"/>
          <w:color w:val="548DD4" w:themeColor="text2" w:themeTint="99"/>
          <w:lang w:val="fr-FR" w:eastAsia="en-GB"/>
        </w:rPr>
        <w:t xml:space="preserve"> par « sous-section 33.5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2.2.43.1.5</w:t>
      </w:r>
      <w:r w:rsidRPr="00CC7578">
        <w:rPr>
          <w:rFonts w:asciiTheme="majorBidi" w:hAnsiTheme="majorBidi" w:cstheme="majorBidi"/>
          <w:color w:val="548DD4" w:themeColor="text2" w:themeTint="99"/>
          <w:lang w:val="fr-FR"/>
        </w:rPr>
        <w:tab/>
        <w:t>Remplacer « section 33.4 »</w:t>
      </w:r>
      <w:r w:rsidRPr="00CC7578">
        <w:rPr>
          <w:rFonts w:asciiTheme="majorBidi" w:hAnsiTheme="majorBidi" w:cstheme="majorBidi"/>
          <w:color w:val="548DD4" w:themeColor="text2" w:themeTint="99"/>
          <w:lang w:val="fr-FR" w:eastAsia="en-GB"/>
        </w:rPr>
        <w:t xml:space="preserve"> par « sous-section 33.5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2.2.43.1.7</w:t>
      </w:r>
      <w:r w:rsidRPr="00CC7578">
        <w:rPr>
          <w:rFonts w:asciiTheme="majorBidi" w:hAnsiTheme="majorBidi" w:cstheme="majorBidi"/>
          <w:color w:val="548DD4" w:themeColor="text2" w:themeTint="99"/>
          <w:lang w:val="fr-FR"/>
        </w:rPr>
        <w:tab/>
        <w:t>Remplacer « section 33.4 »</w:t>
      </w:r>
      <w:r w:rsidRPr="00CC7578">
        <w:rPr>
          <w:rFonts w:asciiTheme="majorBidi" w:hAnsiTheme="majorBidi" w:cstheme="majorBidi"/>
          <w:color w:val="548DD4" w:themeColor="text2" w:themeTint="99"/>
          <w:lang w:val="fr-FR" w:eastAsia="en-GB"/>
        </w:rPr>
        <w:t xml:space="preserve"> par « sous-section 33.5 ».</w:t>
      </w:r>
    </w:p>
    <w:p w:rsidR="002F42AA" w:rsidRPr="00CC7578" w:rsidRDefault="002F42AA" w:rsidP="002F42AA">
      <w:pPr>
        <w:pStyle w:val="SingleTxtG"/>
        <w:tabs>
          <w:tab w:val="left" w:pos="2268"/>
        </w:tabs>
        <w:ind w:left="2259" w:hanging="1125"/>
        <w:rPr>
          <w:rFonts w:asciiTheme="majorBidi" w:hAnsiTheme="majorBidi" w:cstheme="majorBidi"/>
          <w:color w:val="548DD4" w:themeColor="text2" w:themeTint="99"/>
          <w:lang w:val="fr-FR" w:eastAsia="en-GB"/>
        </w:rPr>
      </w:pPr>
      <w:r w:rsidRPr="00CC7578">
        <w:rPr>
          <w:rFonts w:asciiTheme="majorBidi" w:hAnsiTheme="majorBidi" w:cstheme="majorBidi"/>
          <w:color w:val="548DD4" w:themeColor="text2" w:themeTint="99"/>
          <w:lang w:val="fr-FR"/>
        </w:rPr>
        <w:t>2.2.43.1.8</w:t>
      </w:r>
      <w:r w:rsidRPr="00CC7578">
        <w:rPr>
          <w:rFonts w:asciiTheme="majorBidi" w:hAnsiTheme="majorBidi" w:cstheme="majorBidi"/>
          <w:color w:val="548DD4" w:themeColor="text2" w:themeTint="99"/>
          <w:lang w:val="fr-FR"/>
        </w:rPr>
        <w:tab/>
        <w:t>Remplacer « section 33.4 »</w:t>
      </w:r>
      <w:r w:rsidRPr="00CC7578">
        <w:rPr>
          <w:rFonts w:asciiTheme="majorBidi" w:hAnsiTheme="majorBidi" w:cstheme="majorBidi"/>
          <w:color w:val="548DD4" w:themeColor="text2" w:themeTint="99"/>
          <w:lang w:val="fr-FR" w:eastAsia="en-GB"/>
        </w:rPr>
        <w:t xml:space="preserve"> par « sous-section 33.5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2.2.52.4</w:t>
      </w:r>
      <w:r w:rsidRPr="00CC7578">
        <w:rPr>
          <w:color w:val="548DD4" w:themeColor="text2" w:themeTint="99"/>
          <w:lang w:val="fr-FR"/>
        </w:rPr>
        <w:tab/>
        <w:t>Dans le tableau, pour « PEROXYDICARBONATE DE BIS (tert-BUTYL-4 CYCLOHEXYLE) », à la concentration « </w:t>
      </w:r>
      <w:bookmarkStart w:id="29" w:name="_Hlk517850767"/>
      <w:r w:rsidRPr="00CC7578">
        <w:rPr>
          <w:color w:val="548DD4" w:themeColor="text2" w:themeTint="99"/>
          <w:lang w:val="fr-FR"/>
        </w:rPr>
        <w:t>≤ 42</w:t>
      </w:r>
      <w:bookmarkEnd w:id="29"/>
      <w:r w:rsidRPr="00CC7578">
        <w:rPr>
          <w:color w:val="548DD4" w:themeColor="text2" w:themeTint="99"/>
          <w:lang w:val="fr-FR"/>
        </w:rPr>
        <w:t xml:space="preserve"> (pâte) », dans la colonne « Méthode d’emballage », remplacer « OP7 » par « OP8 » et dans la colonne « No ONU (rubrique générique) », remplacer « 3116 » par « 3118 ».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2.2.62.1.1</w:t>
      </w:r>
      <w:r w:rsidRPr="00CC7578">
        <w:rPr>
          <w:color w:val="548DD4" w:themeColor="text2" w:themeTint="99"/>
          <w:lang w:val="fr-FR"/>
        </w:rPr>
        <w:tab/>
        <w:t>Supprimer « les rickettsies, ».</w:t>
      </w:r>
    </w:p>
    <w:p w:rsidR="002F42AA" w:rsidRPr="00CC7578" w:rsidRDefault="002F42AA" w:rsidP="002F42AA">
      <w:pPr>
        <w:pStyle w:val="SingleTxtG"/>
        <w:tabs>
          <w:tab w:val="left" w:pos="2268"/>
        </w:tabs>
        <w:ind w:left="2259" w:hanging="1125"/>
        <w:rPr>
          <w:b/>
          <w:bCs/>
          <w:color w:val="548DD4" w:themeColor="text2" w:themeTint="99"/>
          <w:lang w:val="fr-FR"/>
        </w:rPr>
      </w:pPr>
      <w:r w:rsidRPr="00CC7578">
        <w:rPr>
          <w:bCs/>
          <w:color w:val="548DD4" w:themeColor="text2" w:themeTint="99"/>
          <w:lang w:val="fr-FR"/>
        </w:rPr>
        <w:t>2.2.62.1.3</w:t>
      </w:r>
      <w:r w:rsidRPr="00CC7578">
        <w:rPr>
          <w:bCs/>
          <w:color w:val="548DD4" w:themeColor="text2" w:themeTint="99"/>
          <w:lang w:val="fr-FR"/>
        </w:rPr>
        <w:tab/>
        <w:t>Modifier la définition de « Déchets médicaux ou déchets d’hôpital » pour lire comme suit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 </w:t>
      </w:r>
      <w:bookmarkStart w:id="30" w:name="_Hlk2244885"/>
      <w:r w:rsidRPr="00CC7578">
        <w:rPr>
          <w:i/>
          <w:iCs/>
          <w:color w:val="548DD4" w:themeColor="text2" w:themeTint="99"/>
          <w:lang w:val="fr-FR"/>
        </w:rPr>
        <w:t>“Déchets médicaux ou déchets d’hôpital”,</w:t>
      </w:r>
      <w:r w:rsidRPr="00CC7578">
        <w:rPr>
          <w:color w:val="548DD4" w:themeColor="text2" w:themeTint="99"/>
          <w:lang w:val="fr-FR"/>
        </w:rPr>
        <w:t xml:space="preserve"> des déchets provenant de traitements médicaux administrés à des êtres humains ou de traitements vétérinaires administrés à des animaux ou de la recherche biologique.</w:t>
      </w:r>
      <w:bookmarkEnd w:id="30"/>
      <w:r w:rsidRPr="00CC7578">
        <w:rPr>
          <w:color w:val="548DD4" w:themeColor="text2" w:themeTint="99"/>
          <w:lang w:val="fr-FR"/>
        </w:rPr>
        <w:t>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2.2.62.1.4</w:t>
      </w:r>
      <w:r w:rsidRPr="00CC7578">
        <w:rPr>
          <w:color w:val="548DD4" w:themeColor="text2" w:themeTint="99"/>
          <w:lang w:val="fr-FR"/>
        </w:rPr>
        <w:tab/>
        <w:t xml:space="preserve">Remplacer « ou 3373 » par </w:t>
      </w:r>
      <w:proofErr w:type="gramStart"/>
      <w:r w:rsidRPr="00CC7578">
        <w:rPr>
          <w:color w:val="548DD4" w:themeColor="text2" w:themeTint="99"/>
          <w:lang w:val="fr-FR"/>
        </w:rPr>
        <w:t>« </w:t>
      </w:r>
      <w:bookmarkStart w:id="31" w:name="_Hlk2244910"/>
      <w:r w:rsidRPr="00CC7578">
        <w:rPr>
          <w:color w:val="548DD4" w:themeColor="text2" w:themeTint="99"/>
          <w:lang w:val="fr-FR"/>
        </w:rPr>
        <w:t>,</w:t>
      </w:r>
      <w:proofErr w:type="gramEnd"/>
      <w:r w:rsidRPr="00CC7578">
        <w:rPr>
          <w:color w:val="548DD4" w:themeColor="text2" w:themeTint="99"/>
          <w:lang w:val="fr-FR"/>
        </w:rPr>
        <w:t xml:space="preserve"> 3373 ou 3549 </w:t>
      </w:r>
      <w:bookmarkEnd w:id="31"/>
      <w:r w:rsidRPr="00CC7578">
        <w:rPr>
          <w:color w:val="548DD4" w:themeColor="text2" w:themeTint="99"/>
          <w:lang w:val="fr-FR"/>
        </w:rPr>
        <w:t>».</w:t>
      </w:r>
    </w:p>
    <w:p w:rsidR="002F42AA" w:rsidRPr="00CC7578" w:rsidRDefault="002F42AA" w:rsidP="002D4F04">
      <w:pPr>
        <w:pStyle w:val="SingleTxtG"/>
        <w:pageBreakBefore/>
        <w:tabs>
          <w:tab w:val="left" w:pos="2268"/>
        </w:tabs>
        <w:ind w:left="2257" w:hanging="1123"/>
        <w:rPr>
          <w:color w:val="548DD4" w:themeColor="text2" w:themeTint="99"/>
          <w:lang w:val="fr-FR"/>
        </w:rPr>
      </w:pPr>
      <w:r w:rsidRPr="00CC7578">
        <w:rPr>
          <w:color w:val="548DD4" w:themeColor="text2" w:themeTint="99"/>
          <w:lang w:val="fr-FR"/>
        </w:rPr>
        <w:lastRenderedPageBreak/>
        <w:t>2.2.62.1.4.1, Nota 1</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Remplacer « La désignation officielle de transport » par « Le nom » (deux fois).</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2.2.62.1.4.1</w:t>
      </w:r>
      <w:r w:rsidRPr="00CC7578">
        <w:rPr>
          <w:color w:val="548DD4" w:themeColor="text2" w:themeTint="99"/>
          <w:lang w:val="fr-FR"/>
        </w:rPr>
        <w:tab/>
        <w:t>Au Nota 3, supprimer «, des mycoplasmes, des rickettsies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2.2.62.1.4.2, Nota</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Remplacer « La désignation officielle de transport » par « Le nom ».</w:t>
      </w:r>
    </w:p>
    <w:p w:rsidR="002F42AA" w:rsidRPr="00CC7578" w:rsidRDefault="002F42AA" w:rsidP="002F42AA">
      <w:pPr>
        <w:pStyle w:val="SingleTxtG"/>
        <w:tabs>
          <w:tab w:val="left" w:pos="2268"/>
        </w:tabs>
        <w:ind w:left="2259" w:hanging="1125"/>
        <w:rPr>
          <w:iCs/>
          <w:color w:val="548DD4" w:themeColor="text2" w:themeTint="99"/>
          <w:lang w:val="fr-FR"/>
        </w:rPr>
      </w:pPr>
      <w:r w:rsidRPr="00CC7578">
        <w:rPr>
          <w:color w:val="548DD4" w:themeColor="text2" w:themeTint="99"/>
          <w:lang w:val="fr-FR" w:eastAsia="en-GB"/>
        </w:rPr>
        <w:t>2.2.62.1.5.9</w:t>
      </w:r>
      <w:r w:rsidRPr="00CC7578">
        <w:rPr>
          <w:iCs/>
          <w:color w:val="548DD4" w:themeColor="text2" w:themeTint="99"/>
          <w:lang w:val="fr-FR"/>
        </w:rPr>
        <w:t xml:space="preserve"> a)</w:t>
      </w:r>
    </w:p>
    <w:p w:rsidR="002F42AA" w:rsidRPr="00CC7578" w:rsidRDefault="002F42AA" w:rsidP="002F42AA">
      <w:pPr>
        <w:pStyle w:val="SingleTxtG"/>
        <w:tabs>
          <w:tab w:val="left" w:pos="2268"/>
        </w:tabs>
        <w:ind w:left="2259" w:hanging="1125"/>
        <w:rPr>
          <w:iCs/>
          <w:color w:val="548DD4" w:themeColor="text2" w:themeTint="99"/>
          <w:lang w:val="fr-FR"/>
        </w:rPr>
      </w:pPr>
      <w:r w:rsidRPr="00CC7578">
        <w:rPr>
          <w:iCs/>
          <w:color w:val="548DD4" w:themeColor="text2" w:themeTint="99"/>
          <w:lang w:val="fr-FR"/>
        </w:rPr>
        <w:tab/>
        <w:t>Dans le texte entre parenthèse, remplacer « No ONU 3291 » par « </w:t>
      </w:r>
      <w:bookmarkStart w:id="32" w:name="_Hlk2245512"/>
      <w:r w:rsidRPr="00CC7578">
        <w:rPr>
          <w:color w:val="548DD4" w:themeColor="text2" w:themeTint="99"/>
          <w:lang w:val="fr-FR"/>
        </w:rPr>
        <w:t>Nos ONU 3291 et 3549</w:t>
      </w:r>
      <w:bookmarkEnd w:id="32"/>
      <w:r w:rsidRPr="00CC7578">
        <w:rPr>
          <w:color w:val="548DD4" w:themeColor="text2" w:themeTint="99"/>
          <w:lang w:val="fr-FR"/>
        </w:rPr>
        <w:t> ».</w:t>
      </w:r>
    </w:p>
    <w:p w:rsidR="002F42AA" w:rsidRPr="00CC7578" w:rsidRDefault="002F42AA" w:rsidP="002F42AA">
      <w:pPr>
        <w:pStyle w:val="SingleTxtG"/>
        <w:tabs>
          <w:tab w:val="left" w:pos="2268"/>
        </w:tabs>
        <w:ind w:left="2259" w:hanging="1125"/>
        <w:rPr>
          <w:iCs/>
          <w:color w:val="548DD4" w:themeColor="text2" w:themeTint="99"/>
          <w:lang w:val="fr-FR"/>
        </w:rPr>
      </w:pPr>
      <w:r w:rsidRPr="00CC7578">
        <w:rPr>
          <w:color w:val="548DD4" w:themeColor="text2" w:themeTint="99"/>
          <w:lang w:val="fr-FR" w:eastAsia="en-GB"/>
        </w:rPr>
        <w:t>2.2.62.1.11.1</w:t>
      </w:r>
      <w:r w:rsidRPr="00CC7578">
        <w:rPr>
          <w:iCs/>
          <w:color w:val="548DD4" w:themeColor="text2" w:themeTint="99"/>
          <w:lang w:val="fr-FR"/>
        </w:rPr>
        <w:tab/>
        <w:t>Modifier pour lire comme suit :</w:t>
      </w:r>
    </w:p>
    <w:p w:rsidR="002F42AA" w:rsidRPr="00CC7578" w:rsidRDefault="002F42AA" w:rsidP="002F42AA">
      <w:pPr>
        <w:pStyle w:val="SingleTxtG"/>
        <w:tabs>
          <w:tab w:val="left" w:pos="2268"/>
        </w:tabs>
        <w:ind w:left="2259" w:hanging="1125"/>
        <w:rPr>
          <w:color w:val="548DD4" w:themeColor="text2" w:themeTint="99"/>
          <w:lang w:val="fr-FR"/>
        </w:rPr>
      </w:pPr>
      <w:r w:rsidRPr="00CC7578">
        <w:rPr>
          <w:iCs/>
          <w:color w:val="548DD4" w:themeColor="text2" w:themeTint="99"/>
          <w:lang w:val="fr-FR"/>
        </w:rPr>
        <w:t>« </w:t>
      </w:r>
      <w:r w:rsidRPr="00CC7578">
        <w:rPr>
          <w:color w:val="548DD4" w:themeColor="text2" w:themeTint="99"/>
          <w:lang w:val="fr-FR" w:eastAsia="en-GB"/>
        </w:rPr>
        <w:t>2.2.62.1.11.1</w:t>
      </w:r>
      <w:r w:rsidRPr="00CC7578">
        <w:rPr>
          <w:iCs/>
          <w:color w:val="548DD4" w:themeColor="text2" w:themeTint="99"/>
          <w:lang w:val="fr-FR"/>
        </w:rPr>
        <w:tab/>
      </w:r>
      <w:bookmarkStart w:id="33" w:name="_Hlk2245656"/>
      <w:r w:rsidRPr="00CC7578">
        <w:rPr>
          <w:color w:val="548DD4" w:themeColor="text2" w:themeTint="99"/>
          <w:lang w:val="fr-FR"/>
        </w:rPr>
        <w:t>Les déchets médicaux ou déchets d’hôpital contenant :</w:t>
      </w:r>
      <w:bookmarkEnd w:id="33"/>
    </w:p>
    <w:p w:rsidR="002F42AA" w:rsidRPr="00CC7578" w:rsidRDefault="002F42AA" w:rsidP="002F42AA">
      <w:pPr>
        <w:pStyle w:val="SingleTxtG"/>
        <w:tabs>
          <w:tab w:val="left" w:pos="2835"/>
        </w:tabs>
        <w:ind w:left="2835" w:hanging="567"/>
        <w:rPr>
          <w:color w:val="548DD4" w:themeColor="text2" w:themeTint="99"/>
          <w:szCs w:val="24"/>
          <w:lang w:val="fr-FR"/>
        </w:rPr>
      </w:pPr>
      <w:bookmarkStart w:id="34" w:name="_Hlk2245670"/>
      <w:r w:rsidRPr="00CC7578">
        <w:rPr>
          <w:color w:val="548DD4" w:themeColor="text2" w:themeTint="99"/>
          <w:szCs w:val="24"/>
          <w:lang w:val="fr-FR"/>
        </w:rPr>
        <w:t>a)</w:t>
      </w:r>
      <w:r w:rsidRPr="00CC7578">
        <w:rPr>
          <w:color w:val="548DD4" w:themeColor="text2" w:themeTint="99"/>
          <w:szCs w:val="24"/>
          <w:lang w:val="fr-FR"/>
        </w:rPr>
        <w:tab/>
        <w:t>des matières infectieuses de la catégorie A doivent être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doit pas être utilisée pour les déchets provenant de la recherche biologique ou pour les déchets liquides ;</w:t>
      </w:r>
    </w:p>
    <w:p w:rsidR="002F42AA" w:rsidRPr="00CC7578" w:rsidRDefault="002F42AA" w:rsidP="002F42AA">
      <w:pPr>
        <w:pStyle w:val="SingleTxtG"/>
        <w:tabs>
          <w:tab w:val="left" w:pos="2835"/>
        </w:tabs>
        <w:ind w:left="2835" w:hanging="567"/>
        <w:rPr>
          <w:color w:val="548DD4" w:themeColor="text2" w:themeTint="99"/>
          <w:szCs w:val="24"/>
          <w:lang w:val="fr-FR"/>
        </w:rPr>
      </w:pPr>
      <w:r w:rsidRPr="00CC7578">
        <w:rPr>
          <w:color w:val="548DD4" w:themeColor="text2" w:themeTint="99"/>
          <w:szCs w:val="24"/>
          <w:lang w:val="fr-FR"/>
        </w:rPr>
        <w:t>b)</w:t>
      </w:r>
      <w:r w:rsidRPr="00CC7578">
        <w:rPr>
          <w:color w:val="548DD4" w:themeColor="text2" w:themeTint="99"/>
          <w:szCs w:val="24"/>
          <w:lang w:val="fr-FR"/>
        </w:rPr>
        <w:tab/>
        <w:t>des matières infectieuses de la catégorie B doivent être affectés au No ONU 3291.</w:t>
      </w:r>
    </w:p>
    <w:p w:rsidR="002F42AA" w:rsidRPr="00CC7578" w:rsidRDefault="002F42AA" w:rsidP="002F42AA">
      <w:pPr>
        <w:pStyle w:val="SingleTxtG"/>
        <w:ind w:left="2268"/>
        <w:rPr>
          <w:color w:val="548DD4" w:themeColor="text2" w:themeTint="99"/>
          <w:lang w:val="fr-FR"/>
        </w:rPr>
      </w:pPr>
      <w:r w:rsidRPr="00CC7578">
        <w:rPr>
          <w:b/>
          <w:bCs/>
          <w:i/>
          <w:iCs/>
          <w:color w:val="548DD4" w:themeColor="text2" w:themeTint="99"/>
          <w:lang w:val="fr-FR"/>
        </w:rPr>
        <w:t xml:space="preserve">NOTA </w:t>
      </w:r>
      <w:proofErr w:type="gramStart"/>
      <w:r w:rsidRPr="00CC7578">
        <w:rPr>
          <w:b/>
          <w:bCs/>
          <w:i/>
          <w:iCs/>
          <w:color w:val="548DD4" w:themeColor="text2" w:themeTint="99"/>
          <w:lang w:val="fr-FR"/>
        </w:rPr>
        <w:t>1:</w:t>
      </w:r>
      <w:proofErr w:type="gramEnd"/>
      <w:r w:rsidRPr="00CC7578">
        <w:rPr>
          <w:i/>
          <w:iCs/>
          <w:color w:val="548DD4" w:themeColor="text2" w:themeTint="99"/>
          <w:lang w:val="fr-FR"/>
        </w:rPr>
        <w:t xml:space="preserve"> Le nom pour le No ONU 3549 est "</w:t>
      </w:r>
      <w:bookmarkEnd w:id="34"/>
      <w:r w:rsidRPr="00CC7578">
        <w:rPr>
          <w:i/>
          <w:iCs/>
          <w:color w:val="548DD4" w:themeColor="text2" w:themeTint="99"/>
          <w:lang w:val="fr-FR"/>
        </w:rPr>
        <w:t xml:space="preserve">DÉCHETS MÉDICAUX INFECTIEUX POUR L’HOMME, CATÉGORIE A, solides" ou "DÉCHETS MÉDICAUX INFECTIEUX POUR LES ANIMAUX uniquement, CATÉGORIE A, solides" </w:t>
      </w:r>
      <w:r w:rsidRPr="00CC7578">
        <w:rPr>
          <w:color w:val="548DD4" w:themeColor="text2" w:themeTint="99"/>
          <w:lang w:val="fr-FR"/>
        </w:rPr>
        <w:t>».</w:t>
      </w:r>
    </w:p>
    <w:p w:rsidR="002F42AA" w:rsidRPr="00CC7578" w:rsidRDefault="002F42AA" w:rsidP="002F42AA">
      <w:pPr>
        <w:pStyle w:val="SingleTxtG"/>
        <w:ind w:left="2268"/>
        <w:rPr>
          <w:color w:val="548DD4" w:themeColor="text2" w:themeTint="99"/>
          <w:lang w:val="fr-FR"/>
        </w:rPr>
      </w:pPr>
      <w:r w:rsidRPr="00CC7578">
        <w:rPr>
          <w:color w:val="548DD4" w:themeColor="text2" w:themeTint="99"/>
          <w:lang w:val="fr-FR"/>
        </w:rPr>
        <w:t>Renuméroter le Nota existant en tant que Nota 2.</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 xml:space="preserve">2.2.62.1.11.4 </w:t>
      </w:r>
      <w:r w:rsidRPr="00CC7578">
        <w:rPr>
          <w:color w:val="548DD4" w:themeColor="text2" w:themeTint="99"/>
          <w:lang w:val="fr-FR"/>
        </w:rPr>
        <w:tab/>
        <w:t xml:space="preserve">Supprimer et ajouter « 2.2.62.1.11.4 </w:t>
      </w:r>
      <w:r w:rsidRPr="00CC7578">
        <w:rPr>
          <w:i/>
          <w:iCs/>
          <w:color w:val="548DD4" w:themeColor="text2" w:themeTint="99"/>
          <w:lang w:val="fr-FR"/>
        </w:rPr>
        <w:t>(Supprimé) </w:t>
      </w:r>
      <w:r w:rsidRPr="00CC7578">
        <w:rPr>
          <w:color w:val="548DD4" w:themeColor="text2" w:themeTint="99"/>
          <w:lang w:val="fr-FR"/>
        </w:rPr>
        <w:t>».</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2.2.62.3</w:t>
      </w:r>
      <w:r w:rsidRPr="00CC7578">
        <w:rPr>
          <w:color w:val="548DD4" w:themeColor="text2" w:themeTint="99"/>
          <w:lang w:val="fr-FR"/>
        </w:rPr>
        <w:tab/>
        <w:t>Dans la liste des rubriques collectives, pour I3, ajouter les nouvelles rubriques suivantes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 3549</w:t>
      </w:r>
      <w:r w:rsidRPr="00CC7578">
        <w:rPr>
          <w:color w:val="548DD4" w:themeColor="text2" w:themeTint="99"/>
          <w:lang w:val="fr-FR"/>
        </w:rPr>
        <w:tab/>
      </w:r>
      <w:r w:rsidRPr="00CC7578">
        <w:rPr>
          <w:color w:val="548DD4" w:themeColor="text2" w:themeTint="99"/>
          <w:lang w:val="fr-FR"/>
        </w:rPr>
        <w:tab/>
        <w:t xml:space="preserve">DÉCHETS MÉDICAUX INFECTIEUX POUR L’HOMME, CATÉGORIE A, solides </w:t>
      </w:r>
      <w:proofErr w:type="gramStart"/>
      <w:r w:rsidRPr="00CC7578">
        <w:rPr>
          <w:color w:val="548DD4" w:themeColor="text2" w:themeTint="99"/>
          <w:lang w:val="fr-FR"/>
        </w:rPr>
        <w:t>ou</w:t>
      </w:r>
      <w:proofErr w:type="gramEnd"/>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3549</w:t>
      </w:r>
      <w:r w:rsidRPr="00CC7578">
        <w:rPr>
          <w:color w:val="548DD4" w:themeColor="text2" w:themeTint="99"/>
          <w:lang w:val="fr-FR"/>
        </w:rPr>
        <w:tab/>
      </w:r>
      <w:r w:rsidRPr="00CC7578">
        <w:rPr>
          <w:color w:val="548DD4" w:themeColor="text2" w:themeTint="99"/>
          <w:lang w:val="fr-FR"/>
        </w:rPr>
        <w:tab/>
        <w:t>DÉCHETS MÉDICAUX INFECTIEUX POUR LES ANIMAUX uniquement, CATÉGORIE A, solides ».</w:t>
      </w:r>
    </w:p>
    <w:p w:rsidR="002F42AA" w:rsidRPr="00CC7578" w:rsidRDefault="002F42AA" w:rsidP="002F42AA">
      <w:pPr>
        <w:pStyle w:val="SingleTxtG"/>
        <w:tabs>
          <w:tab w:val="left" w:pos="2268"/>
        </w:tabs>
        <w:ind w:left="2259" w:hanging="1125"/>
        <w:rPr>
          <w:color w:val="548DD4" w:themeColor="text2" w:themeTint="99"/>
          <w:lang w:val="fr-FR" w:eastAsia="en-GB"/>
        </w:rPr>
      </w:pPr>
      <w:r w:rsidRPr="00CC7578">
        <w:rPr>
          <w:color w:val="548DD4" w:themeColor="text2" w:themeTint="99"/>
          <w:szCs w:val="24"/>
          <w:lang w:val="fr-FR"/>
        </w:rPr>
        <w:t xml:space="preserve">Tableau </w:t>
      </w:r>
      <w:r w:rsidRPr="00CC7578">
        <w:rPr>
          <w:color w:val="548DD4" w:themeColor="text2" w:themeTint="99"/>
          <w:lang w:val="fr-FR" w:eastAsia="en-GB"/>
        </w:rPr>
        <w:t>2.2.7.2.1.1</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Pour le No ONU 2913, dans la colonne « Désignation officielle de transport et description », remplacer « SCO-I ou SCO-II » par « SCO-I, SCO-II ou SCO-III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Tableau 2.2.7.2.1.1</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L’amendement à la version anglaise pour le No ONU 3325 est sans objet en français.</w:t>
      </w:r>
    </w:p>
    <w:p w:rsidR="002F42AA" w:rsidRPr="00CC7578" w:rsidRDefault="002F42AA" w:rsidP="002D4F04">
      <w:pPr>
        <w:pStyle w:val="SingleTxtG"/>
        <w:pageBreakBefore/>
        <w:tabs>
          <w:tab w:val="left" w:pos="2268"/>
        </w:tabs>
        <w:ind w:left="2257" w:hanging="1123"/>
        <w:rPr>
          <w:color w:val="548DD4" w:themeColor="text2" w:themeTint="99"/>
          <w:lang w:val="fr-FR" w:eastAsia="en-GB"/>
        </w:rPr>
      </w:pPr>
      <w:r w:rsidRPr="00CC7578">
        <w:rPr>
          <w:color w:val="548DD4" w:themeColor="text2" w:themeTint="99"/>
          <w:szCs w:val="24"/>
          <w:lang w:val="fr-FR"/>
        </w:rPr>
        <w:lastRenderedPageBreak/>
        <w:t xml:space="preserve">Tableau </w:t>
      </w:r>
      <w:r w:rsidRPr="00CC7578">
        <w:rPr>
          <w:color w:val="548DD4" w:themeColor="text2" w:themeTint="99"/>
          <w:lang w:val="fr-FR" w:eastAsia="en-GB"/>
        </w:rPr>
        <w:t>2.2.7.2.2.1</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Ajouter les rubriques suivantes dans l’ordre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2F42AA" w:rsidRPr="00CC7578" w:rsidTr="00111B8A">
        <w:trPr>
          <w:trHeight w:hRule="exact" w:val="300"/>
        </w:trPr>
        <w:tc>
          <w:tcPr>
            <w:tcW w:w="1526" w:type="dxa"/>
            <w:shd w:val="clear" w:color="auto" w:fill="auto"/>
            <w:hideMark/>
          </w:tcPr>
          <w:p w:rsidR="002F42AA" w:rsidRPr="00CC7578" w:rsidRDefault="002F42AA" w:rsidP="00111B8A">
            <w:pPr>
              <w:ind w:left="57" w:right="57"/>
              <w:jc w:val="both"/>
              <w:rPr>
                <w:color w:val="548DD4" w:themeColor="text2" w:themeTint="99"/>
                <w:sz w:val="18"/>
                <w:szCs w:val="18"/>
                <w:lang w:val="fr-FR" w:eastAsia="en-GB"/>
              </w:rPr>
            </w:pPr>
            <w:r w:rsidRPr="00CC7578">
              <w:rPr>
                <w:color w:val="548DD4" w:themeColor="text2" w:themeTint="99"/>
                <w:sz w:val="18"/>
                <w:szCs w:val="18"/>
                <w:lang w:val="fr-FR" w:eastAsia="en-GB"/>
              </w:rPr>
              <w:t>Ba-135m</w:t>
            </w:r>
          </w:p>
        </w:tc>
        <w:tc>
          <w:tcPr>
            <w:tcW w:w="1060" w:type="dxa"/>
            <w:shd w:val="clear" w:color="auto" w:fill="auto"/>
            <w:hideMark/>
          </w:tcPr>
          <w:p w:rsidR="002F42AA" w:rsidRPr="00CC7578" w:rsidRDefault="002F42AA" w:rsidP="00111B8A">
            <w:pPr>
              <w:ind w:left="57" w:right="57"/>
              <w:rPr>
                <w:color w:val="548DD4" w:themeColor="text2" w:themeTint="99"/>
                <w:sz w:val="18"/>
                <w:lang w:val="fr-FR" w:eastAsia="en-GB"/>
              </w:rPr>
            </w:pPr>
            <w:r w:rsidRPr="00CC7578">
              <w:rPr>
                <w:color w:val="548DD4" w:themeColor="text2" w:themeTint="99"/>
                <w:sz w:val="18"/>
                <w:szCs w:val="18"/>
                <w:lang w:val="fr-FR" w:eastAsia="en-GB"/>
              </w:rPr>
              <w:t>2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1</w:t>
            </w:r>
          </w:p>
        </w:tc>
        <w:tc>
          <w:tcPr>
            <w:tcW w:w="992" w:type="dxa"/>
            <w:shd w:val="clear" w:color="auto" w:fill="auto"/>
            <w:hideMark/>
          </w:tcPr>
          <w:p w:rsidR="002F42AA" w:rsidRPr="00CC7578" w:rsidRDefault="002F42AA" w:rsidP="00111B8A">
            <w:pPr>
              <w:ind w:left="57" w:right="57"/>
              <w:rPr>
                <w:color w:val="548DD4" w:themeColor="text2" w:themeTint="99"/>
                <w:sz w:val="18"/>
                <w:lang w:val="fr-FR" w:eastAsia="en-GB"/>
              </w:rPr>
            </w:pPr>
            <w:r w:rsidRPr="00CC7578">
              <w:rPr>
                <w:color w:val="548DD4" w:themeColor="text2" w:themeTint="99"/>
                <w:sz w:val="18"/>
                <w:szCs w:val="18"/>
                <w:lang w:val="fr-FR" w:eastAsia="en-GB"/>
              </w:rPr>
              <w:t>6</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–1</w:t>
            </w:r>
          </w:p>
        </w:tc>
        <w:tc>
          <w:tcPr>
            <w:tcW w:w="992" w:type="dxa"/>
            <w:shd w:val="clear" w:color="auto" w:fill="auto"/>
            <w:hideMark/>
          </w:tcPr>
          <w:p w:rsidR="002F42AA" w:rsidRPr="00CC7578" w:rsidRDefault="002F42AA" w:rsidP="00111B8A">
            <w:pPr>
              <w:ind w:left="57" w:right="57"/>
              <w:rPr>
                <w:color w:val="548DD4" w:themeColor="text2" w:themeTint="99"/>
                <w:sz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2</w:t>
            </w:r>
          </w:p>
        </w:tc>
        <w:tc>
          <w:tcPr>
            <w:tcW w:w="992" w:type="dxa"/>
            <w:shd w:val="clear" w:color="auto" w:fill="auto"/>
            <w:hideMark/>
          </w:tcPr>
          <w:p w:rsidR="002F42AA" w:rsidRPr="00CC7578" w:rsidRDefault="002F42AA" w:rsidP="00111B8A">
            <w:pPr>
              <w:ind w:left="57" w:right="57" w:firstLine="205"/>
              <w:jc w:val="both"/>
              <w:rPr>
                <w:color w:val="548DD4" w:themeColor="text2" w:themeTint="99"/>
                <w:sz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6</w:t>
            </w:r>
          </w:p>
        </w:tc>
      </w:tr>
      <w:tr w:rsidR="002F42AA" w:rsidRPr="00CC7578" w:rsidTr="00111B8A">
        <w:trPr>
          <w:trHeight w:val="301"/>
        </w:trPr>
        <w:tc>
          <w:tcPr>
            <w:tcW w:w="1526" w:type="dxa"/>
            <w:shd w:val="clear" w:color="auto" w:fill="auto"/>
          </w:tcPr>
          <w:p w:rsidR="002F42AA" w:rsidRPr="00CC7578" w:rsidRDefault="002F42AA" w:rsidP="00111B8A">
            <w:pPr>
              <w:tabs>
                <w:tab w:val="left" w:pos="2460"/>
                <w:tab w:val="left" w:pos="3640"/>
                <w:tab w:val="left" w:pos="4700"/>
                <w:tab w:val="left" w:pos="6040"/>
              </w:tabs>
              <w:ind w:left="57" w:right="57"/>
              <w:rPr>
                <w:color w:val="548DD4" w:themeColor="text2" w:themeTint="99"/>
                <w:sz w:val="18"/>
                <w:szCs w:val="18"/>
                <w:lang w:val="fr-FR" w:eastAsia="en-GB"/>
              </w:rPr>
            </w:pPr>
            <w:r w:rsidRPr="00CC7578">
              <w:rPr>
                <w:color w:val="548DD4" w:themeColor="text2" w:themeTint="99"/>
                <w:sz w:val="18"/>
                <w:szCs w:val="18"/>
                <w:lang w:val="fr-FR" w:eastAsia="en-GB"/>
              </w:rPr>
              <w:t>Ge-69</w:t>
            </w:r>
          </w:p>
        </w:tc>
        <w:tc>
          <w:tcPr>
            <w:tcW w:w="1060" w:type="dxa"/>
            <w:shd w:val="clear" w:color="auto" w:fill="auto"/>
          </w:tcPr>
          <w:p w:rsidR="002F42AA" w:rsidRPr="00CC7578" w:rsidRDefault="002F42AA" w:rsidP="00111B8A">
            <w:pPr>
              <w:spacing w:line="280" w:lineRule="atLeast"/>
              <w:ind w:left="57" w:right="57"/>
              <w:rPr>
                <w:color w:val="548DD4" w:themeColor="text2" w:themeTint="99"/>
                <w:sz w:val="18"/>
                <w:szCs w:val="18"/>
                <w:lang w:val="fr-FR"/>
              </w:rPr>
            </w:pPr>
            <w:r w:rsidRPr="00CC7578">
              <w:rPr>
                <w:color w:val="548DD4" w:themeColor="text2" w:themeTint="99"/>
                <w:sz w:val="18"/>
                <w:szCs w:val="18"/>
                <w:lang w:val="fr-FR"/>
              </w:rPr>
              <w:t>1</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1</w:t>
            </w:r>
            <w:r w:rsidRPr="00CC7578">
              <w:rPr>
                <w:color w:val="548DD4" w:themeColor="text2" w:themeTint="99"/>
                <w:spacing w:val="-1"/>
                <w:sz w:val="18"/>
                <w:szCs w:val="18"/>
                <w:lang w:val="fr-FR"/>
              </w:rPr>
              <w:t>0</w:t>
            </w:r>
            <w:r w:rsidRPr="00CC7578">
              <w:rPr>
                <w:color w:val="548DD4" w:themeColor="text2" w:themeTint="99"/>
                <w:sz w:val="18"/>
                <w:vertAlign w:val="superscript"/>
                <w:lang w:val="fr-FR" w:eastAsia="en-GB"/>
              </w:rPr>
              <w:t>0</w:t>
            </w:r>
          </w:p>
        </w:tc>
        <w:tc>
          <w:tcPr>
            <w:tcW w:w="992" w:type="dxa"/>
            <w:shd w:val="clear" w:color="auto" w:fill="auto"/>
          </w:tcPr>
          <w:p w:rsidR="002F42AA" w:rsidRPr="00CC7578" w:rsidRDefault="002F42AA" w:rsidP="00111B8A">
            <w:pPr>
              <w:spacing w:line="280" w:lineRule="atLeast"/>
              <w:ind w:left="57" w:right="57"/>
              <w:rPr>
                <w:color w:val="548DD4" w:themeColor="text2" w:themeTint="99"/>
                <w:sz w:val="18"/>
                <w:szCs w:val="18"/>
                <w:lang w:val="fr-FR"/>
              </w:rPr>
            </w:pPr>
            <w:r w:rsidRPr="00CC7578">
              <w:rPr>
                <w:color w:val="548DD4" w:themeColor="text2" w:themeTint="99"/>
                <w:sz w:val="18"/>
                <w:szCs w:val="18"/>
                <w:lang w:val="fr-FR"/>
              </w:rPr>
              <w:t>1</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10</w:t>
            </w:r>
            <w:r w:rsidRPr="00CC7578">
              <w:rPr>
                <w:color w:val="548DD4" w:themeColor="text2" w:themeTint="99"/>
                <w:sz w:val="18"/>
                <w:vertAlign w:val="superscript"/>
                <w:lang w:val="fr-FR" w:eastAsia="en-GB"/>
              </w:rPr>
              <w:t>0</w:t>
            </w:r>
          </w:p>
        </w:tc>
        <w:tc>
          <w:tcPr>
            <w:tcW w:w="992" w:type="dxa"/>
            <w:shd w:val="clear" w:color="auto" w:fill="auto"/>
          </w:tcPr>
          <w:p w:rsidR="002F42AA" w:rsidRPr="00CC7578" w:rsidRDefault="002F42AA" w:rsidP="00111B8A">
            <w:pPr>
              <w:spacing w:line="280" w:lineRule="atLeast"/>
              <w:ind w:left="57" w:right="57"/>
              <w:jc w:val="both"/>
              <w:rPr>
                <w:color w:val="548DD4" w:themeColor="text2" w:themeTint="99"/>
                <w:sz w:val="18"/>
                <w:szCs w:val="18"/>
                <w:lang w:val="fr-FR"/>
              </w:rPr>
            </w:pPr>
            <w:r w:rsidRPr="00CC7578">
              <w:rPr>
                <w:color w:val="548DD4" w:themeColor="text2" w:themeTint="99"/>
                <w:sz w:val="18"/>
                <w:szCs w:val="18"/>
                <w:lang w:val="fr-FR"/>
              </w:rPr>
              <w:t>1 ×</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10</w:t>
            </w:r>
            <w:r w:rsidRPr="00CC7578">
              <w:rPr>
                <w:color w:val="548DD4" w:themeColor="text2" w:themeTint="99"/>
                <w:sz w:val="18"/>
                <w:vertAlign w:val="superscript"/>
                <w:lang w:val="fr-FR" w:eastAsia="en-GB"/>
              </w:rPr>
              <w:t>1</w:t>
            </w:r>
          </w:p>
        </w:tc>
        <w:tc>
          <w:tcPr>
            <w:tcW w:w="992" w:type="dxa"/>
            <w:shd w:val="clear" w:color="auto" w:fill="auto"/>
          </w:tcPr>
          <w:p w:rsidR="002F42AA" w:rsidRPr="00CC7578" w:rsidRDefault="002F42AA" w:rsidP="00111B8A">
            <w:pPr>
              <w:tabs>
                <w:tab w:val="left" w:pos="2460"/>
                <w:tab w:val="left" w:pos="3640"/>
                <w:tab w:val="left" w:pos="4700"/>
                <w:tab w:val="left" w:pos="6040"/>
              </w:tabs>
              <w:ind w:left="57" w:right="57" w:firstLine="205"/>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6</w:t>
            </w:r>
          </w:p>
        </w:tc>
      </w:tr>
      <w:tr w:rsidR="002F42AA" w:rsidRPr="00CC7578" w:rsidTr="00111B8A">
        <w:trPr>
          <w:trHeight w:val="301"/>
        </w:trPr>
        <w:tc>
          <w:tcPr>
            <w:tcW w:w="1526" w:type="dxa"/>
            <w:shd w:val="clear" w:color="auto" w:fill="auto"/>
          </w:tcPr>
          <w:p w:rsidR="002F42AA" w:rsidRPr="00CC7578" w:rsidRDefault="002F42AA" w:rsidP="00111B8A">
            <w:pPr>
              <w:tabs>
                <w:tab w:val="left" w:pos="2460"/>
                <w:tab w:val="left" w:pos="3640"/>
                <w:tab w:val="left" w:pos="4700"/>
                <w:tab w:val="left" w:pos="6040"/>
              </w:tabs>
              <w:ind w:left="57" w:right="57"/>
              <w:rPr>
                <w:color w:val="548DD4" w:themeColor="text2" w:themeTint="99"/>
                <w:sz w:val="18"/>
                <w:szCs w:val="18"/>
                <w:lang w:val="fr-FR" w:eastAsia="en-GB"/>
              </w:rPr>
            </w:pPr>
            <w:r w:rsidRPr="00CC7578">
              <w:rPr>
                <w:color w:val="548DD4" w:themeColor="text2" w:themeTint="99"/>
                <w:sz w:val="18"/>
                <w:szCs w:val="18"/>
                <w:lang w:val="fr-FR" w:eastAsia="en-GB"/>
              </w:rPr>
              <w:t>I</w:t>
            </w:r>
            <w:r w:rsidRPr="00CC7578">
              <w:rPr>
                <w:color w:val="548DD4" w:themeColor="text2" w:themeTint="99"/>
                <w:spacing w:val="-5"/>
                <w:sz w:val="18"/>
                <w:szCs w:val="18"/>
                <w:lang w:val="fr-FR" w:eastAsia="en-GB"/>
              </w:rPr>
              <w:t>r</w:t>
            </w:r>
            <w:r w:rsidRPr="00CC7578">
              <w:rPr>
                <w:color w:val="548DD4" w:themeColor="text2" w:themeTint="99"/>
                <w:sz w:val="18"/>
                <w:szCs w:val="18"/>
                <w:lang w:val="fr-FR" w:eastAsia="en-GB"/>
              </w:rPr>
              <w:t>-193m</w:t>
            </w:r>
          </w:p>
        </w:tc>
        <w:tc>
          <w:tcPr>
            <w:tcW w:w="1060" w:type="dxa"/>
            <w:shd w:val="clear" w:color="auto" w:fill="auto"/>
          </w:tcPr>
          <w:p w:rsidR="002F42AA" w:rsidRPr="00CC7578" w:rsidRDefault="002F42AA" w:rsidP="00111B8A">
            <w:pPr>
              <w:spacing w:line="280" w:lineRule="atLeast"/>
              <w:ind w:left="57" w:right="57"/>
              <w:rPr>
                <w:color w:val="548DD4" w:themeColor="text2" w:themeTint="99"/>
                <w:sz w:val="18"/>
                <w:szCs w:val="18"/>
                <w:lang w:val="fr-FR"/>
              </w:rPr>
            </w:pPr>
            <w:r w:rsidRPr="00CC7578">
              <w:rPr>
                <w:color w:val="548DD4" w:themeColor="text2" w:themeTint="99"/>
                <w:sz w:val="18"/>
                <w:szCs w:val="18"/>
                <w:lang w:val="fr-FR"/>
              </w:rPr>
              <w:t>4 ×</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1</w:t>
            </w:r>
            <w:r w:rsidRPr="00CC7578">
              <w:rPr>
                <w:color w:val="548DD4" w:themeColor="text2" w:themeTint="99"/>
                <w:spacing w:val="-1"/>
                <w:sz w:val="18"/>
                <w:szCs w:val="18"/>
                <w:lang w:val="fr-FR"/>
              </w:rPr>
              <w:t>0</w:t>
            </w:r>
            <w:r w:rsidRPr="00CC7578">
              <w:rPr>
                <w:color w:val="548DD4" w:themeColor="text2" w:themeTint="99"/>
                <w:sz w:val="18"/>
                <w:vertAlign w:val="superscript"/>
                <w:lang w:val="fr-FR" w:eastAsia="en-GB"/>
              </w:rPr>
              <w:t>1</w:t>
            </w:r>
          </w:p>
        </w:tc>
        <w:tc>
          <w:tcPr>
            <w:tcW w:w="992" w:type="dxa"/>
            <w:shd w:val="clear" w:color="auto" w:fill="auto"/>
          </w:tcPr>
          <w:p w:rsidR="002F42AA" w:rsidRPr="00CC7578" w:rsidRDefault="002F42AA" w:rsidP="00111B8A">
            <w:pPr>
              <w:spacing w:line="280" w:lineRule="atLeast"/>
              <w:ind w:left="57" w:right="57"/>
              <w:rPr>
                <w:color w:val="548DD4" w:themeColor="text2" w:themeTint="99"/>
                <w:sz w:val="18"/>
                <w:szCs w:val="18"/>
                <w:lang w:val="fr-FR"/>
              </w:rPr>
            </w:pPr>
            <w:r w:rsidRPr="00CC7578">
              <w:rPr>
                <w:color w:val="548DD4" w:themeColor="text2" w:themeTint="99"/>
                <w:sz w:val="18"/>
                <w:szCs w:val="18"/>
                <w:lang w:val="fr-FR"/>
              </w:rPr>
              <w:t>4</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10</w:t>
            </w:r>
            <w:r w:rsidRPr="00CC7578">
              <w:rPr>
                <w:color w:val="548DD4" w:themeColor="text2" w:themeTint="99"/>
                <w:sz w:val="18"/>
                <w:vertAlign w:val="superscript"/>
                <w:lang w:val="fr-FR" w:eastAsia="en-GB"/>
              </w:rPr>
              <w:t>0</w:t>
            </w:r>
          </w:p>
        </w:tc>
        <w:tc>
          <w:tcPr>
            <w:tcW w:w="992" w:type="dxa"/>
            <w:shd w:val="clear" w:color="auto" w:fill="auto"/>
          </w:tcPr>
          <w:p w:rsidR="002F42AA" w:rsidRPr="00CC7578" w:rsidRDefault="002F42AA" w:rsidP="00111B8A">
            <w:pPr>
              <w:spacing w:line="280" w:lineRule="atLeast"/>
              <w:ind w:left="57" w:right="57"/>
              <w:jc w:val="both"/>
              <w:rPr>
                <w:color w:val="548DD4" w:themeColor="text2" w:themeTint="99"/>
                <w:sz w:val="18"/>
                <w:szCs w:val="18"/>
                <w:lang w:val="fr-FR"/>
              </w:rPr>
            </w:pPr>
            <w:r w:rsidRPr="00CC7578">
              <w:rPr>
                <w:color w:val="548DD4" w:themeColor="text2" w:themeTint="99"/>
                <w:sz w:val="18"/>
                <w:szCs w:val="18"/>
                <w:lang w:val="fr-FR"/>
              </w:rPr>
              <w:t>1 ×</w:t>
            </w:r>
            <w:r w:rsidRPr="00CC7578">
              <w:rPr>
                <w:color w:val="548DD4" w:themeColor="text2" w:themeTint="99"/>
                <w:spacing w:val="-1"/>
                <w:sz w:val="18"/>
                <w:szCs w:val="18"/>
                <w:lang w:val="fr-FR"/>
              </w:rPr>
              <w:t xml:space="preserve"> </w:t>
            </w:r>
            <w:r w:rsidRPr="00CC7578">
              <w:rPr>
                <w:color w:val="548DD4" w:themeColor="text2" w:themeTint="99"/>
                <w:sz w:val="18"/>
                <w:szCs w:val="18"/>
                <w:lang w:val="fr-FR"/>
              </w:rPr>
              <w:t>10</w:t>
            </w:r>
            <w:r w:rsidRPr="00CC7578">
              <w:rPr>
                <w:color w:val="548DD4" w:themeColor="text2" w:themeTint="99"/>
                <w:sz w:val="18"/>
                <w:vertAlign w:val="superscript"/>
                <w:lang w:val="fr-FR" w:eastAsia="en-GB"/>
              </w:rPr>
              <w:t>4</w:t>
            </w:r>
          </w:p>
        </w:tc>
        <w:tc>
          <w:tcPr>
            <w:tcW w:w="992" w:type="dxa"/>
            <w:shd w:val="clear" w:color="auto" w:fill="auto"/>
          </w:tcPr>
          <w:p w:rsidR="002F42AA" w:rsidRPr="00CC7578" w:rsidRDefault="002F42AA" w:rsidP="00111B8A">
            <w:pPr>
              <w:tabs>
                <w:tab w:val="left" w:pos="2460"/>
                <w:tab w:val="left" w:pos="3640"/>
                <w:tab w:val="left" w:pos="4700"/>
                <w:tab w:val="left" w:pos="6040"/>
              </w:tabs>
              <w:ind w:left="57" w:right="57" w:firstLine="205"/>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7</w:t>
            </w:r>
          </w:p>
        </w:tc>
      </w:tr>
      <w:tr w:rsidR="002F42AA" w:rsidRPr="00CC7578" w:rsidTr="00111B8A">
        <w:trPr>
          <w:trHeight w:hRule="exact" w:val="300"/>
        </w:trPr>
        <w:tc>
          <w:tcPr>
            <w:tcW w:w="1526"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Ni-57</w:t>
            </w:r>
          </w:p>
        </w:tc>
        <w:tc>
          <w:tcPr>
            <w:tcW w:w="1060"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6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–1</w:t>
            </w:r>
          </w:p>
        </w:tc>
        <w:tc>
          <w:tcPr>
            <w:tcW w:w="992"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6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–1</w:t>
            </w:r>
          </w:p>
        </w:tc>
        <w:tc>
          <w:tcPr>
            <w:tcW w:w="992" w:type="dxa"/>
            <w:shd w:val="clear" w:color="auto" w:fill="auto"/>
            <w:hideMark/>
          </w:tcPr>
          <w:p w:rsidR="002F42AA" w:rsidRPr="00CC7578" w:rsidRDefault="002F42AA" w:rsidP="00111B8A">
            <w:pPr>
              <w:ind w:left="57" w:right="57"/>
              <w:jc w:val="both"/>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1</w:t>
            </w:r>
          </w:p>
        </w:tc>
        <w:tc>
          <w:tcPr>
            <w:tcW w:w="992" w:type="dxa"/>
            <w:shd w:val="clear" w:color="auto" w:fill="auto"/>
            <w:hideMark/>
          </w:tcPr>
          <w:p w:rsidR="002F42AA" w:rsidRPr="00CC7578" w:rsidRDefault="002F42AA" w:rsidP="00111B8A">
            <w:pPr>
              <w:ind w:left="57" w:right="57" w:firstLine="205"/>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6</w:t>
            </w:r>
          </w:p>
        </w:tc>
      </w:tr>
      <w:tr w:rsidR="002F42AA" w:rsidRPr="00CC7578" w:rsidTr="00111B8A">
        <w:trPr>
          <w:trHeight w:hRule="exact" w:val="300"/>
        </w:trPr>
        <w:tc>
          <w:tcPr>
            <w:tcW w:w="1526" w:type="dxa"/>
            <w:shd w:val="clear" w:color="auto" w:fill="auto"/>
            <w:hideMark/>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S</w:t>
            </w:r>
            <w:r w:rsidRPr="00CC7578">
              <w:rPr>
                <w:color w:val="548DD4" w:themeColor="text2" w:themeTint="99"/>
                <w:spacing w:val="-4"/>
                <w:sz w:val="18"/>
                <w:szCs w:val="18"/>
                <w:lang w:val="fr-FR" w:eastAsia="en-GB"/>
              </w:rPr>
              <w:t>r</w:t>
            </w:r>
            <w:r w:rsidRPr="00CC7578">
              <w:rPr>
                <w:color w:val="548DD4" w:themeColor="text2" w:themeTint="99"/>
                <w:sz w:val="18"/>
                <w:szCs w:val="18"/>
                <w:lang w:val="fr-FR" w:eastAsia="en-GB"/>
              </w:rPr>
              <w:t>-83</w:t>
            </w:r>
          </w:p>
        </w:tc>
        <w:tc>
          <w:tcPr>
            <w:tcW w:w="1060" w:type="dxa"/>
            <w:shd w:val="clear" w:color="auto" w:fill="auto"/>
            <w:hideMark/>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2"/>
                <w:sz w:val="18"/>
                <w:szCs w:val="18"/>
                <w:lang w:val="fr-FR" w:eastAsia="en-GB"/>
              </w:rPr>
              <w:t>0</w:t>
            </w:r>
            <w:r w:rsidRPr="00CC7578">
              <w:rPr>
                <w:color w:val="548DD4" w:themeColor="text2" w:themeTint="99"/>
                <w:sz w:val="18"/>
                <w:vertAlign w:val="superscript"/>
                <w:lang w:val="fr-FR" w:eastAsia="en-GB"/>
              </w:rPr>
              <w:t>0</w:t>
            </w:r>
          </w:p>
        </w:tc>
        <w:tc>
          <w:tcPr>
            <w:tcW w:w="992" w:type="dxa"/>
            <w:shd w:val="clear" w:color="auto" w:fill="auto"/>
            <w:hideMark/>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2"/>
                <w:sz w:val="18"/>
                <w:szCs w:val="18"/>
                <w:lang w:val="fr-FR" w:eastAsia="en-GB"/>
              </w:rPr>
              <w:t>0</w:t>
            </w:r>
            <w:r w:rsidRPr="00CC7578">
              <w:rPr>
                <w:color w:val="548DD4" w:themeColor="text2" w:themeTint="99"/>
                <w:sz w:val="18"/>
                <w:vertAlign w:val="superscript"/>
                <w:lang w:val="fr-FR" w:eastAsia="en-GB"/>
              </w:rPr>
              <w:t>0</w:t>
            </w:r>
          </w:p>
        </w:tc>
        <w:tc>
          <w:tcPr>
            <w:tcW w:w="992" w:type="dxa"/>
            <w:shd w:val="clear" w:color="auto" w:fill="auto"/>
            <w:hideMark/>
          </w:tcPr>
          <w:p w:rsidR="002F42AA" w:rsidRPr="00CC7578" w:rsidRDefault="002F42AA" w:rsidP="00111B8A">
            <w:pPr>
              <w:ind w:left="57" w:right="57"/>
              <w:jc w:val="both"/>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1</w:t>
            </w:r>
          </w:p>
        </w:tc>
        <w:tc>
          <w:tcPr>
            <w:tcW w:w="992" w:type="dxa"/>
            <w:shd w:val="clear" w:color="auto" w:fill="auto"/>
            <w:hideMark/>
          </w:tcPr>
          <w:p w:rsidR="002F42AA" w:rsidRPr="00CC7578" w:rsidRDefault="002F42AA" w:rsidP="00111B8A">
            <w:pPr>
              <w:ind w:left="57" w:right="57" w:firstLine="205"/>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10</w:t>
            </w:r>
            <w:r w:rsidRPr="00CC7578">
              <w:rPr>
                <w:color w:val="548DD4" w:themeColor="text2" w:themeTint="99"/>
                <w:sz w:val="18"/>
                <w:vertAlign w:val="superscript"/>
                <w:lang w:val="fr-FR" w:eastAsia="en-GB"/>
              </w:rPr>
              <w:t>6</w:t>
            </w:r>
          </w:p>
        </w:tc>
      </w:tr>
      <w:tr w:rsidR="002F42AA" w:rsidRPr="00CC7578" w:rsidTr="00111B8A">
        <w:trPr>
          <w:trHeight w:hRule="exact" w:val="300"/>
        </w:trPr>
        <w:tc>
          <w:tcPr>
            <w:tcW w:w="1526"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Tb-149</w:t>
            </w:r>
          </w:p>
        </w:tc>
        <w:tc>
          <w:tcPr>
            <w:tcW w:w="1060"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8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–1</w:t>
            </w:r>
          </w:p>
        </w:tc>
        <w:tc>
          <w:tcPr>
            <w:tcW w:w="992"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8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–1</w:t>
            </w:r>
          </w:p>
        </w:tc>
        <w:tc>
          <w:tcPr>
            <w:tcW w:w="992" w:type="dxa"/>
            <w:shd w:val="clear" w:color="auto" w:fill="auto"/>
          </w:tcPr>
          <w:p w:rsidR="002F42AA" w:rsidRPr="00CC7578" w:rsidRDefault="002F42AA" w:rsidP="00111B8A">
            <w:pPr>
              <w:ind w:left="57" w:right="57"/>
              <w:jc w:val="both"/>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1</w:t>
            </w:r>
          </w:p>
        </w:tc>
        <w:tc>
          <w:tcPr>
            <w:tcW w:w="992" w:type="dxa"/>
            <w:shd w:val="clear" w:color="auto" w:fill="auto"/>
          </w:tcPr>
          <w:p w:rsidR="002F42AA" w:rsidRPr="00CC7578" w:rsidRDefault="002F42AA" w:rsidP="00111B8A">
            <w:pPr>
              <w:ind w:left="57" w:right="57" w:firstLine="205"/>
              <w:rPr>
                <w:color w:val="548DD4" w:themeColor="text2" w:themeTint="99"/>
                <w:sz w:val="18"/>
                <w:szCs w:val="18"/>
                <w:lang w:val="fr-FR" w:eastAsia="en-GB"/>
              </w:rPr>
            </w:pPr>
            <w:r w:rsidRPr="00CC7578">
              <w:rPr>
                <w:color w:val="548DD4" w:themeColor="text2" w:themeTint="99"/>
                <w:sz w:val="18"/>
                <w:szCs w:val="18"/>
                <w:lang w:val="fr-FR" w:eastAsia="en-GB"/>
              </w:rPr>
              <w:t>1 ×</w:t>
            </w:r>
            <w:r w:rsidRPr="00CC7578">
              <w:rPr>
                <w:color w:val="548DD4" w:themeColor="text2" w:themeTint="99"/>
                <w:spacing w:val="-1"/>
                <w:sz w:val="18"/>
                <w:szCs w:val="18"/>
                <w:lang w:val="fr-FR" w:eastAsia="en-GB"/>
              </w:rPr>
              <w:t xml:space="preserve"> </w:t>
            </w:r>
            <w:r w:rsidRPr="00CC7578">
              <w:rPr>
                <w:color w:val="548DD4" w:themeColor="text2" w:themeTint="99"/>
                <w:sz w:val="18"/>
                <w:szCs w:val="18"/>
                <w:lang w:val="fr-FR" w:eastAsia="en-GB"/>
              </w:rPr>
              <w:t>1</w:t>
            </w:r>
            <w:r w:rsidRPr="00CC7578">
              <w:rPr>
                <w:color w:val="548DD4" w:themeColor="text2" w:themeTint="99"/>
                <w:spacing w:val="-1"/>
                <w:sz w:val="18"/>
                <w:szCs w:val="18"/>
                <w:lang w:val="fr-FR" w:eastAsia="en-GB"/>
              </w:rPr>
              <w:t>0</w:t>
            </w:r>
            <w:r w:rsidRPr="00CC7578">
              <w:rPr>
                <w:color w:val="548DD4" w:themeColor="text2" w:themeTint="99"/>
                <w:sz w:val="18"/>
                <w:vertAlign w:val="superscript"/>
                <w:lang w:val="fr-FR" w:eastAsia="en-GB"/>
              </w:rPr>
              <w:t>6</w:t>
            </w:r>
          </w:p>
        </w:tc>
      </w:tr>
      <w:tr w:rsidR="002F42AA" w:rsidRPr="00CC7578" w:rsidTr="00111B8A">
        <w:trPr>
          <w:trHeight w:hRule="exact" w:val="288"/>
        </w:trPr>
        <w:tc>
          <w:tcPr>
            <w:tcW w:w="1526"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Tb-161</w:t>
            </w:r>
          </w:p>
        </w:tc>
        <w:tc>
          <w:tcPr>
            <w:tcW w:w="1060"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3 × 10</w:t>
            </w:r>
            <w:r w:rsidRPr="00CC7578">
              <w:rPr>
                <w:color w:val="548DD4" w:themeColor="text2" w:themeTint="99"/>
                <w:sz w:val="18"/>
                <w:vertAlign w:val="superscript"/>
                <w:lang w:val="fr-FR" w:eastAsia="en-GB"/>
              </w:rPr>
              <w:t>1</w:t>
            </w:r>
          </w:p>
        </w:tc>
        <w:tc>
          <w:tcPr>
            <w:tcW w:w="992" w:type="dxa"/>
            <w:shd w:val="clear" w:color="auto" w:fill="auto"/>
          </w:tcPr>
          <w:p w:rsidR="002F42AA" w:rsidRPr="00CC7578" w:rsidRDefault="002F42AA" w:rsidP="00111B8A">
            <w:pPr>
              <w:ind w:left="57" w:right="57"/>
              <w:rPr>
                <w:color w:val="548DD4" w:themeColor="text2" w:themeTint="99"/>
                <w:sz w:val="18"/>
                <w:szCs w:val="18"/>
                <w:lang w:val="fr-FR" w:eastAsia="en-GB"/>
              </w:rPr>
            </w:pPr>
            <w:r w:rsidRPr="00CC7578">
              <w:rPr>
                <w:color w:val="548DD4" w:themeColor="text2" w:themeTint="99"/>
                <w:sz w:val="18"/>
                <w:szCs w:val="18"/>
                <w:lang w:val="fr-FR" w:eastAsia="en-GB"/>
              </w:rPr>
              <w:t>7 × 10</w:t>
            </w:r>
            <w:r w:rsidRPr="00CC7578">
              <w:rPr>
                <w:color w:val="548DD4" w:themeColor="text2" w:themeTint="99"/>
                <w:sz w:val="18"/>
                <w:szCs w:val="18"/>
                <w:vertAlign w:val="superscript"/>
                <w:lang w:val="fr-FR" w:eastAsia="en-GB"/>
              </w:rPr>
              <w:t>-1</w:t>
            </w:r>
          </w:p>
        </w:tc>
        <w:tc>
          <w:tcPr>
            <w:tcW w:w="992" w:type="dxa"/>
            <w:shd w:val="clear" w:color="auto" w:fill="auto"/>
          </w:tcPr>
          <w:p w:rsidR="002F42AA" w:rsidRPr="00CC7578" w:rsidRDefault="002F42AA" w:rsidP="00111B8A">
            <w:pPr>
              <w:ind w:left="57" w:right="57"/>
              <w:jc w:val="both"/>
              <w:rPr>
                <w:color w:val="548DD4" w:themeColor="text2" w:themeTint="99"/>
                <w:sz w:val="18"/>
                <w:szCs w:val="18"/>
                <w:lang w:val="fr-FR" w:eastAsia="en-GB"/>
              </w:rPr>
            </w:pPr>
            <w:r w:rsidRPr="00CC7578">
              <w:rPr>
                <w:color w:val="548DD4" w:themeColor="text2" w:themeTint="99"/>
                <w:sz w:val="18"/>
                <w:szCs w:val="18"/>
                <w:lang w:val="fr-FR" w:eastAsia="en-GB"/>
              </w:rPr>
              <w:t>1 × 10</w:t>
            </w:r>
            <w:r w:rsidRPr="00CC7578">
              <w:rPr>
                <w:color w:val="548DD4" w:themeColor="text2" w:themeTint="99"/>
                <w:sz w:val="18"/>
                <w:vertAlign w:val="superscript"/>
                <w:lang w:val="fr-FR" w:eastAsia="en-GB"/>
              </w:rPr>
              <w:t>3</w:t>
            </w:r>
          </w:p>
        </w:tc>
        <w:tc>
          <w:tcPr>
            <w:tcW w:w="992" w:type="dxa"/>
            <w:shd w:val="clear" w:color="auto" w:fill="auto"/>
          </w:tcPr>
          <w:p w:rsidR="002F42AA" w:rsidRPr="00CC7578" w:rsidRDefault="002F42AA" w:rsidP="00111B8A">
            <w:pPr>
              <w:ind w:left="57" w:right="57" w:firstLine="205"/>
              <w:rPr>
                <w:color w:val="548DD4" w:themeColor="text2" w:themeTint="99"/>
                <w:sz w:val="18"/>
                <w:szCs w:val="18"/>
                <w:lang w:val="fr-FR" w:eastAsia="en-GB"/>
              </w:rPr>
            </w:pPr>
            <w:r w:rsidRPr="00CC7578">
              <w:rPr>
                <w:color w:val="548DD4" w:themeColor="text2" w:themeTint="99"/>
                <w:sz w:val="18"/>
                <w:szCs w:val="18"/>
                <w:lang w:val="fr-FR" w:eastAsia="en-GB"/>
              </w:rPr>
              <w:t>1 × 10</w:t>
            </w:r>
            <w:r w:rsidRPr="00CC7578">
              <w:rPr>
                <w:color w:val="548DD4" w:themeColor="text2" w:themeTint="99"/>
                <w:sz w:val="18"/>
                <w:vertAlign w:val="superscript"/>
                <w:lang w:val="fr-FR" w:eastAsia="en-GB"/>
              </w:rPr>
              <w:t>6</w:t>
            </w:r>
          </w:p>
        </w:tc>
      </w:tr>
    </w:tbl>
    <w:p w:rsidR="002F42AA" w:rsidRPr="00CC7578" w:rsidRDefault="002F42AA" w:rsidP="002F42AA">
      <w:pPr>
        <w:pStyle w:val="SingleTxtG"/>
        <w:tabs>
          <w:tab w:val="left" w:pos="2268"/>
        </w:tabs>
        <w:spacing w:before="120"/>
        <w:ind w:left="2257" w:hanging="1123"/>
        <w:rPr>
          <w:color w:val="548DD4" w:themeColor="text2" w:themeTint="99"/>
          <w:lang w:val="fr-FR" w:eastAsia="en-GB"/>
        </w:rPr>
      </w:pPr>
      <w:r w:rsidRPr="00CC7578">
        <w:rPr>
          <w:color w:val="548DD4" w:themeColor="text2" w:themeTint="99"/>
          <w:szCs w:val="24"/>
          <w:lang w:val="fr-FR"/>
        </w:rPr>
        <w:t xml:space="preserve">Tableau </w:t>
      </w:r>
      <w:r w:rsidRPr="00CC7578">
        <w:rPr>
          <w:color w:val="548DD4" w:themeColor="text2" w:themeTint="99"/>
          <w:lang w:val="fr-FR" w:eastAsia="en-GB"/>
        </w:rPr>
        <w:t>2.2.7.2.2.1</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ab/>
      </w:r>
      <w:r w:rsidRPr="00CC7578">
        <w:rPr>
          <w:color w:val="548DD4" w:themeColor="text2" w:themeTint="99"/>
          <w:szCs w:val="24"/>
          <w:lang w:val="fr-FR"/>
        </w:rPr>
        <w:t>Dans la note b) du tableau, ajouter, à la fin de la phrase d’introduction « </w:t>
      </w:r>
      <w:bookmarkStart w:id="35" w:name="_Hlk2256472"/>
      <w:r w:rsidRPr="00CC7578">
        <w:rPr>
          <w:color w:val="548DD4" w:themeColor="text2" w:themeTint="99"/>
          <w:szCs w:val="24"/>
          <w:lang w:val="fr-FR"/>
        </w:rPr>
        <w:t>(l’activité à prendre en considération est celle du nucléide parent uniquement)</w:t>
      </w:r>
      <w:bookmarkEnd w:id="35"/>
      <w:r w:rsidRPr="00CC7578">
        <w:rPr>
          <w:color w:val="548DD4" w:themeColor="text2" w:themeTint="99"/>
          <w:szCs w:val="24"/>
          <w:lang w:val="fr-FR"/>
        </w:rPr>
        <w:t> ». Après « Th-</w:t>
      </w:r>
      <w:proofErr w:type="spellStart"/>
      <w:r w:rsidRPr="00CC7578">
        <w:rPr>
          <w:color w:val="548DD4" w:themeColor="text2" w:themeTint="99"/>
          <w:szCs w:val="24"/>
          <w:lang w:val="fr-FR"/>
        </w:rPr>
        <w:t>nat</w:t>
      </w:r>
      <w:proofErr w:type="spellEnd"/>
      <w:r w:rsidRPr="00CC7578">
        <w:rPr>
          <w:color w:val="548DD4" w:themeColor="text2" w:themeTint="99"/>
          <w:szCs w:val="24"/>
          <w:lang w:val="fr-FR"/>
        </w:rPr>
        <w:t> » et « U-</w:t>
      </w:r>
      <w:proofErr w:type="spellStart"/>
      <w:r w:rsidRPr="00CC7578">
        <w:rPr>
          <w:color w:val="548DD4" w:themeColor="text2" w:themeTint="99"/>
          <w:szCs w:val="24"/>
          <w:lang w:val="fr-FR"/>
        </w:rPr>
        <w:t>nat</w:t>
      </w:r>
      <w:proofErr w:type="spellEnd"/>
      <w:r w:rsidRPr="00CC7578">
        <w:rPr>
          <w:color w:val="548DD4" w:themeColor="text2" w:themeTint="99"/>
          <w:szCs w:val="24"/>
          <w:lang w:val="fr-FR"/>
        </w:rPr>
        <w:t> », insérer un appel de note de bas de page. La note de bas de page se lit comme suit : « </w:t>
      </w:r>
      <w:bookmarkStart w:id="36" w:name="_Hlk2256668"/>
      <w:r w:rsidRPr="00CC7578">
        <w:rPr>
          <w:color w:val="548DD4" w:themeColor="text2" w:themeTint="99"/>
          <w:szCs w:val="24"/>
          <w:lang w:val="fr-FR"/>
        </w:rPr>
        <w:t>Dans le cas du thorium naturel, le nucléide parent est Th-232 ; dans le cas de l’uranium naturel, le nucléide parent est U-238. </w:t>
      </w:r>
      <w:bookmarkEnd w:id="36"/>
      <w:r w:rsidRPr="00CC7578">
        <w:rPr>
          <w:color w:val="548DD4" w:themeColor="text2" w:themeTint="99"/>
          <w:szCs w:val="24"/>
          <w:lang w:val="fr-FR"/>
        </w:rPr>
        <w:t>».</w:t>
      </w:r>
    </w:p>
    <w:p w:rsidR="002F42AA" w:rsidRPr="00CC7578" w:rsidRDefault="002F42AA" w:rsidP="002F42AA">
      <w:pPr>
        <w:pStyle w:val="SingleTxtG"/>
        <w:tabs>
          <w:tab w:val="left" w:pos="2268"/>
        </w:tabs>
        <w:ind w:left="2259" w:hanging="1125"/>
        <w:rPr>
          <w:color w:val="548DD4" w:themeColor="text2" w:themeTint="99"/>
          <w:lang w:val="fr-FR" w:eastAsia="en-GB"/>
        </w:rPr>
      </w:pPr>
      <w:r w:rsidRPr="00CC7578">
        <w:rPr>
          <w:color w:val="548DD4" w:themeColor="text2" w:themeTint="99"/>
          <w:szCs w:val="24"/>
          <w:lang w:val="fr-FR"/>
        </w:rPr>
        <w:t xml:space="preserve">Tableau </w:t>
      </w:r>
      <w:r w:rsidRPr="00CC7578">
        <w:rPr>
          <w:color w:val="548DD4" w:themeColor="text2" w:themeTint="99"/>
          <w:lang w:val="fr-FR" w:eastAsia="en-GB"/>
        </w:rPr>
        <w:t>2.2.7.2.2.1</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ab/>
        <w:t xml:space="preserve">Dans la note de bas de tableau c), remplacer </w:t>
      </w:r>
      <w:r w:rsidRPr="00CC7578">
        <w:rPr>
          <w:color w:val="548DD4" w:themeColor="text2" w:themeTint="99"/>
          <w:szCs w:val="24"/>
          <w:lang w:val="fr-FR"/>
        </w:rPr>
        <w:t>« de l’intensité de rayonnement » par « du débit de dose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 xml:space="preserve">2.2.7.2.2.2 </w:t>
      </w:r>
      <w:r w:rsidRPr="00CC7578">
        <w:rPr>
          <w:color w:val="548DD4" w:themeColor="text2" w:themeTint="99"/>
          <w:szCs w:val="24"/>
          <w:lang w:val="fr-FR"/>
        </w:rPr>
        <w:tab/>
        <w:t xml:space="preserve">À l’alinéa a), remplacer « ‶les </w:t>
      </w:r>
      <w:r w:rsidRPr="00CC7578">
        <w:rPr>
          <w:iCs/>
          <w:color w:val="548DD4" w:themeColor="text2" w:themeTint="99"/>
          <w:szCs w:val="24"/>
          <w:lang w:val="fr-FR"/>
        </w:rPr>
        <w:t>Normes fondamentales internationales de protection contre les rayonnements ionisants et de sûreté des sources de rayonnements</w:t>
      </w:r>
      <w:r w:rsidRPr="00CC7578">
        <w:rPr>
          <w:i/>
          <w:iCs/>
          <w:color w:val="548DD4" w:themeColor="text2" w:themeTint="99"/>
          <w:szCs w:val="24"/>
          <w:lang w:val="fr-FR"/>
        </w:rPr>
        <w:t xml:space="preserve">″, </w:t>
      </w:r>
      <w:r w:rsidRPr="00CC7578">
        <w:rPr>
          <w:color w:val="548DD4" w:themeColor="text2" w:themeTint="99"/>
          <w:szCs w:val="24"/>
          <w:lang w:val="fr-FR"/>
        </w:rPr>
        <w:t>Collection Sécurité, n</w:t>
      </w:r>
      <w:r w:rsidRPr="00CC7578">
        <w:rPr>
          <w:color w:val="548DD4" w:themeColor="text2" w:themeTint="99"/>
          <w:szCs w:val="24"/>
          <w:vertAlign w:val="superscript"/>
          <w:lang w:val="fr-FR"/>
        </w:rPr>
        <w:t>o</w:t>
      </w:r>
      <w:r w:rsidRPr="00CC7578">
        <w:rPr>
          <w:color w:val="548DD4" w:themeColor="text2" w:themeTint="99"/>
          <w:szCs w:val="24"/>
          <w:lang w:val="fr-FR"/>
        </w:rPr>
        <w:t> 115, AIEA, Vienne (1996) » par « </w:t>
      </w:r>
      <w:bookmarkStart w:id="37" w:name="_Hlk2246306"/>
      <w:r w:rsidRPr="00CC7578">
        <w:rPr>
          <w:color w:val="548DD4" w:themeColor="text2" w:themeTint="99"/>
          <w:szCs w:val="24"/>
          <w:lang w:val="fr-FR"/>
        </w:rPr>
        <w:t>‶</w:t>
      </w:r>
      <w:r w:rsidRPr="00CC7578">
        <w:rPr>
          <w:i/>
          <w:color w:val="548DD4" w:themeColor="text2" w:themeTint="99"/>
          <w:szCs w:val="24"/>
          <w:lang w:val="fr-FR"/>
        </w:rPr>
        <w:t>R</w:t>
      </w:r>
      <w:r w:rsidRPr="00CC7578">
        <w:rPr>
          <w:i/>
          <w:iCs/>
          <w:color w:val="548DD4" w:themeColor="text2" w:themeTint="99"/>
          <w:szCs w:val="24"/>
          <w:lang w:val="fr-FR"/>
        </w:rPr>
        <w:t>adioprotection et sûreté des sources de rayonnements : normes fondamentales internationales de sûreté″</w:t>
      </w:r>
      <w:r w:rsidRPr="00CC7578">
        <w:rPr>
          <w:iCs/>
          <w:color w:val="548DD4" w:themeColor="text2" w:themeTint="99"/>
          <w:szCs w:val="24"/>
          <w:lang w:val="fr-FR"/>
        </w:rPr>
        <w:t>,</w:t>
      </w:r>
      <w:r w:rsidRPr="00CC7578">
        <w:rPr>
          <w:i/>
          <w:iCs/>
          <w:color w:val="548DD4" w:themeColor="text2" w:themeTint="99"/>
          <w:szCs w:val="24"/>
          <w:lang w:val="fr-FR"/>
        </w:rPr>
        <w:t xml:space="preserve"> </w:t>
      </w:r>
      <w:r w:rsidRPr="00CC7578">
        <w:rPr>
          <w:color w:val="548DD4" w:themeColor="text2" w:themeTint="99"/>
          <w:szCs w:val="24"/>
          <w:lang w:val="fr-FR"/>
        </w:rPr>
        <w:t xml:space="preserve">collection Normes de sûreté de l’AIEA, </w:t>
      </w:r>
      <w:r w:rsidRPr="00CC7578">
        <w:rPr>
          <w:rFonts w:eastAsia="MS Mincho"/>
          <w:color w:val="548DD4" w:themeColor="text2" w:themeTint="99"/>
          <w:szCs w:val="22"/>
          <w:lang w:val="fr-FR"/>
        </w:rPr>
        <w:t>n</w:t>
      </w:r>
      <w:r w:rsidRPr="00CC7578">
        <w:rPr>
          <w:rFonts w:eastAsia="MS Mincho"/>
          <w:color w:val="548DD4" w:themeColor="text2" w:themeTint="99"/>
          <w:szCs w:val="22"/>
          <w:vertAlign w:val="superscript"/>
          <w:lang w:val="fr-FR"/>
        </w:rPr>
        <w:t>o</w:t>
      </w:r>
      <w:r w:rsidRPr="00CC7578">
        <w:rPr>
          <w:color w:val="548DD4" w:themeColor="text2" w:themeTint="99"/>
          <w:szCs w:val="24"/>
          <w:lang w:val="fr-FR"/>
        </w:rPr>
        <w:t> GSR Partie 3, AIEA, Vienne (2014)</w:t>
      </w:r>
      <w:bookmarkEnd w:id="37"/>
      <w:r w:rsidRPr="00CC7578">
        <w:rPr>
          <w:color w:val="548DD4" w:themeColor="text2" w:themeTint="99"/>
          <w:szCs w:val="24"/>
          <w:lang w:val="fr-FR"/>
        </w:rPr>
        <w:t>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 xml:space="preserve">À la fin de l’alinéa b), remplacer </w:t>
      </w:r>
      <w:r w:rsidRPr="00CC7578">
        <w:rPr>
          <w:iCs/>
          <w:color w:val="548DD4" w:themeColor="text2" w:themeTint="99"/>
          <w:szCs w:val="24"/>
          <w:lang w:val="fr-FR"/>
        </w:rPr>
        <w:t>« </w:t>
      </w:r>
      <w:r w:rsidRPr="00CC7578">
        <w:rPr>
          <w:color w:val="548DD4" w:themeColor="text2" w:themeTint="99"/>
          <w:szCs w:val="24"/>
          <w:lang w:val="fr-FR"/>
        </w:rPr>
        <w:t>Normes fondamentales internationales de protection contre les rayonnements ionisants et de sûreté des sources de rayonnements, Collection Sécurité, n</w:t>
      </w:r>
      <w:r w:rsidRPr="00CC7578">
        <w:rPr>
          <w:color w:val="548DD4" w:themeColor="text2" w:themeTint="99"/>
          <w:szCs w:val="24"/>
          <w:vertAlign w:val="superscript"/>
          <w:lang w:val="fr-FR"/>
        </w:rPr>
        <w:t>o</w:t>
      </w:r>
      <w:r w:rsidRPr="00CC7578">
        <w:rPr>
          <w:color w:val="548DD4" w:themeColor="text2" w:themeTint="99"/>
          <w:szCs w:val="24"/>
          <w:lang w:val="fr-FR"/>
        </w:rPr>
        <w:t> 115, AIEA, Vienne (1996) » par « </w:t>
      </w:r>
      <w:bookmarkStart w:id="38" w:name="_Hlk2246516"/>
      <w:r w:rsidRPr="00CC7578">
        <w:rPr>
          <w:color w:val="548DD4" w:themeColor="text2" w:themeTint="99"/>
          <w:szCs w:val="24"/>
          <w:lang w:val="fr-FR"/>
        </w:rPr>
        <w:t>GSR Partie 3 </w:t>
      </w:r>
      <w:bookmarkEnd w:id="38"/>
      <w:r w:rsidRPr="00CC7578">
        <w:rPr>
          <w:color w:val="548DD4" w:themeColor="text2" w:themeTint="99"/>
          <w:szCs w:val="24"/>
          <w:lang w:val="fr-FR"/>
        </w:rPr>
        <w:t>»</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2.2.7.2.2.3</w:t>
      </w:r>
      <w:r w:rsidRPr="00CC7578">
        <w:rPr>
          <w:color w:val="548DD4" w:themeColor="text2" w:themeTint="99"/>
          <w:szCs w:val="24"/>
          <w:lang w:val="fr-FR"/>
        </w:rPr>
        <w:tab/>
        <w:t>L’amendement à la version anglaise est sans objet en français.</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2.2.7.2.3.1.2</w:t>
      </w:r>
      <w:r w:rsidRPr="00CC7578">
        <w:rPr>
          <w:color w:val="548DD4" w:themeColor="text2" w:themeTint="99"/>
          <w:szCs w:val="24"/>
          <w:lang w:val="fr-FR"/>
        </w:rPr>
        <w:t xml:space="preserve"> c)</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 xml:space="preserve">Supprimer « satisfaisant aux prescriptions du 2.2.7.2.3.1.3, ». Supprimer le point ii) et renuméroter (iii) en tant que (ii).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2.2.7.2.3.1.3</w:t>
      </w:r>
      <w:r w:rsidRPr="00CC7578">
        <w:rPr>
          <w:color w:val="548DD4" w:themeColor="text2" w:themeTint="99"/>
          <w:szCs w:val="24"/>
          <w:lang w:val="fr-FR"/>
        </w:rPr>
        <w:tab/>
        <w:t xml:space="preserve">Supprimer et ajouter « 2.2.8.2.3.1.3 </w:t>
      </w:r>
      <w:r w:rsidRPr="00CC7578">
        <w:rPr>
          <w:color w:val="548DD4" w:themeColor="text2" w:themeTint="99"/>
          <w:szCs w:val="24"/>
          <w:lang w:val="fr-FR"/>
        </w:rPr>
        <w:tab/>
      </w:r>
      <w:r w:rsidRPr="00CC7578">
        <w:rPr>
          <w:i/>
          <w:iCs/>
          <w:color w:val="548DD4" w:themeColor="text2" w:themeTint="99"/>
          <w:szCs w:val="24"/>
          <w:lang w:val="fr-FR"/>
        </w:rPr>
        <w:t>(Supprimé)</w:t>
      </w:r>
      <w:r w:rsidRPr="00CC7578">
        <w:rPr>
          <w:color w:val="548DD4" w:themeColor="text2" w:themeTint="99"/>
          <w:szCs w:val="24"/>
          <w:lang w:val="fr-FR"/>
        </w:rPr>
        <w:t>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rPr>
        <w:t>2.2.7.2.3.2</w:t>
      </w:r>
      <w:r w:rsidRPr="00CC7578">
        <w:rPr>
          <w:color w:val="548DD4" w:themeColor="text2" w:themeTint="99"/>
          <w:szCs w:val="24"/>
          <w:lang w:val="fr-FR"/>
        </w:rPr>
        <w:tab/>
        <w:t>Dans la phrase d’introduction précédant l’alinéa a), remplacer « deux » par « trois ». Ajouter un nouvel alinéa c), comme suit :</w:t>
      </w:r>
    </w:p>
    <w:p w:rsidR="002F42AA" w:rsidRPr="00CC7578" w:rsidRDefault="002F42AA" w:rsidP="002F42AA">
      <w:pPr>
        <w:pStyle w:val="SingleTxtG"/>
        <w:tabs>
          <w:tab w:val="left" w:pos="2268"/>
        </w:tabs>
        <w:ind w:left="2268"/>
        <w:rPr>
          <w:color w:val="548DD4" w:themeColor="text2" w:themeTint="99"/>
          <w:szCs w:val="24"/>
          <w:lang w:val="fr-FR"/>
        </w:rPr>
      </w:pPr>
      <w:bookmarkStart w:id="39" w:name="_Hlk2257168"/>
      <w:r w:rsidRPr="00CC7578">
        <w:rPr>
          <w:color w:val="548DD4" w:themeColor="text2" w:themeTint="99"/>
          <w:szCs w:val="24"/>
          <w:lang w:val="fr-FR"/>
        </w:rPr>
        <w:t>« </w:t>
      </w:r>
      <w:proofErr w:type="gramStart"/>
      <w:r w:rsidRPr="00CC7578">
        <w:rPr>
          <w:color w:val="548DD4" w:themeColor="text2" w:themeTint="99"/>
          <w:szCs w:val="24"/>
          <w:lang w:val="fr-FR"/>
        </w:rPr>
        <w:t>c</w:t>
      </w:r>
      <w:proofErr w:type="gramEnd"/>
      <w:r w:rsidRPr="00CC7578">
        <w:rPr>
          <w:color w:val="548DD4" w:themeColor="text2" w:themeTint="99"/>
          <w:szCs w:val="24"/>
          <w:lang w:val="fr-FR"/>
        </w:rPr>
        <w:t>)</w:t>
      </w:r>
      <w:r w:rsidRPr="00CC7578">
        <w:rPr>
          <w:color w:val="548DD4" w:themeColor="text2" w:themeTint="99"/>
          <w:szCs w:val="24"/>
          <w:lang w:val="fr-FR"/>
        </w:rPr>
        <w:tab/>
        <w:t>SCO-III : Objet solide de grande taille qui, en raison de celle-ci, ne peut être transporté dans un colis du type décrit dans l’ADN et dont :</w:t>
      </w:r>
    </w:p>
    <w:p w:rsidR="002F42AA" w:rsidRPr="00CC7578" w:rsidRDefault="002F42AA" w:rsidP="002F42AA">
      <w:pPr>
        <w:pStyle w:val="SingleTxtG"/>
        <w:tabs>
          <w:tab w:val="left" w:pos="2268"/>
        </w:tabs>
        <w:ind w:left="3402" w:hanging="567"/>
        <w:rPr>
          <w:color w:val="548DD4" w:themeColor="text2" w:themeTint="99"/>
          <w:szCs w:val="24"/>
          <w:lang w:val="fr-FR"/>
        </w:rPr>
      </w:pPr>
      <w:r w:rsidRPr="00CC7578">
        <w:rPr>
          <w:color w:val="548DD4" w:themeColor="text2" w:themeTint="99"/>
          <w:szCs w:val="24"/>
          <w:lang w:val="fr-FR"/>
        </w:rPr>
        <w:t>i)</w:t>
      </w:r>
      <w:r w:rsidRPr="00CC7578">
        <w:rPr>
          <w:color w:val="548DD4" w:themeColor="text2" w:themeTint="99"/>
          <w:szCs w:val="24"/>
          <w:lang w:val="fr-FR"/>
        </w:rPr>
        <w:tab/>
        <w:t>Tous les orifices sont scellés pour éviter la libération de matières radioactives dans les conditions définies au 4.1.9.2.4 e) de l’ADR ;</w:t>
      </w:r>
    </w:p>
    <w:p w:rsidR="002F42AA" w:rsidRPr="00CC7578" w:rsidRDefault="002F42AA" w:rsidP="002F42AA">
      <w:pPr>
        <w:pStyle w:val="SingleTxtG"/>
        <w:tabs>
          <w:tab w:val="left" w:pos="2268"/>
        </w:tabs>
        <w:ind w:left="3402" w:hanging="567"/>
        <w:rPr>
          <w:color w:val="548DD4" w:themeColor="text2" w:themeTint="99"/>
          <w:szCs w:val="24"/>
          <w:lang w:val="fr-FR"/>
        </w:rPr>
      </w:pPr>
      <w:r w:rsidRPr="00CC7578">
        <w:rPr>
          <w:color w:val="548DD4" w:themeColor="text2" w:themeTint="99"/>
          <w:szCs w:val="24"/>
          <w:lang w:val="fr-FR"/>
        </w:rPr>
        <w:t>ii)</w:t>
      </w:r>
      <w:r w:rsidRPr="00CC7578">
        <w:rPr>
          <w:color w:val="548DD4" w:themeColor="text2" w:themeTint="99"/>
          <w:szCs w:val="24"/>
          <w:lang w:val="fr-FR"/>
        </w:rPr>
        <w:tab/>
        <w:t>L’intérieur de l’objet est le plus sec possible ;</w:t>
      </w:r>
    </w:p>
    <w:p w:rsidR="002F42AA" w:rsidRPr="00CC7578" w:rsidRDefault="002F42AA" w:rsidP="002F42AA">
      <w:pPr>
        <w:pStyle w:val="SingleTxtG"/>
        <w:tabs>
          <w:tab w:val="left" w:pos="2268"/>
        </w:tabs>
        <w:ind w:left="3402" w:hanging="567"/>
        <w:rPr>
          <w:color w:val="548DD4" w:themeColor="text2" w:themeTint="99"/>
          <w:szCs w:val="24"/>
          <w:lang w:val="fr-FR"/>
        </w:rPr>
      </w:pPr>
      <w:r w:rsidRPr="00CC7578">
        <w:rPr>
          <w:color w:val="548DD4" w:themeColor="text2" w:themeTint="99"/>
          <w:szCs w:val="24"/>
          <w:lang w:val="fr-FR"/>
        </w:rPr>
        <w:lastRenderedPageBreak/>
        <w:t>iii)</w:t>
      </w:r>
      <w:r w:rsidRPr="00CC7578">
        <w:rPr>
          <w:color w:val="548DD4" w:themeColor="text2" w:themeTint="99"/>
          <w:szCs w:val="24"/>
          <w:lang w:val="fr-FR"/>
        </w:rPr>
        <w:tab/>
        <w:t>La contamination non fixée sur les surfaces externes ne dépasse pas les limites spécifiées au 4.1.9.1.2 de l’ADR ; et</w:t>
      </w:r>
    </w:p>
    <w:p w:rsidR="002F42AA" w:rsidRPr="00CC7578" w:rsidRDefault="002F42AA" w:rsidP="002F42AA">
      <w:pPr>
        <w:pStyle w:val="SingleTxtG"/>
        <w:tabs>
          <w:tab w:val="left" w:pos="2268"/>
        </w:tabs>
        <w:ind w:left="3402" w:hanging="567"/>
        <w:rPr>
          <w:color w:val="548DD4" w:themeColor="text2" w:themeTint="99"/>
          <w:szCs w:val="24"/>
          <w:lang w:val="fr-FR"/>
        </w:rPr>
      </w:pPr>
      <w:r w:rsidRPr="00CC7578">
        <w:rPr>
          <w:color w:val="548DD4" w:themeColor="text2" w:themeTint="99"/>
          <w:szCs w:val="24"/>
          <w:lang w:val="fr-FR"/>
        </w:rPr>
        <w:t xml:space="preserve">iv) </w:t>
      </w:r>
      <w:r w:rsidRPr="00CC7578">
        <w:rPr>
          <w:color w:val="548DD4" w:themeColor="text2" w:themeTint="99"/>
          <w:szCs w:val="24"/>
          <w:lang w:val="fr-FR"/>
        </w:rPr>
        <w:tab/>
        <w:t>Pour la surface inaccessible, la moyenne de la contamination non fixée et de la contamination fixée sur 300 cm</w:t>
      </w:r>
      <w:r w:rsidRPr="00CC7578">
        <w:rPr>
          <w:color w:val="548DD4" w:themeColor="text2" w:themeTint="99"/>
          <w:szCs w:val="24"/>
          <w:vertAlign w:val="superscript"/>
          <w:lang w:val="fr-FR"/>
        </w:rPr>
        <w:t>2</w:t>
      </w:r>
      <w:r w:rsidRPr="00CC7578">
        <w:rPr>
          <w:color w:val="548DD4" w:themeColor="text2" w:themeTint="99"/>
          <w:szCs w:val="24"/>
          <w:lang w:val="fr-FR"/>
        </w:rPr>
        <w:t xml:space="preserve"> ne dépasse pas 8 × 10</w:t>
      </w:r>
      <w:r w:rsidRPr="00CC7578">
        <w:rPr>
          <w:color w:val="548DD4" w:themeColor="text2" w:themeTint="99"/>
          <w:szCs w:val="24"/>
          <w:vertAlign w:val="superscript"/>
          <w:lang w:val="fr-FR"/>
        </w:rPr>
        <w:t>5</w:t>
      </w:r>
      <w:r w:rsidRPr="00CC7578">
        <w:rPr>
          <w:color w:val="548DD4" w:themeColor="text2" w:themeTint="99"/>
          <w:szCs w:val="24"/>
          <w:lang w:val="fr-FR"/>
        </w:rPr>
        <w:t> Bq/cm</w:t>
      </w:r>
      <w:r w:rsidRPr="00CC7578">
        <w:rPr>
          <w:color w:val="548DD4" w:themeColor="text2" w:themeTint="99"/>
          <w:szCs w:val="24"/>
          <w:vertAlign w:val="superscript"/>
          <w:lang w:val="fr-FR"/>
        </w:rPr>
        <w:t>2</w:t>
      </w:r>
      <w:r w:rsidRPr="00CC7578">
        <w:rPr>
          <w:color w:val="548DD4" w:themeColor="text2" w:themeTint="99"/>
          <w:szCs w:val="24"/>
          <w:lang w:val="fr-FR"/>
        </w:rPr>
        <w:t xml:space="preserve"> pour les émetteurs bêta et gamma et les émetteurs alpha de faible toxicité ou 8 × 10</w:t>
      </w:r>
      <w:r w:rsidRPr="00CC7578">
        <w:rPr>
          <w:color w:val="548DD4" w:themeColor="text2" w:themeTint="99"/>
          <w:szCs w:val="24"/>
          <w:vertAlign w:val="superscript"/>
          <w:lang w:val="fr-FR"/>
        </w:rPr>
        <w:t>4</w:t>
      </w:r>
      <w:r w:rsidRPr="00CC7578">
        <w:rPr>
          <w:color w:val="548DD4" w:themeColor="text2" w:themeTint="99"/>
          <w:szCs w:val="24"/>
          <w:lang w:val="fr-FR"/>
        </w:rPr>
        <w:t> Bq/cm</w:t>
      </w:r>
      <w:r w:rsidRPr="00CC7578">
        <w:rPr>
          <w:color w:val="548DD4" w:themeColor="text2" w:themeTint="99"/>
          <w:szCs w:val="24"/>
          <w:vertAlign w:val="superscript"/>
          <w:lang w:val="fr-FR"/>
        </w:rPr>
        <w:t>2</w:t>
      </w:r>
      <w:r w:rsidRPr="00CC7578">
        <w:rPr>
          <w:color w:val="548DD4" w:themeColor="text2" w:themeTint="99"/>
          <w:szCs w:val="24"/>
          <w:lang w:val="fr-FR"/>
        </w:rPr>
        <w:t xml:space="preserve"> pour tous les autres émetteurs alpha.</w:t>
      </w:r>
      <w:bookmarkEnd w:id="39"/>
      <w:r w:rsidRPr="00CC7578">
        <w:rPr>
          <w:color w:val="548DD4" w:themeColor="text2" w:themeTint="99"/>
          <w:szCs w:val="24"/>
          <w:lang w:val="fr-FR"/>
        </w:rPr>
        <w:t>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2.2.7.2.3.3.5</w:t>
      </w:r>
      <w:r w:rsidRPr="00CC7578">
        <w:rPr>
          <w:color w:val="548DD4" w:themeColor="text2" w:themeTint="99"/>
          <w:szCs w:val="24"/>
          <w:lang w:val="fr-FR"/>
        </w:rPr>
        <w:t xml:space="preserve"> b)</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L’amendement à la version anglaise est sans objet en français.</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 xml:space="preserve">2.2.7.2.3.3.5 </w:t>
      </w:r>
      <w:r w:rsidRPr="00CC7578">
        <w:rPr>
          <w:color w:val="548DD4" w:themeColor="text2" w:themeTint="99"/>
          <w:szCs w:val="24"/>
          <w:lang w:val="fr-FR"/>
        </w:rPr>
        <w:t>c)</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L’amendement à la version anglaise est sans objet en français.</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2.2.7.2.3.3.7</w:t>
      </w:r>
      <w:r w:rsidRPr="00CC7578">
        <w:rPr>
          <w:color w:val="548DD4" w:themeColor="text2" w:themeTint="99"/>
          <w:szCs w:val="24"/>
          <w:lang w:val="fr-FR"/>
        </w:rPr>
        <w:tab/>
        <w:t>L’amendement à la version anglaise est sans objet en français.</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2.2.7.2.3.3.8 a) ii)</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L’amendement à la version anglaise est sans objet en français.</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2.2.7.2.3.4.1 a)</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Remplacer « L’intensité de rayonnement » par « Le débit de dose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rPr>
        <w:t xml:space="preserve">2.2.7.2.3.5 </w:t>
      </w:r>
      <w:r w:rsidRPr="00CC7578">
        <w:rPr>
          <w:color w:val="548DD4" w:themeColor="text2" w:themeTint="99"/>
          <w:szCs w:val="24"/>
          <w:lang w:val="fr-FR"/>
        </w:rPr>
        <w:t>e)</w:t>
      </w:r>
      <w:r w:rsidRPr="00CC7578">
        <w:rPr>
          <w:color w:val="548DD4" w:themeColor="text2" w:themeTint="99"/>
          <w:szCs w:val="24"/>
          <w:lang w:val="fr-FR"/>
        </w:rPr>
        <w:tab/>
        <w:t>Remplacer « limites prévues au » par « prescriptions du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2.2.7.2.3.6</w:t>
      </w:r>
      <w:r w:rsidRPr="00CC7578">
        <w:rPr>
          <w:color w:val="548DD4" w:themeColor="text2" w:themeTint="99"/>
          <w:szCs w:val="24"/>
          <w:lang w:val="fr-FR"/>
        </w:rPr>
        <w:tab/>
        <w:t>L’amendement à la version anglaise est sans objet en français.</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rPr>
        <w:t>2.2.7.2.4.1.2</w:t>
      </w:r>
      <w:r w:rsidRPr="00CC7578">
        <w:rPr>
          <w:color w:val="548DD4" w:themeColor="text2" w:themeTint="99"/>
          <w:szCs w:val="24"/>
          <w:lang w:val="fr-FR"/>
        </w:rPr>
        <w:tab/>
        <w:t>Remplacer « l’intensité de rayonnement » par « le débit de dose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rPr>
        <w:t>2.2.7.2.4.1.3</w:t>
      </w:r>
      <w:r w:rsidRPr="00CC7578">
        <w:rPr>
          <w:color w:val="548DD4" w:themeColor="text2" w:themeTint="99"/>
          <w:szCs w:val="24"/>
          <w:lang w:val="fr-FR"/>
        </w:rPr>
        <w:t xml:space="preserve"> a)</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szCs w:val="24"/>
          <w:lang w:val="fr-FR"/>
        </w:rPr>
        <w:tab/>
        <w:t>Remplacer « L’intensité de rayonnement » par « Le débit de dose » et remplacer « supérieure » par « supérieur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2.2.7.2.4.1.3</w:t>
      </w:r>
      <w:r w:rsidRPr="00CC7578">
        <w:rPr>
          <w:color w:val="548DD4" w:themeColor="text2" w:themeTint="99"/>
          <w:szCs w:val="24"/>
          <w:lang w:val="fr-FR"/>
        </w:rPr>
        <w:tab/>
      </w:r>
      <w:r w:rsidRPr="00CC7578">
        <w:rPr>
          <w:color w:val="548DD4" w:themeColor="text2" w:themeTint="99"/>
          <w:szCs w:val="24"/>
          <w:lang w:val="fr-FR"/>
        </w:rPr>
        <w:tab/>
        <w:t xml:space="preserve">Au c), à la fin, supprimer « et ». À la fin du d), remplacer </w:t>
      </w:r>
      <w:proofErr w:type="gramStart"/>
      <w:r w:rsidRPr="00CC7578">
        <w:rPr>
          <w:color w:val="548DD4" w:themeColor="text2" w:themeTint="99"/>
          <w:szCs w:val="24"/>
          <w:lang w:val="fr-FR"/>
        </w:rPr>
        <w:t>« .</w:t>
      </w:r>
      <w:proofErr w:type="gramEnd"/>
      <w:r w:rsidRPr="00CC7578">
        <w:rPr>
          <w:color w:val="548DD4" w:themeColor="text2" w:themeTint="99"/>
          <w:szCs w:val="24"/>
          <w:lang w:val="fr-FR"/>
        </w:rPr>
        <w:t> » par « ; ».  Ajouter les nouveaux alinéas e) et f) suivants :</w:t>
      </w:r>
    </w:p>
    <w:p w:rsidR="002F42AA" w:rsidRPr="00CC7578" w:rsidRDefault="002F42AA" w:rsidP="002F42AA">
      <w:pPr>
        <w:pStyle w:val="SingleTxtG"/>
        <w:tabs>
          <w:tab w:val="left" w:pos="2268"/>
        </w:tabs>
        <w:ind w:firstLine="1134"/>
        <w:rPr>
          <w:color w:val="548DD4" w:themeColor="text2" w:themeTint="99"/>
          <w:szCs w:val="24"/>
          <w:lang w:val="fr-FR"/>
        </w:rPr>
      </w:pPr>
      <w:r w:rsidRPr="00CC7578">
        <w:rPr>
          <w:color w:val="548DD4" w:themeColor="text2" w:themeTint="99"/>
          <w:szCs w:val="24"/>
          <w:lang w:val="fr-FR"/>
        </w:rPr>
        <w:t>« </w:t>
      </w:r>
      <w:bookmarkStart w:id="40" w:name="_Hlk2258786"/>
      <w:proofErr w:type="gramStart"/>
      <w:r w:rsidRPr="00CC7578">
        <w:rPr>
          <w:color w:val="548DD4" w:themeColor="text2" w:themeTint="99"/>
          <w:szCs w:val="24"/>
          <w:lang w:val="fr-FR"/>
        </w:rPr>
        <w:t>e</w:t>
      </w:r>
      <w:proofErr w:type="gramEnd"/>
      <w:r w:rsidRPr="00CC7578">
        <w:rPr>
          <w:color w:val="548DD4" w:themeColor="text2" w:themeTint="99"/>
          <w:szCs w:val="24"/>
          <w:lang w:val="fr-FR"/>
        </w:rPr>
        <w:t>)</w:t>
      </w:r>
      <w:r w:rsidRPr="00CC7578">
        <w:rPr>
          <w:color w:val="548DD4" w:themeColor="text2" w:themeTint="99"/>
          <w:szCs w:val="24"/>
          <w:lang w:val="fr-FR"/>
        </w:rPr>
        <w:tab/>
      </w:r>
      <w:r w:rsidRPr="00CC7578">
        <w:rPr>
          <w:i/>
          <w:iCs/>
          <w:color w:val="548DD4" w:themeColor="text2" w:themeTint="99"/>
          <w:szCs w:val="24"/>
          <w:lang w:val="fr-FR"/>
        </w:rPr>
        <w:t>(Réservé)</w:t>
      </w:r>
      <w:r w:rsidRPr="00CC7578">
        <w:rPr>
          <w:color w:val="548DD4" w:themeColor="text2" w:themeTint="99"/>
          <w:szCs w:val="24"/>
          <w:lang w:val="fr-FR"/>
        </w:rPr>
        <w:t> ;</w:t>
      </w:r>
    </w:p>
    <w:p w:rsidR="002F42AA" w:rsidRPr="00CC7578" w:rsidRDefault="002F42AA" w:rsidP="002F42AA">
      <w:pPr>
        <w:pStyle w:val="SingleTxtG"/>
        <w:tabs>
          <w:tab w:val="left" w:pos="2268"/>
        </w:tabs>
        <w:ind w:left="2268"/>
        <w:rPr>
          <w:color w:val="548DD4" w:themeColor="text2" w:themeTint="99"/>
          <w:szCs w:val="24"/>
          <w:lang w:val="fr-FR"/>
        </w:rPr>
      </w:pPr>
      <w:r w:rsidRPr="00CC7578">
        <w:rPr>
          <w:color w:val="548DD4" w:themeColor="text2" w:themeTint="99"/>
          <w:szCs w:val="24"/>
          <w:lang w:val="fr-FR"/>
        </w:rPr>
        <w:t>f)</w:t>
      </w:r>
      <w:r w:rsidRPr="00CC7578">
        <w:rPr>
          <w:color w:val="548DD4" w:themeColor="text2" w:themeTint="99"/>
          <w:szCs w:val="24"/>
          <w:lang w:val="fr-FR"/>
        </w:rPr>
        <w:tab/>
        <w:t>Si le colis contient des matières fissiles, l’une des dispositions du 2.2.7.2.3.5 a) à f) soit satisfaite. </w:t>
      </w:r>
      <w:bookmarkEnd w:id="40"/>
      <w:r w:rsidRPr="00CC7578">
        <w:rPr>
          <w:color w:val="548DD4" w:themeColor="text2" w:themeTint="99"/>
          <w:szCs w:val="24"/>
          <w:lang w:val="fr-FR"/>
        </w:rPr>
        <w:t>».</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rPr>
        <w:t>2.2.7.2.4.1.4</w:t>
      </w:r>
      <w:r w:rsidRPr="00CC7578">
        <w:rPr>
          <w:color w:val="548DD4" w:themeColor="text2" w:themeTint="99"/>
          <w:szCs w:val="24"/>
          <w:lang w:val="fr-FR"/>
        </w:rPr>
        <w:t xml:space="preserve"> </w:t>
      </w:r>
      <w:r w:rsidRPr="00CC7578">
        <w:rPr>
          <w:color w:val="548DD4" w:themeColor="text2" w:themeTint="99"/>
          <w:szCs w:val="24"/>
          <w:lang w:val="fr-FR"/>
        </w:rPr>
        <w:tab/>
        <w:t xml:space="preserve">À la fin du a), supprimer « et ». À la fin de l’alinéa b) ii), remplacer </w:t>
      </w:r>
      <w:proofErr w:type="gramStart"/>
      <w:r w:rsidRPr="00CC7578">
        <w:rPr>
          <w:color w:val="548DD4" w:themeColor="text2" w:themeTint="99"/>
          <w:szCs w:val="24"/>
          <w:lang w:val="fr-FR"/>
        </w:rPr>
        <w:t>« .</w:t>
      </w:r>
      <w:proofErr w:type="gramEnd"/>
      <w:r w:rsidRPr="00CC7578">
        <w:rPr>
          <w:color w:val="548DD4" w:themeColor="text2" w:themeTint="99"/>
          <w:szCs w:val="24"/>
          <w:lang w:val="fr-FR"/>
        </w:rPr>
        <w:t> » par « ; et ». Ajouter le nouvel alinéa c) suivant :</w:t>
      </w:r>
    </w:p>
    <w:p w:rsidR="002F42AA" w:rsidRPr="00CC7578" w:rsidRDefault="002F42AA" w:rsidP="002F42AA">
      <w:pPr>
        <w:pStyle w:val="SingleTxtG"/>
        <w:tabs>
          <w:tab w:val="left" w:pos="2268"/>
        </w:tabs>
        <w:ind w:left="2268"/>
        <w:rPr>
          <w:color w:val="548DD4" w:themeColor="text2" w:themeTint="99"/>
          <w:szCs w:val="24"/>
          <w:lang w:val="fr-FR"/>
        </w:rPr>
      </w:pPr>
      <w:r w:rsidRPr="00CC7578">
        <w:rPr>
          <w:color w:val="548DD4" w:themeColor="text2" w:themeTint="99"/>
          <w:szCs w:val="24"/>
          <w:lang w:val="fr-FR"/>
        </w:rPr>
        <w:t>« </w:t>
      </w:r>
      <w:bookmarkStart w:id="41" w:name="_Hlk2258870"/>
      <w:proofErr w:type="gramStart"/>
      <w:r w:rsidRPr="00CC7578">
        <w:rPr>
          <w:color w:val="548DD4" w:themeColor="text2" w:themeTint="99"/>
          <w:szCs w:val="24"/>
          <w:lang w:val="fr-FR"/>
        </w:rPr>
        <w:t>c</w:t>
      </w:r>
      <w:proofErr w:type="gramEnd"/>
      <w:r w:rsidRPr="00CC7578">
        <w:rPr>
          <w:color w:val="548DD4" w:themeColor="text2" w:themeTint="99"/>
          <w:szCs w:val="24"/>
          <w:lang w:val="fr-FR"/>
        </w:rPr>
        <w:t xml:space="preserve">) </w:t>
      </w:r>
      <w:r w:rsidRPr="00CC7578">
        <w:rPr>
          <w:color w:val="548DD4" w:themeColor="text2" w:themeTint="99"/>
          <w:szCs w:val="24"/>
          <w:lang w:val="fr-FR"/>
        </w:rPr>
        <w:tab/>
        <w:t xml:space="preserve">Si le colis contient des matières fissiles, </w:t>
      </w:r>
      <w:bookmarkStart w:id="42" w:name="_Hlk19637631"/>
      <w:r w:rsidRPr="00CC7578">
        <w:rPr>
          <w:color w:val="548DD4" w:themeColor="text2" w:themeTint="99"/>
          <w:szCs w:val="24"/>
          <w:lang w:val="fr-FR"/>
        </w:rPr>
        <w:t>l’une des dispositions du 2.2.7.2.3.5 a) à f) soit satisfaite</w:t>
      </w:r>
      <w:bookmarkEnd w:id="42"/>
      <w:r w:rsidRPr="00CC7578">
        <w:rPr>
          <w:color w:val="548DD4" w:themeColor="text2" w:themeTint="99"/>
          <w:szCs w:val="24"/>
          <w:lang w:val="fr-FR"/>
        </w:rPr>
        <w:t>.</w:t>
      </w:r>
      <w:bookmarkEnd w:id="41"/>
      <w:r w:rsidRPr="00CC7578">
        <w:rPr>
          <w:color w:val="548DD4" w:themeColor="text2" w:themeTint="99"/>
          <w:szCs w:val="24"/>
          <w:lang w:val="fr-FR"/>
        </w:rPr>
        <w:t> ».</w:t>
      </w:r>
    </w:p>
    <w:p w:rsidR="002F42AA" w:rsidRPr="00CC7578" w:rsidRDefault="002F42AA" w:rsidP="002F42AA">
      <w:pPr>
        <w:pStyle w:val="SingleTxtG"/>
        <w:tabs>
          <w:tab w:val="left" w:pos="2268"/>
        </w:tabs>
        <w:ind w:left="2259" w:hanging="1125"/>
        <w:rPr>
          <w:color w:val="548DD4" w:themeColor="text2" w:themeTint="99"/>
          <w:szCs w:val="24"/>
          <w:lang w:val="fr-FR"/>
        </w:rPr>
      </w:pPr>
      <w:r w:rsidRPr="00CC7578">
        <w:rPr>
          <w:color w:val="548DD4" w:themeColor="text2" w:themeTint="99"/>
          <w:lang w:val="fr-FR" w:eastAsia="en-GB"/>
        </w:rPr>
        <w:t>2.2.7.2.4.1.7</w:t>
      </w:r>
      <w:r w:rsidRPr="00CC7578">
        <w:rPr>
          <w:color w:val="548DD4" w:themeColor="text2" w:themeTint="99"/>
          <w:szCs w:val="24"/>
          <w:lang w:val="fr-FR"/>
        </w:rPr>
        <w:tab/>
        <w:t xml:space="preserve">À la fin du c) ii), supprimer « et ». À la fin de l’alinéa d), remplacer </w:t>
      </w:r>
      <w:proofErr w:type="gramStart"/>
      <w:r w:rsidRPr="00CC7578">
        <w:rPr>
          <w:color w:val="548DD4" w:themeColor="text2" w:themeTint="99"/>
          <w:szCs w:val="24"/>
          <w:lang w:val="fr-FR"/>
        </w:rPr>
        <w:t>« .</w:t>
      </w:r>
      <w:proofErr w:type="gramEnd"/>
      <w:r w:rsidRPr="00CC7578">
        <w:rPr>
          <w:color w:val="548DD4" w:themeColor="text2" w:themeTint="99"/>
          <w:szCs w:val="24"/>
          <w:lang w:val="fr-FR"/>
        </w:rPr>
        <w:t> » par « ; et ». Ajouter le nouvel alinéa e) suivant :</w:t>
      </w:r>
    </w:p>
    <w:p w:rsidR="002F42AA" w:rsidRPr="00CC7578" w:rsidRDefault="002F42AA" w:rsidP="002F42AA">
      <w:pPr>
        <w:pStyle w:val="SingleTxtG"/>
        <w:tabs>
          <w:tab w:val="left" w:pos="2268"/>
        </w:tabs>
        <w:ind w:left="2268"/>
        <w:rPr>
          <w:color w:val="548DD4" w:themeColor="text2" w:themeTint="99"/>
          <w:szCs w:val="24"/>
          <w:lang w:val="fr-FR"/>
        </w:rPr>
      </w:pPr>
      <w:r w:rsidRPr="00CC7578">
        <w:rPr>
          <w:color w:val="548DD4" w:themeColor="text2" w:themeTint="99"/>
          <w:szCs w:val="24"/>
          <w:lang w:val="fr-FR"/>
        </w:rPr>
        <w:t>« </w:t>
      </w:r>
      <w:bookmarkStart w:id="43" w:name="_Hlk2258950"/>
      <w:proofErr w:type="gramStart"/>
      <w:r w:rsidRPr="00CC7578">
        <w:rPr>
          <w:color w:val="548DD4" w:themeColor="text2" w:themeTint="99"/>
          <w:szCs w:val="24"/>
          <w:lang w:val="fr-FR"/>
        </w:rPr>
        <w:t>e</w:t>
      </w:r>
      <w:proofErr w:type="gramEnd"/>
      <w:r w:rsidRPr="00CC7578">
        <w:rPr>
          <w:color w:val="548DD4" w:themeColor="text2" w:themeTint="99"/>
          <w:szCs w:val="24"/>
          <w:lang w:val="fr-FR"/>
        </w:rPr>
        <w:t>)</w:t>
      </w:r>
      <w:r w:rsidRPr="00CC7578">
        <w:rPr>
          <w:color w:val="548DD4" w:themeColor="text2" w:themeTint="99"/>
          <w:szCs w:val="24"/>
          <w:lang w:val="fr-FR"/>
        </w:rPr>
        <w:tab/>
        <w:t xml:space="preserve">Si le colis a contenu des matières fissiles, </w:t>
      </w:r>
      <w:bookmarkStart w:id="44" w:name="_Hlk19637680"/>
      <w:r w:rsidRPr="00CC7578">
        <w:rPr>
          <w:color w:val="548DD4" w:themeColor="text2" w:themeTint="99"/>
          <w:szCs w:val="24"/>
          <w:lang w:val="fr-FR"/>
        </w:rPr>
        <w:t>l’une des dispositions du 2.2.7.2.3.5 a) à f) soit satisfaite ou l’une des dispositions d’exclusion du 2.2.7.1.3 soit satisfaite.</w:t>
      </w:r>
      <w:bookmarkEnd w:id="44"/>
      <w:r w:rsidRPr="00CC7578">
        <w:rPr>
          <w:color w:val="548DD4" w:themeColor="text2" w:themeTint="99"/>
          <w:szCs w:val="24"/>
          <w:lang w:val="fr-FR"/>
        </w:rPr>
        <w:t> </w:t>
      </w:r>
      <w:bookmarkEnd w:id="43"/>
      <w:r w:rsidRPr="00CC7578">
        <w:rPr>
          <w:color w:val="548DD4" w:themeColor="text2" w:themeTint="99"/>
          <w:szCs w:val="24"/>
          <w:lang w:val="fr-FR"/>
        </w:rPr>
        <w:t>».</w:t>
      </w:r>
    </w:p>
    <w:p w:rsidR="002F42AA" w:rsidRPr="00C85ADC" w:rsidRDefault="002F42AA" w:rsidP="002F42AA">
      <w:pPr>
        <w:pStyle w:val="SingleTxtG"/>
        <w:tabs>
          <w:tab w:val="left" w:pos="2268"/>
        </w:tabs>
        <w:ind w:left="2259" w:hanging="1125"/>
        <w:rPr>
          <w:lang w:val="fr-FR"/>
        </w:rPr>
      </w:pPr>
      <w:r w:rsidRPr="00CC7578">
        <w:rPr>
          <w:color w:val="548DD4" w:themeColor="text2" w:themeTint="99"/>
          <w:lang w:val="fr-FR"/>
        </w:rPr>
        <w:t>2.2.8.1.1</w:t>
      </w:r>
      <w:r w:rsidRPr="00CC7578">
        <w:rPr>
          <w:color w:val="548DD4" w:themeColor="text2" w:themeTint="99"/>
          <w:lang w:val="fr-FR"/>
        </w:rPr>
        <w:tab/>
        <w:t>Remplacer « engins de transport » par « matériels de transport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eastAsia="en-GB"/>
        </w:rPr>
        <w:t>2.2.8.1.5.2</w:t>
      </w:r>
      <w:r w:rsidRPr="00CC7578">
        <w:rPr>
          <w:color w:val="548DD4" w:themeColor="text2" w:themeTint="99"/>
          <w:lang w:val="fr-FR"/>
        </w:rPr>
        <w:tab/>
        <w:t>Le premier amendement au texte en anglais est sans objet en français. Dans la deuxième phrase, remplacer « conformément à la Ligne directrice de l’OCDE 404</w:t>
      </w:r>
      <w:r w:rsidRPr="00CC7578">
        <w:rPr>
          <w:color w:val="548DD4" w:themeColor="text2" w:themeTint="99"/>
          <w:vertAlign w:val="superscript"/>
          <w:lang w:val="fr-FR"/>
        </w:rPr>
        <w:t>5</w:t>
      </w:r>
      <w:r w:rsidRPr="00CC7578">
        <w:rPr>
          <w:color w:val="548DD4" w:themeColor="text2" w:themeTint="99"/>
          <w:lang w:val="fr-FR"/>
        </w:rPr>
        <w:t>, ou 435</w:t>
      </w:r>
      <w:r w:rsidRPr="00CC7578">
        <w:rPr>
          <w:color w:val="548DD4" w:themeColor="text2" w:themeTint="99"/>
          <w:vertAlign w:val="superscript"/>
          <w:lang w:val="fr-FR"/>
        </w:rPr>
        <w:t>6</w:t>
      </w:r>
      <w:r w:rsidRPr="00CC7578">
        <w:rPr>
          <w:color w:val="548DD4" w:themeColor="text2" w:themeTint="99"/>
          <w:lang w:val="fr-FR"/>
        </w:rPr>
        <w:t> » par « </w:t>
      </w:r>
      <w:bookmarkStart w:id="45" w:name="_Hlk2259932"/>
      <w:r w:rsidRPr="00CC7578">
        <w:rPr>
          <w:color w:val="548DD4" w:themeColor="text2" w:themeTint="99"/>
          <w:lang w:val="fr-FR"/>
        </w:rPr>
        <w:t>conformément aux Lignes directrices de l’OCDE</w:t>
      </w:r>
      <w:r w:rsidRPr="00CC7578">
        <w:rPr>
          <w:color w:val="548DD4" w:themeColor="text2" w:themeTint="99"/>
          <w:vertAlign w:val="superscript"/>
          <w:lang w:val="fr-FR"/>
        </w:rPr>
        <w:t>5,6,7,8</w:t>
      </w:r>
      <w:r w:rsidRPr="00CC7578">
        <w:rPr>
          <w:color w:val="548DD4" w:themeColor="text2" w:themeTint="99"/>
          <w:lang w:val="fr-FR"/>
        </w:rPr>
        <w:t>.</w:t>
      </w:r>
      <w:bookmarkEnd w:id="45"/>
      <w:r w:rsidRPr="00CC7578">
        <w:rPr>
          <w:color w:val="548DD4" w:themeColor="text2" w:themeTint="99"/>
          <w:lang w:val="fr-FR"/>
        </w:rPr>
        <w:t xml:space="preserve"> ».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lastRenderedPageBreak/>
        <w:tab/>
        <w:t>Dans la troisième phrase, remplacer « à la Ligne directrice de l’OCDE 430</w:t>
      </w:r>
      <w:r w:rsidRPr="00CC7578">
        <w:rPr>
          <w:color w:val="548DD4" w:themeColor="text2" w:themeTint="99"/>
          <w:vertAlign w:val="superscript"/>
          <w:lang w:val="fr-FR"/>
        </w:rPr>
        <w:t xml:space="preserve">7 </w:t>
      </w:r>
      <w:r w:rsidRPr="00CC7578">
        <w:rPr>
          <w:color w:val="548DD4" w:themeColor="text2" w:themeTint="99"/>
          <w:lang w:val="fr-FR"/>
        </w:rPr>
        <w:t>ou 431</w:t>
      </w:r>
      <w:r w:rsidRPr="00CC7578">
        <w:rPr>
          <w:color w:val="548DD4" w:themeColor="text2" w:themeTint="99"/>
          <w:vertAlign w:val="superscript"/>
          <w:lang w:val="fr-FR"/>
        </w:rPr>
        <w:t>8</w:t>
      </w:r>
      <w:r w:rsidRPr="00CC7578">
        <w:rPr>
          <w:color w:val="548DD4" w:themeColor="text2" w:themeTint="99"/>
          <w:lang w:val="fr-FR"/>
        </w:rPr>
        <w:t> » par « </w:t>
      </w:r>
      <w:bookmarkStart w:id="46" w:name="_Hlk2260120"/>
      <w:r w:rsidRPr="00CC7578">
        <w:rPr>
          <w:color w:val="548DD4" w:themeColor="text2" w:themeTint="99"/>
          <w:lang w:val="fr-FR"/>
        </w:rPr>
        <w:t>aux Lignes directrices de l’OCDE</w:t>
      </w:r>
      <w:r w:rsidRPr="00CC7578">
        <w:rPr>
          <w:color w:val="548DD4" w:themeColor="text2" w:themeTint="99"/>
          <w:vertAlign w:val="superscript"/>
          <w:lang w:val="fr-FR"/>
        </w:rPr>
        <w:t>5,6,7,8</w:t>
      </w:r>
      <w:r w:rsidRPr="00CC7578">
        <w:rPr>
          <w:color w:val="548DD4" w:themeColor="text2" w:themeTint="99"/>
          <w:lang w:val="fr-FR"/>
        </w:rPr>
        <w:t> </w:t>
      </w:r>
      <w:bookmarkEnd w:id="46"/>
      <w:r w:rsidRPr="00CC7578">
        <w:rPr>
          <w:color w:val="548DD4" w:themeColor="text2" w:themeTint="99"/>
          <w:lang w:val="fr-FR"/>
        </w:rPr>
        <w:t xml:space="preserve">».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 xml:space="preserve">Supprimer la note de bas de page 8 existante et numéroter la note de bas de page 7 actuelle en tant que note de bas de page 8.  Le deuxième amendement au texte en anglais est sans objet en français.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Insérer la nouvelle note de bas de page 7 pour lire comme suit : « </w:t>
      </w:r>
      <w:bookmarkStart w:id="47" w:name="_Hlk2260170"/>
      <w:r w:rsidRPr="00CC7578">
        <w:rPr>
          <w:color w:val="548DD4" w:themeColor="text2" w:themeTint="99"/>
          <w:vertAlign w:val="superscript"/>
          <w:lang w:val="fr-FR"/>
        </w:rPr>
        <w:t>7</w:t>
      </w:r>
      <w:r w:rsidRPr="00CC7578">
        <w:rPr>
          <w:color w:val="548DD4" w:themeColor="text2" w:themeTint="99"/>
          <w:lang w:val="fr-FR"/>
        </w:rPr>
        <w:t xml:space="preserve"> </w:t>
      </w:r>
      <w:r w:rsidRPr="00CC7578">
        <w:rPr>
          <w:i/>
          <w:iCs/>
          <w:color w:val="548DD4" w:themeColor="text2" w:themeTint="99"/>
          <w:lang w:val="fr-FR"/>
        </w:rPr>
        <w:t>Ligne directrice de l’OCDE pour les essais de produits chimiques n° 431 “Corrosion cutanée in vitro : essai sur modèle de peau humaine”, 2016. </w:t>
      </w:r>
      <w:bookmarkEnd w:id="47"/>
      <w:r w:rsidRPr="00CC7578">
        <w:rPr>
          <w:color w:val="548DD4" w:themeColor="text2" w:themeTint="99"/>
          <w:lang w:val="fr-FR"/>
        </w:rPr>
        <w:t xml:space="preserve">».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ab/>
        <w:t>À la fin du paragraphe, ajouter la nouvelle phrase suivante : « </w:t>
      </w:r>
      <w:bookmarkStart w:id="48" w:name="_Hlk2264116"/>
      <w:r w:rsidRPr="00CC7578">
        <w:rPr>
          <w:color w:val="548DD4" w:themeColor="text2" w:themeTint="99"/>
          <w:lang w:val="fr-FR"/>
        </w:rPr>
        <w:t xml:space="preserve">Lorsque les résultats de l’essai </w:t>
      </w:r>
      <w:r w:rsidRPr="00CC7578">
        <w:rPr>
          <w:i/>
          <w:color w:val="548DD4" w:themeColor="text2" w:themeTint="99"/>
          <w:lang w:val="fr-FR"/>
        </w:rPr>
        <w:t>in vitro</w:t>
      </w:r>
      <w:r w:rsidRPr="00CC7578">
        <w:rPr>
          <w:color w:val="548DD4" w:themeColor="text2" w:themeTint="99"/>
          <w:lang w:val="fr-FR"/>
        </w:rPr>
        <w:t xml:space="preserve"> indiquent que la matière est corrosive et non-affectée au groupe d’emballage I, mais que l’essai ne permet pas d’attribuer les matières soit au groupe II, soit au groupe III, on privilégiera le groupe d’emballage II. </w:t>
      </w:r>
      <w:bookmarkEnd w:id="48"/>
      <w:r w:rsidRPr="00CC7578">
        <w:rPr>
          <w:color w:val="548DD4" w:themeColor="text2" w:themeTint="99"/>
          <w:lang w:val="fr-FR"/>
        </w:rPr>
        <w:t>».</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2.2.8.1.6.3.3</w:t>
      </w:r>
      <w:r w:rsidRPr="00CC7578">
        <w:rPr>
          <w:color w:val="548DD4" w:themeColor="text2" w:themeTint="99"/>
          <w:lang w:val="fr-FR"/>
        </w:rPr>
        <w:tab/>
        <w:t>À la fin, ajouter la nouvelle phrase suivante : « Pour cette méthode de calcul, les limites de concentration génériques s’appliquent lorsque la valeur 1 % est utilisé dans la première étape pour l’évaluation des matières du groupe d’emballage I et puis 5 % est utilisé pour les étapes suivantes. ».</w:t>
      </w:r>
    </w:p>
    <w:p w:rsidR="002F42AA" w:rsidRPr="00C85ADC" w:rsidRDefault="002F42AA" w:rsidP="002F42AA">
      <w:pPr>
        <w:pStyle w:val="SingleTxtG"/>
        <w:tabs>
          <w:tab w:val="left" w:pos="2268"/>
        </w:tabs>
        <w:ind w:left="2259" w:hanging="1125"/>
        <w:rPr>
          <w:szCs w:val="24"/>
          <w:lang w:val="fr-FR"/>
        </w:rPr>
      </w:pPr>
      <w:r w:rsidRPr="00CC7578">
        <w:rPr>
          <w:color w:val="548DD4" w:themeColor="text2" w:themeTint="99"/>
          <w:szCs w:val="24"/>
          <w:lang w:val="fr-FR"/>
        </w:rPr>
        <w:t>2.2.8.1.6.3.4</w:t>
      </w:r>
      <w:r w:rsidRPr="00CC7578">
        <w:rPr>
          <w:color w:val="548DD4" w:themeColor="text2" w:themeTint="99"/>
          <w:szCs w:val="24"/>
          <w:lang w:val="fr-FR"/>
        </w:rPr>
        <w:tab/>
        <w:t>Supprimer la dernière phrase.</w:t>
      </w:r>
    </w:p>
    <w:p w:rsidR="002F42AA" w:rsidRPr="00CC7578" w:rsidRDefault="002F42AA" w:rsidP="002F42AA">
      <w:pPr>
        <w:pStyle w:val="SingleTxtG"/>
        <w:tabs>
          <w:tab w:val="left" w:pos="2268"/>
        </w:tabs>
        <w:ind w:left="2259" w:hanging="1125"/>
        <w:rPr>
          <w:i/>
          <w:iCs/>
          <w:color w:val="548DD4" w:themeColor="text2" w:themeTint="99"/>
          <w:lang w:val="fr-FR"/>
        </w:rPr>
      </w:pPr>
      <w:r w:rsidRPr="00CC7578">
        <w:rPr>
          <w:color w:val="548DD4" w:themeColor="text2" w:themeTint="99"/>
          <w:lang w:val="fr-FR"/>
        </w:rPr>
        <w:t>2.2.9.1.14 Nota</w:t>
      </w:r>
      <w:r w:rsidRPr="00CC7578">
        <w:rPr>
          <w:color w:val="548DD4" w:themeColor="text2" w:themeTint="99"/>
          <w:lang w:val="fr-FR"/>
        </w:rPr>
        <w:tab/>
        <w:t>Dans la note de bas de page 11, supprimer « </w:t>
      </w:r>
      <w:proofErr w:type="gramStart"/>
      <w:r w:rsidRPr="00CC7578">
        <w:rPr>
          <w:color w:val="548DD4" w:themeColor="text2" w:themeTint="99"/>
          <w:lang w:val="fr-FR"/>
        </w:rPr>
        <w:t>utilisé</w:t>
      </w:r>
      <w:proofErr w:type="gramEnd"/>
      <w:r w:rsidRPr="00CC7578">
        <w:rPr>
          <w:color w:val="548DD4" w:themeColor="text2" w:themeTint="99"/>
          <w:lang w:val="fr-FR"/>
        </w:rPr>
        <w:t xml:space="preserve"> en tant qu'agent de réfrigération ».</w:t>
      </w:r>
    </w:p>
    <w:p w:rsidR="002F42AA" w:rsidRPr="00CC7578" w:rsidRDefault="002F42AA" w:rsidP="002F42AA">
      <w:pPr>
        <w:pStyle w:val="SingleTxtG"/>
        <w:tabs>
          <w:tab w:val="left" w:pos="2268"/>
        </w:tabs>
        <w:ind w:left="2259" w:hanging="1125"/>
        <w:rPr>
          <w:color w:val="548DD4" w:themeColor="text2" w:themeTint="99"/>
          <w:lang w:val="fr-FR"/>
        </w:rPr>
      </w:pPr>
      <w:r w:rsidRPr="00CC7578">
        <w:rPr>
          <w:color w:val="548DD4" w:themeColor="text2" w:themeTint="99"/>
          <w:lang w:val="fr-FR"/>
        </w:rPr>
        <w:t>2.2.9.3</w:t>
      </w:r>
      <w:r w:rsidRPr="00CC7578">
        <w:rPr>
          <w:color w:val="548DD4" w:themeColor="text2" w:themeTint="99"/>
          <w:lang w:val="fr-FR"/>
        </w:rPr>
        <w:tab/>
        <w:t>Pour M11 « Autres matières et objets présentant un danger au cours du transport… », après « 3359 ENGIN DE TRANSPORT SOUS FUMIGATION » ajouter « </w:t>
      </w:r>
      <w:bookmarkStart w:id="49" w:name="_Hlk2264231"/>
      <w:r w:rsidRPr="00CC7578">
        <w:rPr>
          <w:color w:val="548DD4" w:themeColor="text2" w:themeTint="99"/>
          <w:lang w:val="fr-FR"/>
        </w:rPr>
        <w:t xml:space="preserve">3363 MARCHANDISES DANGEREUSES CONTENUES DANS DES OBJETS </w:t>
      </w:r>
      <w:proofErr w:type="gramStart"/>
      <w:r w:rsidRPr="00CC7578">
        <w:rPr>
          <w:color w:val="548DD4" w:themeColor="text2" w:themeTint="99"/>
          <w:lang w:val="fr-FR"/>
        </w:rPr>
        <w:t>ou </w:t>
      </w:r>
      <w:bookmarkEnd w:id="49"/>
      <w:r w:rsidRPr="00CC7578">
        <w:rPr>
          <w:color w:val="548DD4" w:themeColor="text2" w:themeTint="99"/>
          <w:lang w:val="fr-FR"/>
        </w:rPr>
        <w:t>»</w:t>
      </w:r>
      <w:proofErr w:type="gramEnd"/>
      <w:r w:rsidRPr="00CC7578">
        <w:rPr>
          <w:color w:val="548DD4" w:themeColor="text2" w:themeTint="99"/>
          <w:lang w:val="fr-FR"/>
        </w:rPr>
        <w:t>.</w:t>
      </w:r>
    </w:p>
    <w:p w:rsidR="002F42AA" w:rsidRPr="00C85ADC" w:rsidRDefault="002F42AA" w:rsidP="002F42AA">
      <w:pPr>
        <w:pStyle w:val="H23G"/>
        <w:rPr>
          <w:lang w:val="fr-FR"/>
        </w:rPr>
      </w:pPr>
      <w:r w:rsidRPr="00C85ADC">
        <w:rPr>
          <w:lang w:val="fr-FR"/>
        </w:rPr>
        <w:tab/>
      </w:r>
      <w:r w:rsidRPr="00C85ADC">
        <w:rPr>
          <w:lang w:val="fr-FR"/>
        </w:rPr>
        <w:tab/>
        <w:t>Chapitre 2.3</w:t>
      </w:r>
    </w:p>
    <w:p w:rsidR="002F42AA" w:rsidRDefault="002F42AA" w:rsidP="002F42AA">
      <w:pPr>
        <w:pStyle w:val="SingleTxtG"/>
        <w:rPr>
          <w:lang w:val="fr-FR"/>
        </w:rPr>
      </w:pPr>
      <w:r w:rsidRPr="00C85ADC">
        <w:rPr>
          <w:lang w:val="fr-FR"/>
        </w:rPr>
        <w:t>2.3.2</w:t>
      </w:r>
      <w:r w:rsidRPr="00C85ADC">
        <w:rPr>
          <w:lang w:val="fr-FR"/>
        </w:rPr>
        <w:tab/>
      </w:r>
      <w:r w:rsidRPr="00C85ADC">
        <w:rPr>
          <w:lang w:val="fr-FR"/>
        </w:rPr>
        <w:tab/>
        <w:t>Dans le titre, remplacer « classe 4.1 » par « classe 1 et classe 4.1 ».</w:t>
      </w:r>
    </w:p>
    <w:p w:rsidR="00CC7578" w:rsidRPr="00C85ADC" w:rsidRDefault="00CC7578" w:rsidP="002F42AA">
      <w:pPr>
        <w:pStyle w:val="SingleTxtG"/>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Pr="00C85ADC" w:rsidRDefault="002F42AA" w:rsidP="002F42AA">
      <w:pPr>
        <w:pStyle w:val="SingleTxtG"/>
        <w:rPr>
          <w:lang w:val="fr-FR"/>
        </w:rPr>
      </w:pPr>
      <w:r w:rsidRPr="00C85ADC">
        <w:rPr>
          <w:lang w:val="fr-FR"/>
        </w:rPr>
        <w:t>2.3.2.1</w:t>
      </w:r>
      <w:r w:rsidRPr="00C85ADC">
        <w:rPr>
          <w:lang w:val="fr-FR"/>
        </w:rPr>
        <w:tab/>
      </w:r>
      <w:r w:rsidRPr="00C85ADC">
        <w:rPr>
          <w:lang w:val="fr-FR"/>
        </w:rPr>
        <w:tab/>
        <w:t>Remplacer le texte actuel du 2.3.2.1 par :</w:t>
      </w:r>
    </w:p>
    <w:p w:rsidR="002F42AA" w:rsidRDefault="002F42AA" w:rsidP="002F42AA">
      <w:pPr>
        <w:pStyle w:val="SingleTxtG"/>
        <w:tabs>
          <w:tab w:val="left" w:pos="2268"/>
        </w:tabs>
        <w:ind w:left="2259" w:hanging="1125"/>
        <w:rPr>
          <w:lang w:val="fr-FR"/>
        </w:rPr>
      </w:pPr>
      <w:r w:rsidRPr="00C85ADC">
        <w:rPr>
          <w:lang w:val="fr-FR"/>
        </w:rPr>
        <w:t>« 2.3.2.1</w:t>
      </w:r>
      <w:r w:rsidRPr="00C85ADC">
        <w:rPr>
          <w:lang w:val="fr-FR"/>
        </w:rPr>
        <w:tab/>
        <w:t>Afin de déterminer les caractéristiques de la nitrocellulose, l’épreuve de Bergmann-Junk ou l’épreuve au violet de méthyle figurant à l’appendice 10 du Manuel d’épreuves et de critères doivent être effectuées (voir dispositions spéciales 393 et 394, chap. 3.3). En cas de doute quant au fait que la température d’inflammation de la nitrocellulose soit nettement supérieure à 132 °C, dans le cas de l’épreuve de Bergmann-Junk, ou supérieure à 134,5 °C, dans le cas de l’épreuve au violet de méthyle, il convient de soumettre, au préalable, la matière à l’épreuve visant à déterminer la température d’inflammation spontanée décrite au 2.3.2.5. Si la température d’inflammation est supérieure à 180 °C pour les mélanges de nitrocellulose ou à 170 °C pour la nitrocellulose plastifiée, l’épreuve de Bergmann-Junk ou l’épreuve violet de méthyle peuvent être effectuées en toute sécurité. ».</w:t>
      </w:r>
    </w:p>
    <w:p w:rsidR="00CC7578" w:rsidRPr="00C85ADC" w:rsidRDefault="00CC7578" w:rsidP="002F42AA">
      <w:pPr>
        <w:pStyle w:val="SingleTxtG"/>
        <w:tabs>
          <w:tab w:val="left" w:pos="2268"/>
        </w:tabs>
        <w:ind w:left="2259" w:hanging="1125"/>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rPr>
          <w:lang w:val="fr-FR"/>
        </w:rPr>
      </w:pPr>
      <w:r w:rsidRPr="00C85ADC">
        <w:rPr>
          <w:lang w:val="fr-FR"/>
        </w:rPr>
        <w:t>2.3.2.2</w:t>
      </w:r>
      <w:r w:rsidRPr="00C85ADC">
        <w:rPr>
          <w:lang w:val="fr-FR"/>
        </w:rPr>
        <w:tab/>
      </w:r>
      <w:r w:rsidRPr="00C85ADC">
        <w:rPr>
          <w:lang w:val="fr-FR"/>
        </w:rPr>
        <w:tab/>
        <w:t>Supprimer.</w:t>
      </w:r>
    </w:p>
    <w:p w:rsidR="00CC7578" w:rsidRPr="00C85ADC" w:rsidRDefault="00CC7578" w:rsidP="002F42AA">
      <w:pPr>
        <w:pStyle w:val="SingleTxtG"/>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D4F04">
      <w:pPr>
        <w:pStyle w:val="SingleTxtG"/>
        <w:pageBreakBefore/>
        <w:rPr>
          <w:lang w:val="fr-FR"/>
        </w:rPr>
      </w:pPr>
      <w:r w:rsidRPr="00C85ADC">
        <w:rPr>
          <w:lang w:val="fr-FR"/>
        </w:rPr>
        <w:lastRenderedPageBreak/>
        <w:t>2.3.2.3</w:t>
      </w:r>
      <w:r w:rsidRPr="00C85ADC">
        <w:rPr>
          <w:lang w:val="fr-FR"/>
        </w:rPr>
        <w:tab/>
      </w:r>
      <w:r w:rsidRPr="00C85ADC">
        <w:rPr>
          <w:lang w:val="fr-FR"/>
        </w:rPr>
        <w:tab/>
        <w:t>Supprimer.</w:t>
      </w:r>
    </w:p>
    <w:p w:rsidR="00CC7578" w:rsidRPr="00C85ADC" w:rsidRDefault="00CC7578" w:rsidP="002F42AA">
      <w:pPr>
        <w:pStyle w:val="SingleTxtG"/>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rPr>
          <w:lang w:val="fr-FR"/>
        </w:rPr>
      </w:pPr>
      <w:r w:rsidRPr="00C85ADC">
        <w:rPr>
          <w:lang w:val="fr-FR"/>
        </w:rPr>
        <w:t>2.3.2.4</w:t>
      </w:r>
      <w:r w:rsidRPr="00C85ADC">
        <w:rPr>
          <w:lang w:val="fr-FR"/>
        </w:rPr>
        <w:tab/>
      </w:r>
      <w:r w:rsidRPr="00C85ADC">
        <w:rPr>
          <w:lang w:val="fr-FR"/>
        </w:rPr>
        <w:tab/>
        <w:t>Supprimer.</w:t>
      </w:r>
    </w:p>
    <w:p w:rsidR="00CC7578" w:rsidRPr="00C85ADC" w:rsidRDefault="00CC7578" w:rsidP="002F42AA">
      <w:pPr>
        <w:pStyle w:val="SingleTxtG"/>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rPr>
          <w:lang w:val="fr-FR"/>
        </w:rPr>
      </w:pPr>
      <w:r w:rsidRPr="00C85ADC">
        <w:rPr>
          <w:lang w:val="fr-FR"/>
        </w:rPr>
        <w:t>2.3.2.5</w:t>
      </w:r>
      <w:r w:rsidRPr="00C85ADC">
        <w:rPr>
          <w:lang w:val="fr-FR"/>
        </w:rPr>
        <w:tab/>
      </w:r>
      <w:r w:rsidRPr="00C85ADC">
        <w:rPr>
          <w:lang w:val="fr-FR"/>
        </w:rPr>
        <w:tab/>
        <w:t>Supprimer.</w:t>
      </w:r>
    </w:p>
    <w:p w:rsidR="00CC7578" w:rsidRPr="00C85ADC" w:rsidRDefault="00CC7578" w:rsidP="002F42AA">
      <w:pPr>
        <w:pStyle w:val="SingleTxtG"/>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tabs>
          <w:tab w:val="left" w:pos="2268"/>
        </w:tabs>
        <w:ind w:left="2259" w:hanging="1125"/>
        <w:rPr>
          <w:lang w:val="fr-FR"/>
        </w:rPr>
      </w:pPr>
      <w:r w:rsidRPr="00C85ADC">
        <w:rPr>
          <w:lang w:val="fr-FR"/>
        </w:rPr>
        <w:t>2.3.2.6</w:t>
      </w:r>
      <w:r w:rsidRPr="00C85ADC">
        <w:rPr>
          <w:lang w:val="fr-FR"/>
        </w:rPr>
        <w:tab/>
        <w:t>Le 2.3.2.6 devient le 2.3.2.2. Dans le texte, remplacer « 2.3.2.9 et 2.3.2.10 » par « 2.3.2.5 ».</w:t>
      </w:r>
    </w:p>
    <w:p w:rsidR="00CC7578" w:rsidRPr="00C85ADC" w:rsidRDefault="00CC7578" w:rsidP="002F42AA">
      <w:pPr>
        <w:pStyle w:val="SingleTxtG"/>
        <w:tabs>
          <w:tab w:val="left" w:pos="2268"/>
        </w:tabs>
        <w:ind w:left="2259" w:hanging="1125"/>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tabs>
          <w:tab w:val="left" w:pos="2268"/>
        </w:tabs>
        <w:ind w:left="2259" w:hanging="1125"/>
        <w:rPr>
          <w:lang w:val="fr-FR"/>
        </w:rPr>
      </w:pPr>
      <w:r w:rsidRPr="00C85ADC">
        <w:rPr>
          <w:lang w:val="fr-FR"/>
        </w:rPr>
        <w:t>2.3.2.7</w:t>
      </w:r>
      <w:r w:rsidRPr="00C85ADC">
        <w:rPr>
          <w:lang w:val="fr-FR"/>
        </w:rPr>
        <w:tab/>
        <w:t>Le 2.3.2.7 devient le 2.3.2.3. Remplacer « Avant d’être séchées dans les conditions indiquées au 2.3.2.6 ci-dessus, les matières conformes au 2.3.2.2 ci-dessus sont [...] » par « Avant d’être séchée dans les conditions indiquées au 2.3.2.2 ci-dessus, la nitrocellulose plastifiée est [...] ».</w:t>
      </w:r>
    </w:p>
    <w:p w:rsidR="00CC7578" w:rsidRPr="00C85ADC" w:rsidRDefault="00CC7578" w:rsidP="002F42AA">
      <w:pPr>
        <w:pStyle w:val="SingleTxtG"/>
        <w:tabs>
          <w:tab w:val="left" w:pos="2268"/>
        </w:tabs>
        <w:ind w:left="2259" w:hanging="1125"/>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tabs>
          <w:tab w:val="left" w:pos="2268"/>
        </w:tabs>
        <w:ind w:left="2259" w:hanging="1125"/>
        <w:rPr>
          <w:lang w:val="fr-FR"/>
        </w:rPr>
      </w:pPr>
      <w:r w:rsidRPr="00C85ADC">
        <w:rPr>
          <w:lang w:val="fr-FR"/>
        </w:rPr>
        <w:t>2.3.2.8</w:t>
      </w:r>
      <w:r w:rsidRPr="00C85ADC">
        <w:rPr>
          <w:lang w:val="fr-FR"/>
        </w:rPr>
        <w:tab/>
        <w:t>Le 2.3.2.8 devient le 2.3.2.4. Remplacer « La nitrocellulose faiblement nitrée conforme au 2.3.2.1 ci-dessus, subit d’abord un séchage préalable dans les conditions indiquées au 2.3.2.7 ci-dessus ; » par « La nitrocellulose faiblement nitrée subit d’abord un séchage préalable dans les conditions indiquées au 23.2.3 ci-dessus ».</w:t>
      </w:r>
    </w:p>
    <w:p w:rsidR="00CC7578" w:rsidRPr="00C85ADC" w:rsidRDefault="00CC7578" w:rsidP="002F42AA">
      <w:pPr>
        <w:pStyle w:val="SingleTxtG"/>
        <w:tabs>
          <w:tab w:val="left" w:pos="2268"/>
        </w:tabs>
        <w:ind w:left="2259" w:hanging="1125"/>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rPr>
          <w:lang w:val="fr-FR"/>
        </w:rPr>
      </w:pPr>
      <w:r w:rsidRPr="00C85ADC">
        <w:rPr>
          <w:lang w:val="fr-FR"/>
        </w:rPr>
        <w:t>2.3.2.9</w:t>
      </w:r>
      <w:r w:rsidRPr="00C85ADC">
        <w:rPr>
          <w:lang w:val="fr-FR"/>
        </w:rPr>
        <w:tab/>
      </w:r>
      <w:r w:rsidRPr="00C85ADC">
        <w:rPr>
          <w:lang w:val="fr-FR"/>
        </w:rPr>
        <w:tab/>
        <w:t>Supprimer.</w:t>
      </w:r>
    </w:p>
    <w:p w:rsidR="00CC7578" w:rsidRPr="00C85ADC" w:rsidRDefault="00CC7578" w:rsidP="002F42AA">
      <w:pPr>
        <w:pStyle w:val="SingleTxtG"/>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Default="002F42AA" w:rsidP="002F42AA">
      <w:pPr>
        <w:pStyle w:val="SingleTxtG"/>
        <w:rPr>
          <w:lang w:val="fr-FR"/>
        </w:rPr>
      </w:pPr>
      <w:r w:rsidRPr="00C85ADC">
        <w:rPr>
          <w:lang w:val="fr-FR"/>
        </w:rPr>
        <w:t>2.3.2.10</w:t>
      </w:r>
      <w:r w:rsidRPr="00C85ADC">
        <w:rPr>
          <w:lang w:val="fr-FR"/>
        </w:rPr>
        <w:tab/>
        <w:t>Le 2.3.2.10 devient le 2.3.2.5.</w:t>
      </w:r>
    </w:p>
    <w:p w:rsidR="00CC7578" w:rsidRPr="00C85ADC" w:rsidRDefault="00CC7578" w:rsidP="002F42AA">
      <w:pPr>
        <w:pStyle w:val="SingleTxtG"/>
        <w:rPr>
          <w:lang w:val="fr-FR"/>
        </w:rPr>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2F42AA" w:rsidRPr="00C85ADC" w:rsidRDefault="002F42AA" w:rsidP="002F42AA">
      <w:pPr>
        <w:pStyle w:val="H1G"/>
        <w:rPr>
          <w:lang w:val="fr-FR"/>
        </w:rPr>
      </w:pPr>
      <w:r w:rsidRPr="00C85ADC">
        <w:rPr>
          <w:lang w:val="fr-FR"/>
        </w:rPr>
        <w:tab/>
      </w:r>
      <w:r w:rsidRPr="00C85ADC">
        <w:rPr>
          <w:lang w:val="fr-FR"/>
        </w:rPr>
        <w:tab/>
        <w:t>Chapitre 3.1</w:t>
      </w:r>
    </w:p>
    <w:p w:rsidR="002F42AA" w:rsidRPr="001E23A0" w:rsidRDefault="002F42AA" w:rsidP="002F42AA">
      <w:pPr>
        <w:pStyle w:val="SingleTxtG"/>
        <w:ind w:left="2259" w:hanging="1125"/>
        <w:rPr>
          <w:color w:val="548DD4" w:themeColor="text2" w:themeTint="99"/>
        </w:rPr>
      </w:pPr>
      <w:r w:rsidRPr="001E23A0">
        <w:rPr>
          <w:color w:val="548DD4" w:themeColor="text2" w:themeTint="99"/>
        </w:rPr>
        <w:t>3.1.2.8.1</w:t>
      </w:r>
      <w:r w:rsidRPr="001E23A0">
        <w:rPr>
          <w:color w:val="548DD4" w:themeColor="text2" w:themeTint="99"/>
        </w:rPr>
        <w:tab/>
        <w:t>Renuméroter le 3.1.2.8.1.4 existant comme 3.1.2.8.1.5.</w:t>
      </w:r>
    </w:p>
    <w:p w:rsidR="002F42AA" w:rsidRPr="001E23A0" w:rsidRDefault="002F42AA" w:rsidP="002F42AA">
      <w:pPr>
        <w:pStyle w:val="SingleTxtG"/>
        <w:tabs>
          <w:tab w:val="left" w:pos="2268"/>
        </w:tabs>
        <w:ind w:left="2259" w:hanging="1125"/>
        <w:rPr>
          <w:color w:val="548DD4" w:themeColor="text2" w:themeTint="99"/>
          <w:lang w:val="fr-FR"/>
        </w:rPr>
      </w:pPr>
      <w:r w:rsidRPr="001E23A0">
        <w:rPr>
          <w:color w:val="548DD4" w:themeColor="text2" w:themeTint="99"/>
          <w:lang w:val="fr-FR"/>
        </w:rPr>
        <w:t>3.1.2.8.1.4</w:t>
      </w:r>
      <w:r w:rsidRPr="001E23A0">
        <w:rPr>
          <w:color w:val="548DD4" w:themeColor="text2" w:themeTint="99"/>
          <w:lang w:val="fr-FR"/>
        </w:rPr>
        <w:tab/>
        <w:t>Ajouter le nouveau paragraphe 3.1.2.8.1.4 suivant :</w:t>
      </w:r>
    </w:p>
    <w:p w:rsidR="002F42AA" w:rsidRPr="001E23A0" w:rsidRDefault="002F42AA" w:rsidP="002F42AA">
      <w:pPr>
        <w:pStyle w:val="SingleTxtG"/>
        <w:tabs>
          <w:tab w:val="left" w:pos="2268"/>
        </w:tabs>
        <w:ind w:left="2259" w:hanging="1125"/>
        <w:rPr>
          <w:color w:val="548DD4" w:themeColor="text2" w:themeTint="99"/>
          <w:lang w:val="fr-FR"/>
        </w:rPr>
      </w:pPr>
      <w:r w:rsidRPr="001E23A0">
        <w:rPr>
          <w:color w:val="548DD4" w:themeColor="text2" w:themeTint="99"/>
          <w:lang w:val="fr-FR"/>
        </w:rPr>
        <w:t>« 3.1.2.8.1.4</w:t>
      </w:r>
      <w:r w:rsidRPr="001E23A0">
        <w:rPr>
          <w:color w:val="548DD4" w:themeColor="text2" w:themeTint="99"/>
          <w:lang w:val="fr-FR"/>
        </w:rPr>
        <w:tab/>
        <w:t xml:space="preserve">Pour les Nos ONU 3077 et 3082 seulement, le nom technique peut être un nom figurant en lettres majuscules dans la colonne 2 du tableau A du chapitre 3.2, sous réserve que ce nom ne contienne pas « N.S.A. » et que la disposition spéciale 274 ne soit pas attribuée. Le nom qui décrit au mieux la substance ou le mélange doit être utilisé, par exemple : </w:t>
      </w:r>
    </w:p>
    <w:p w:rsidR="002F42AA" w:rsidRPr="001E23A0" w:rsidRDefault="002F42AA" w:rsidP="002F42AA">
      <w:pPr>
        <w:pStyle w:val="SingleTxtG"/>
        <w:tabs>
          <w:tab w:val="left" w:pos="2268"/>
        </w:tabs>
        <w:ind w:left="2259" w:hanging="1125"/>
        <w:rPr>
          <w:color w:val="548DD4" w:themeColor="text2" w:themeTint="99"/>
          <w:lang w:val="fr-FR"/>
        </w:rPr>
      </w:pPr>
      <w:r w:rsidRPr="001E23A0">
        <w:rPr>
          <w:color w:val="548DD4" w:themeColor="text2" w:themeTint="99"/>
          <w:lang w:val="fr-FR"/>
        </w:rPr>
        <w:tab/>
        <w:t>UN 3082, MATIÈRE DANGEREUSE DU POINT DE VUE DE L’ENVIRONNEMENT, LIQUIDE, N.S.A (PEINTURE)</w:t>
      </w:r>
    </w:p>
    <w:p w:rsidR="002F42AA" w:rsidRPr="00C85ADC" w:rsidRDefault="002F42AA" w:rsidP="002F42AA">
      <w:pPr>
        <w:pStyle w:val="SingleTxtG"/>
        <w:tabs>
          <w:tab w:val="left" w:pos="2268"/>
        </w:tabs>
        <w:ind w:left="2259" w:hanging="1125"/>
        <w:rPr>
          <w:lang w:val="fr-FR"/>
        </w:rPr>
      </w:pPr>
      <w:r w:rsidRPr="001E23A0">
        <w:rPr>
          <w:color w:val="548DD4" w:themeColor="text2" w:themeTint="99"/>
          <w:lang w:val="fr-FR"/>
        </w:rPr>
        <w:tab/>
        <w:t>UN 3082, MATIÈRE DANGEREUSE DU POINT DE VUE DE L’ENVIRONNEMENT, LIQUIDE, N.S.A (PRODUITS DE PARFUMERIE) ».</w:t>
      </w:r>
    </w:p>
    <w:p w:rsidR="002F42AA" w:rsidRPr="00C85ADC" w:rsidRDefault="002F42AA" w:rsidP="002F42AA">
      <w:pPr>
        <w:pStyle w:val="H1G"/>
        <w:rPr>
          <w:lang w:val="fr-FR"/>
        </w:rPr>
      </w:pPr>
      <w:r w:rsidRPr="00C85ADC">
        <w:rPr>
          <w:lang w:val="fr-FR"/>
        </w:rPr>
        <w:lastRenderedPageBreak/>
        <w:tab/>
      </w:r>
      <w:r w:rsidRPr="00C85ADC">
        <w:rPr>
          <w:lang w:val="fr-FR"/>
        </w:rPr>
        <w:tab/>
        <w:t>Chapitre 3.2</w:t>
      </w:r>
      <w:r w:rsidRPr="00C85ADC">
        <w:rPr>
          <w:iCs/>
          <w:lang w:val="fr-FR"/>
        </w:rPr>
        <w:t>, tableau A</w:t>
      </w:r>
    </w:p>
    <w:p w:rsidR="001E23A0" w:rsidRPr="001E23A0" w:rsidRDefault="001E23A0" w:rsidP="001E23A0">
      <w:pPr>
        <w:pStyle w:val="SingleTxtG"/>
        <w:spacing w:before="120"/>
        <w:rPr>
          <w:color w:val="548DD4" w:themeColor="text2" w:themeTint="99"/>
          <w:lang w:val="fr-FR"/>
        </w:rPr>
      </w:pPr>
      <w:r w:rsidRPr="001E23A0">
        <w:rPr>
          <w:color w:val="548DD4" w:themeColor="text2" w:themeTint="99"/>
          <w:lang w:val="fr-FR"/>
        </w:rPr>
        <w:t>Pour les Nos ONU 0340, 0341, 0342 et 0343, insérer « 393 » dans la colonne (6).</w:t>
      </w:r>
    </w:p>
    <w:p w:rsidR="001E23A0" w:rsidRPr="001E23A0" w:rsidRDefault="001E23A0" w:rsidP="001E23A0">
      <w:pPr>
        <w:pStyle w:val="SingleTxtG"/>
        <w:rPr>
          <w:color w:val="548DD4" w:themeColor="text2" w:themeTint="99"/>
          <w:lang w:val="fr-FR"/>
        </w:rPr>
      </w:pPr>
      <w:r w:rsidRPr="001E23A0">
        <w:rPr>
          <w:color w:val="548DD4" w:themeColor="text2" w:themeTint="99"/>
          <w:lang w:val="fr-FR"/>
        </w:rPr>
        <w:t>Pour les Nos ONU 1002, 1006, 1013, 1046, 1056, 1058, 1065, 1066, 1080, 1952, 1956, 2036, 3070, 3163, 3297, 3298 et 3299, remplacer « 660 » par « 392 » dans la colonne (6).</w:t>
      </w:r>
    </w:p>
    <w:p w:rsidR="001E23A0" w:rsidRPr="001E23A0" w:rsidRDefault="001E23A0" w:rsidP="001E23A0">
      <w:pPr>
        <w:pStyle w:val="SingleTxtG"/>
        <w:rPr>
          <w:lang w:val="fr-FR"/>
        </w:rPr>
      </w:pPr>
      <w:r w:rsidRPr="001E23A0">
        <w:rPr>
          <w:lang w:val="fr-FR"/>
        </w:rPr>
        <w:t xml:space="preserve">Pour le </w:t>
      </w:r>
      <w:r w:rsidRPr="001E23A0">
        <w:rPr>
          <w:bCs/>
          <w:lang w:val="fr-FR"/>
        </w:rPr>
        <w:t>No ONU 1010, m</w:t>
      </w:r>
      <w:r w:rsidRPr="001E23A0">
        <w:rPr>
          <w:lang w:val="fr-FR"/>
        </w:rPr>
        <w:t>odifier le nom et la description en colonne (2) pour lire comme suit : « BUTADIÈNES STABILISÉS ou BUTADIÈNES ET HYDROCARBURES EN MÉLANGE STABILISÉ, contenant plus de 40 % de butadiènes ».</w:t>
      </w:r>
    </w:p>
    <w:p w:rsidR="001E23A0" w:rsidRPr="001E23A0" w:rsidRDefault="001E23A0" w:rsidP="001E23A0">
      <w:pPr>
        <w:pStyle w:val="SingleTxtG"/>
        <w:rPr>
          <w:i/>
          <w:iCs/>
          <w:lang w:val="fr-FR"/>
        </w:rPr>
      </w:pPr>
      <w:r w:rsidRPr="001E23A0">
        <w:rPr>
          <w:i/>
          <w:iCs/>
          <w:lang w:val="fr-FR"/>
        </w:rPr>
        <w:t xml:space="preserve">(Document de référence : </w:t>
      </w:r>
      <w:r w:rsidRPr="001E23A0">
        <w:rPr>
          <w:i/>
          <w:iCs/>
        </w:rPr>
        <w:t xml:space="preserve">ECE/TRANS/WP.15/AC.1/154, </w:t>
      </w:r>
      <w:r w:rsidR="00C35261">
        <w:rPr>
          <w:i/>
          <w:iCs/>
        </w:rPr>
        <w:t>annexe</w:t>
      </w:r>
      <w:r w:rsidRPr="001E23A0">
        <w:rPr>
          <w:i/>
          <w:iCs/>
        </w:rPr>
        <w:t xml:space="preserve"> II</w:t>
      </w:r>
      <w:r w:rsidRPr="001E23A0">
        <w:rPr>
          <w:i/>
          <w:iCs/>
          <w:lang w:val="fr-FR"/>
        </w:rPr>
        <w:t>)</w:t>
      </w:r>
    </w:p>
    <w:p w:rsidR="002F42AA" w:rsidRPr="001E23A0" w:rsidRDefault="002F42AA" w:rsidP="002F42AA">
      <w:pPr>
        <w:pStyle w:val="SingleTxtG"/>
        <w:tabs>
          <w:tab w:val="left" w:pos="2268"/>
        </w:tabs>
        <w:rPr>
          <w:color w:val="548DD4" w:themeColor="text2" w:themeTint="99"/>
          <w:lang w:val="fr-FR"/>
        </w:rPr>
      </w:pPr>
      <w:r w:rsidRPr="001E23A0">
        <w:rPr>
          <w:color w:val="548DD4" w:themeColor="text2" w:themeTint="99"/>
          <w:lang w:val="fr-FR"/>
        </w:rPr>
        <w:t>Pour le No ONU 2037, toutes les rubriques</w:t>
      </w:r>
      <w:r w:rsidRPr="001E23A0">
        <w:rPr>
          <w:color w:val="548DD4" w:themeColor="text2" w:themeTint="99"/>
          <w:lang w:val="fr-FR"/>
        </w:rPr>
        <w:tab/>
        <w:t xml:space="preserve">Dans la colonne (6), insérer « 327 ». </w:t>
      </w:r>
    </w:p>
    <w:p w:rsidR="002F42AA" w:rsidRPr="00706F7C" w:rsidRDefault="002F42AA" w:rsidP="002F42AA">
      <w:pPr>
        <w:pStyle w:val="SingleTxtG"/>
        <w:rPr>
          <w:iCs/>
        </w:rPr>
      </w:pPr>
      <w:bookmarkStart w:id="50" w:name="_Hlk19638085"/>
      <w:r w:rsidRPr="00706F7C">
        <w:rPr>
          <w:lang w:val="fr-FR"/>
        </w:rPr>
        <w:t>Pour les Nos ONU 2211 et 3314, insérer « 675 » dans la colonne (6).</w:t>
      </w:r>
    </w:p>
    <w:p w:rsidR="002F42AA" w:rsidRPr="00706F7C" w:rsidRDefault="002F42AA" w:rsidP="002F42AA">
      <w:pPr>
        <w:pStyle w:val="SingleTxtG"/>
        <w:rPr>
          <w:i/>
          <w:iCs/>
        </w:rPr>
      </w:pPr>
      <w:r w:rsidRPr="00706F7C">
        <w:rPr>
          <w:i/>
          <w:lang w:val="fr-FR"/>
        </w:rPr>
        <w:t xml:space="preserve">(Document de référence : </w:t>
      </w:r>
      <w:r w:rsidR="00706F7C" w:rsidRPr="00706F7C">
        <w:rPr>
          <w:i/>
          <w:iCs/>
        </w:rPr>
        <w:t>ECE/TRANS/WP.15/AC.1/152, annex</w:t>
      </w:r>
      <w:r w:rsidR="00C35261">
        <w:rPr>
          <w:i/>
          <w:iCs/>
        </w:rPr>
        <w:t>e</w:t>
      </w:r>
      <w:r w:rsidR="00706F7C" w:rsidRPr="00706F7C">
        <w:rPr>
          <w:i/>
          <w:iCs/>
        </w:rPr>
        <w:t xml:space="preserve"> II</w:t>
      </w:r>
      <w:r w:rsidRPr="00706F7C">
        <w:rPr>
          <w:i/>
          <w:lang w:val="fr-FR"/>
        </w:rPr>
        <w:t>)</w:t>
      </w:r>
    </w:p>
    <w:p w:rsidR="002F42AA" w:rsidRPr="00706F7C" w:rsidRDefault="002F42AA" w:rsidP="002F42AA">
      <w:pPr>
        <w:pStyle w:val="SingleTxtG"/>
        <w:rPr>
          <w:color w:val="548DD4" w:themeColor="text2" w:themeTint="99"/>
          <w:lang w:val="fr-FR"/>
        </w:rPr>
      </w:pPr>
      <w:r w:rsidRPr="00706F7C">
        <w:rPr>
          <w:color w:val="548DD4" w:themeColor="text2" w:themeTint="99"/>
          <w:lang w:val="fr-FR"/>
        </w:rPr>
        <w:t xml:space="preserve">Pour le No ONU 2383, dans la colonne (6), supprimer « 386 ». </w:t>
      </w:r>
      <w:bookmarkStart w:id="51" w:name="_Hlk19638171"/>
      <w:bookmarkEnd w:id="50"/>
    </w:p>
    <w:p w:rsidR="002F42AA" w:rsidRPr="00706F7C" w:rsidRDefault="002F42AA" w:rsidP="002F42AA">
      <w:pPr>
        <w:pStyle w:val="SingleTxtG"/>
        <w:rPr>
          <w:color w:val="548DD4" w:themeColor="text2" w:themeTint="99"/>
          <w:lang w:val="fr-FR"/>
        </w:rPr>
      </w:pPr>
      <w:r w:rsidRPr="00706F7C">
        <w:rPr>
          <w:color w:val="548DD4" w:themeColor="text2" w:themeTint="99"/>
          <w:lang w:val="fr-FR"/>
        </w:rPr>
        <w:t xml:space="preserve">Pour le No ONU 2522, dans la colonne (2), ajouter « STABILISÉ » à la fin de la désignation et, dans la colonne (6), ajouter « 386 ». </w:t>
      </w:r>
    </w:p>
    <w:bookmarkEnd w:id="51"/>
    <w:p w:rsidR="002F42AA" w:rsidRPr="00706F7C" w:rsidRDefault="002F42AA" w:rsidP="002F42AA">
      <w:pPr>
        <w:spacing w:before="120" w:after="120" w:line="240" w:lineRule="auto"/>
        <w:ind w:left="1134" w:right="1134"/>
        <w:jc w:val="both"/>
        <w:rPr>
          <w:color w:val="548DD4" w:themeColor="text2" w:themeTint="99"/>
          <w:lang w:val="fr-FR"/>
        </w:rPr>
      </w:pPr>
      <w:r w:rsidRPr="00706F7C">
        <w:rPr>
          <w:color w:val="548DD4" w:themeColor="text2" w:themeTint="99"/>
          <w:lang w:val="fr-FR"/>
        </w:rPr>
        <w:t>Pour les Nos ONU 2555, 2556, 2557 et 3380, insérer « 394 » dans la colonne (6).</w:t>
      </w:r>
    </w:p>
    <w:p w:rsidR="002F42AA" w:rsidRDefault="002F42AA" w:rsidP="002F42AA">
      <w:pPr>
        <w:pStyle w:val="SingleTxtG"/>
        <w:rPr>
          <w:lang w:val="fr-FR"/>
        </w:rPr>
      </w:pPr>
      <w:bookmarkStart w:id="52" w:name="_Hlk19638235"/>
      <w:r w:rsidRPr="00C85ADC">
        <w:rPr>
          <w:lang w:val="fr-FR"/>
        </w:rPr>
        <w:t>Pour le No ONU 2913, remplacer « (SCO-I ou SCO-II) » par « (SCO-I, SCO-II ou SCO-III) » dans la colonne (2).</w:t>
      </w:r>
    </w:p>
    <w:p w:rsidR="00706F7C" w:rsidRDefault="00706F7C" w:rsidP="00706F7C">
      <w:pPr>
        <w:pStyle w:val="SingleTxtG"/>
        <w:ind w:left="2259" w:hanging="1125"/>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bookmarkEnd w:id="52"/>
    <w:p w:rsidR="002F42AA" w:rsidRPr="0020480B" w:rsidRDefault="002F42AA" w:rsidP="002F42AA">
      <w:pPr>
        <w:pStyle w:val="SingleTxtG"/>
        <w:rPr>
          <w:color w:val="548DD4" w:themeColor="text2" w:themeTint="99"/>
          <w:lang w:val="fr-FR"/>
        </w:rPr>
      </w:pPr>
      <w:r w:rsidRPr="0020480B">
        <w:rPr>
          <w:color w:val="548DD4" w:themeColor="text2" w:themeTint="99"/>
          <w:lang w:val="fr-FR"/>
        </w:rPr>
        <w:t>Pour les Nos ONU 3091 et 3481, insérer « 390 » dans la colonne (6).</w:t>
      </w:r>
    </w:p>
    <w:p w:rsidR="002F42AA" w:rsidRPr="0020480B" w:rsidRDefault="002F42AA" w:rsidP="002F42AA">
      <w:pPr>
        <w:pStyle w:val="SingleTxtG"/>
        <w:rPr>
          <w:color w:val="548DD4" w:themeColor="text2" w:themeTint="99"/>
          <w:lang w:val="fr-FR"/>
        </w:rPr>
      </w:pPr>
      <w:r w:rsidRPr="0020480B">
        <w:rPr>
          <w:color w:val="548DD4" w:themeColor="text2" w:themeTint="99"/>
          <w:szCs w:val="24"/>
          <w:lang w:val="fr-FR"/>
        </w:rPr>
        <w:t>L’amendement à la version anglaise pour le No ONU 3325 est sans objet en français.</w:t>
      </w:r>
    </w:p>
    <w:p w:rsidR="002F42AA" w:rsidRPr="0020480B" w:rsidRDefault="002F42AA" w:rsidP="002F42AA">
      <w:pPr>
        <w:pStyle w:val="SingleTxtG"/>
        <w:rPr>
          <w:color w:val="548DD4" w:themeColor="text2" w:themeTint="99"/>
          <w:lang w:val="fr-FR"/>
        </w:rPr>
      </w:pPr>
      <w:r w:rsidRPr="0020480B">
        <w:rPr>
          <w:color w:val="548DD4" w:themeColor="text2" w:themeTint="99"/>
          <w:lang w:val="fr-FR"/>
        </w:rPr>
        <w:t>Pour le No ONU 3291, dans la colonne (4), supprimer « II » (deux fois).</w:t>
      </w:r>
    </w:p>
    <w:p w:rsidR="002F42AA" w:rsidRPr="0020480B" w:rsidRDefault="002F42AA" w:rsidP="002F42AA">
      <w:pPr>
        <w:pStyle w:val="SingleTxtG"/>
        <w:rPr>
          <w:color w:val="548DD4" w:themeColor="text2" w:themeTint="99"/>
          <w:lang w:val="fr-FR"/>
        </w:rPr>
      </w:pPr>
      <w:r w:rsidRPr="0020480B">
        <w:rPr>
          <w:color w:val="548DD4" w:themeColor="text2" w:themeTint="99"/>
          <w:lang w:val="fr-FR"/>
        </w:rPr>
        <w:t xml:space="preserve">Pour le No ONU 3363, dans la colonne (2), au début de la désignation, ajouter « MARCHANDISES DANGEREUSES CONTENUES DANS DES OBJETS </w:t>
      </w:r>
      <w:proofErr w:type="gramStart"/>
      <w:r w:rsidRPr="0020480B">
        <w:rPr>
          <w:color w:val="548DD4" w:themeColor="text2" w:themeTint="99"/>
          <w:lang w:val="fr-FR"/>
        </w:rPr>
        <w:t>ou »</w:t>
      </w:r>
      <w:proofErr w:type="gramEnd"/>
      <w:r w:rsidRPr="0020480B">
        <w:rPr>
          <w:color w:val="548DD4" w:themeColor="text2" w:themeTint="99"/>
          <w:lang w:val="fr-FR"/>
        </w:rPr>
        <w:t>.</w:t>
      </w:r>
    </w:p>
    <w:p w:rsidR="002F42AA" w:rsidRPr="0020480B" w:rsidRDefault="002F42AA" w:rsidP="002F42AA">
      <w:pPr>
        <w:pStyle w:val="SingleTxtG"/>
        <w:rPr>
          <w:lang w:val="fr-FR"/>
        </w:rPr>
      </w:pPr>
      <w:r w:rsidRPr="0020480B">
        <w:rPr>
          <w:lang w:val="fr-FR"/>
        </w:rPr>
        <w:t>Pour les Nos ONU 3537 à 3548, supprimer « 667 » en colonne (6).</w:t>
      </w:r>
    </w:p>
    <w:p w:rsidR="002F42AA" w:rsidRPr="0020480B" w:rsidRDefault="002F42AA" w:rsidP="002F42AA">
      <w:pPr>
        <w:pStyle w:val="SingleTxtG"/>
        <w:rPr>
          <w:i/>
          <w:iCs/>
          <w:lang w:val="fr-FR"/>
        </w:rPr>
      </w:pPr>
      <w:r w:rsidRPr="0020480B">
        <w:rPr>
          <w:i/>
          <w:iCs/>
          <w:lang w:val="fr-FR"/>
        </w:rPr>
        <w:t xml:space="preserve">(Document de référence : </w:t>
      </w:r>
      <w:r w:rsidR="0020480B" w:rsidRPr="00B81435">
        <w:rPr>
          <w:i/>
          <w:iCs/>
        </w:rPr>
        <w:t xml:space="preserve">ECE/TRANS/WP.15/AC.1/154, </w:t>
      </w:r>
      <w:r w:rsidR="00C35261">
        <w:rPr>
          <w:i/>
          <w:iCs/>
        </w:rPr>
        <w:t>annexe</w:t>
      </w:r>
      <w:r w:rsidR="0020480B" w:rsidRPr="00B81435">
        <w:rPr>
          <w:i/>
          <w:iCs/>
        </w:rPr>
        <w:t xml:space="preserve"> II</w:t>
      </w:r>
      <w:r w:rsidRPr="0020480B">
        <w:rPr>
          <w:i/>
          <w:iCs/>
          <w:lang w:val="fr-FR"/>
        </w:rPr>
        <w:t>)</w:t>
      </w:r>
    </w:p>
    <w:p w:rsidR="001E23A0" w:rsidRPr="0020480B" w:rsidRDefault="001E23A0" w:rsidP="001E23A0">
      <w:pPr>
        <w:pStyle w:val="SingleTxtG"/>
        <w:tabs>
          <w:tab w:val="left" w:pos="2268"/>
        </w:tabs>
        <w:ind w:left="2259" w:hanging="1125"/>
        <w:rPr>
          <w:iCs/>
          <w:color w:val="548DD4" w:themeColor="text2" w:themeTint="99"/>
          <w:lang w:val="fr-FR"/>
        </w:rPr>
      </w:pPr>
      <w:r w:rsidRPr="0020480B">
        <w:rPr>
          <w:iCs/>
          <w:color w:val="548DD4" w:themeColor="text2" w:themeTint="99"/>
          <w:lang w:val="fr-FR"/>
        </w:rPr>
        <w:t>Insérer les nouvelles rubriques suivantes :</w:t>
      </w:r>
    </w:p>
    <w:tbl>
      <w:tblPr>
        <w:tblW w:w="463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5"/>
        <w:gridCol w:w="3730"/>
        <w:gridCol w:w="611"/>
        <w:gridCol w:w="254"/>
        <w:gridCol w:w="471"/>
        <w:gridCol w:w="571"/>
        <w:gridCol w:w="303"/>
        <w:gridCol w:w="315"/>
        <w:gridCol w:w="752"/>
        <w:gridCol w:w="274"/>
        <w:gridCol w:w="311"/>
        <w:gridCol w:w="311"/>
        <w:gridCol w:w="311"/>
        <w:gridCol w:w="311"/>
      </w:tblGrid>
      <w:tr w:rsidR="001E23A0" w:rsidRPr="0020480B" w:rsidTr="00516D62">
        <w:trPr>
          <w:cantSplit/>
          <w:trHeight w:hRule="exact" w:val="370"/>
          <w:tblHeader/>
          <w:jc w:val="right"/>
        </w:trPr>
        <w:tc>
          <w:tcPr>
            <w:tcW w:w="237"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(1)</w:t>
            </w:r>
          </w:p>
        </w:tc>
        <w:tc>
          <w:tcPr>
            <w:tcW w:w="2083"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(2)</w:t>
            </w:r>
          </w:p>
        </w:tc>
        <w:tc>
          <w:tcPr>
            <w:tcW w:w="341"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(3)</w:t>
            </w:r>
          </w:p>
        </w:tc>
        <w:tc>
          <w:tcPr>
            <w:tcW w:w="142"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(4)</w:t>
            </w:r>
          </w:p>
        </w:tc>
        <w:tc>
          <w:tcPr>
            <w:tcW w:w="263"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(5)</w:t>
            </w:r>
          </w:p>
        </w:tc>
        <w:tc>
          <w:tcPr>
            <w:tcW w:w="319"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(6)</w:t>
            </w:r>
          </w:p>
        </w:tc>
        <w:tc>
          <w:tcPr>
            <w:tcW w:w="169"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(7a)</w:t>
            </w:r>
          </w:p>
        </w:tc>
        <w:tc>
          <w:tcPr>
            <w:tcW w:w="176"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(7b)</w:t>
            </w:r>
          </w:p>
        </w:tc>
        <w:tc>
          <w:tcPr>
            <w:tcW w:w="420"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(8)</w:t>
            </w:r>
          </w:p>
        </w:tc>
        <w:tc>
          <w:tcPr>
            <w:tcW w:w="153"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(9)</w:t>
            </w:r>
          </w:p>
        </w:tc>
        <w:tc>
          <w:tcPr>
            <w:tcW w:w="174"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(10)</w:t>
            </w:r>
          </w:p>
        </w:tc>
        <w:tc>
          <w:tcPr>
            <w:tcW w:w="174" w:type="pct"/>
          </w:tcPr>
          <w:p w:rsidR="001E23A0" w:rsidRPr="0020480B" w:rsidRDefault="001E23A0" w:rsidP="00516D62">
            <w:pPr>
              <w:suppressAutoHyphens w:val="0"/>
              <w:spacing w:before="40" w:after="120" w:line="276" w:lineRule="auto"/>
              <w:jc w:val="center"/>
              <w:rPr>
                <w:rFonts w:asciiTheme="majorBidi" w:hAnsiTheme="majorBidi" w:cstheme="majorBidi"/>
                <w:bCs/>
                <w:iCs/>
                <w:color w:val="548DD4" w:themeColor="text2" w:themeTint="99"/>
                <w:sz w:val="18"/>
                <w:szCs w:val="18"/>
              </w:rPr>
            </w:pPr>
            <w:r w:rsidRPr="0020480B">
              <w:rPr>
                <w:rFonts w:asciiTheme="majorBidi" w:hAnsiTheme="majorBidi" w:cstheme="majorBidi"/>
                <w:bCs/>
                <w:iCs/>
                <w:color w:val="548DD4" w:themeColor="text2" w:themeTint="99"/>
                <w:sz w:val="18"/>
                <w:szCs w:val="18"/>
              </w:rPr>
              <w:t>(11)</w:t>
            </w:r>
          </w:p>
        </w:tc>
        <w:tc>
          <w:tcPr>
            <w:tcW w:w="174" w:type="pct"/>
          </w:tcPr>
          <w:p w:rsidR="001E23A0" w:rsidRPr="0020480B" w:rsidRDefault="001E23A0" w:rsidP="00516D62">
            <w:pPr>
              <w:suppressAutoHyphens w:val="0"/>
              <w:spacing w:before="40" w:after="120" w:line="276" w:lineRule="auto"/>
              <w:jc w:val="center"/>
              <w:rPr>
                <w:rFonts w:asciiTheme="majorBidi" w:hAnsiTheme="majorBidi" w:cstheme="majorBidi"/>
                <w:bCs/>
                <w:iCs/>
                <w:color w:val="548DD4" w:themeColor="text2" w:themeTint="99"/>
                <w:sz w:val="18"/>
                <w:szCs w:val="18"/>
              </w:rPr>
            </w:pPr>
            <w:r w:rsidRPr="0020480B">
              <w:rPr>
                <w:rFonts w:asciiTheme="majorBidi" w:hAnsiTheme="majorBidi" w:cstheme="majorBidi"/>
                <w:bCs/>
                <w:iCs/>
                <w:color w:val="548DD4" w:themeColor="text2" w:themeTint="99"/>
                <w:sz w:val="18"/>
                <w:szCs w:val="18"/>
              </w:rPr>
              <w:t>(12)</w:t>
            </w:r>
          </w:p>
        </w:tc>
        <w:tc>
          <w:tcPr>
            <w:tcW w:w="174" w:type="pct"/>
          </w:tcPr>
          <w:p w:rsidR="001E23A0" w:rsidRPr="0020480B" w:rsidRDefault="001E23A0" w:rsidP="00516D62">
            <w:pPr>
              <w:suppressAutoHyphens w:val="0"/>
              <w:spacing w:before="40" w:after="120" w:line="276" w:lineRule="auto"/>
              <w:jc w:val="center"/>
              <w:rPr>
                <w:rFonts w:asciiTheme="majorBidi" w:hAnsiTheme="majorBidi" w:cstheme="majorBidi"/>
                <w:bCs/>
                <w:iCs/>
                <w:color w:val="548DD4" w:themeColor="text2" w:themeTint="99"/>
                <w:sz w:val="18"/>
                <w:szCs w:val="18"/>
              </w:rPr>
            </w:pPr>
            <w:r w:rsidRPr="0020480B">
              <w:rPr>
                <w:rFonts w:asciiTheme="majorBidi" w:hAnsiTheme="majorBidi" w:cstheme="majorBidi"/>
                <w:bCs/>
                <w:iCs/>
                <w:color w:val="548DD4" w:themeColor="text2" w:themeTint="99"/>
                <w:sz w:val="18"/>
                <w:szCs w:val="18"/>
              </w:rPr>
              <w:t>(13)</w:t>
            </w:r>
          </w:p>
        </w:tc>
      </w:tr>
      <w:tr w:rsidR="001E23A0" w:rsidRPr="0020480B" w:rsidTr="00516D62">
        <w:trPr>
          <w:trHeight w:val="592"/>
          <w:jc w:val="right"/>
        </w:trPr>
        <w:tc>
          <w:tcPr>
            <w:tcW w:w="237"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0511</w:t>
            </w:r>
          </w:p>
        </w:tc>
        <w:tc>
          <w:tcPr>
            <w:tcW w:w="2083" w:type="pct"/>
          </w:tcPr>
          <w:p w:rsidR="001E23A0" w:rsidRPr="0020480B" w:rsidRDefault="001E23A0" w:rsidP="00516D62">
            <w:pPr>
              <w:pStyle w:val="TableParagraph"/>
              <w:spacing w:before="6"/>
              <w:ind w:left="6" w:right="6"/>
              <w:jc w:val="left"/>
              <w:rPr>
                <w:rFonts w:asciiTheme="majorBidi" w:hAnsiTheme="majorBidi" w:cstheme="majorBidi"/>
                <w:b/>
                <w:color w:val="548DD4" w:themeColor="text2" w:themeTint="99"/>
                <w:sz w:val="18"/>
                <w:szCs w:val="18"/>
                <w:lang w:val="fr-CH"/>
              </w:rPr>
            </w:pPr>
            <w:r w:rsidRPr="0020480B">
              <w:rPr>
                <w:color w:val="548DD4" w:themeColor="text2" w:themeTint="99"/>
                <w:sz w:val="16"/>
                <w:szCs w:val="16"/>
                <w:lang w:val="fr-FR"/>
              </w:rPr>
              <w:t>DÉTONATEURS de mine (de sautage) ÉLECTRONIQUE programmables</w:t>
            </w:r>
          </w:p>
        </w:tc>
        <w:tc>
          <w:tcPr>
            <w:tcW w:w="341" w:type="pct"/>
          </w:tcPr>
          <w:p w:rsidR="001E23A0" w:rsidRPr="0020480B" w:rsidRDefault="001E23A0" w:rsidP="00516D62">
            <w:pPr>
              <w:pStyle w:val="TableParagraph"/>
              <w:spacing w:before="6"/>
              <w:ind w:left="127" w:right="126"/>
              <w:rPr>
                <w:rFonts w:asciiTheme="majorBidi" w:hAnsiTheme="majorBidi" w:cstheme="majorBidi"/>
                <w:b/>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1.1B</w:t>
            </w:r>
          </w:p>
        </w:tc>
        <w:tc>
          <w:tcPr>
            <w:tcW w:w="142" w:type="pct"/>
          </w:tcPr>
          <w:p w:rsidR="001E23A0" w:rsidRPr="0020480B" w:rsidRDefault="001E23A0" w:rsidP="00516D62">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1E23A0" w:rsidRPr="0020480B" w:rsidRDefault="001E23A0" w:rsidP="00516D62">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1E23A0" w:rsidRPr="0020480B" w:rsidRDefault="001E23A0" w:rsidP="00516D62">
            <w:pPr>
              <w:pStyle w:val="TableParagraph"/>
              <w:spacing w:before="6"/>
              <w:ind w:left="106" w:right="102"/>
              <w:rPr>
                <w:rFonts w:asciiTheme="majorBidi" w:hAnsiTheme="majorBidi" w:cstheme="majorBidi"/>
                <w:b/>
                <w:color w:val="548DD4" w:themeColor="text2" w:themeTint="99"/>
                <w:sz w:val="18"/>
                <w:szCs w:val="18"/>
                <w:lang w:val="en-GB"/>
              </w:rPr>
            </w:pPr>
          </w:p>
        </w:tc>
        <w:tc>
          <w:tcPr>
            <w:tcW w:w="169" w:type="pct"/>
          </w:tcPr>
          <w:p w:rsidR="001E23A0" w:rsidRPr="0020480B" w:rsidRDefault="001E23A0" w:rsidP="00516D62">
            <w:pPr>
              <w:pStyle w:val="TableParagraph"/>
              <w:spacing w:before="6"/>
              <w:ind w:left="-15" w:right="16"/>
              <w:rPr>
                <w:rFonts w:asciiTheme="majorBidi" w:hAnsiTheme="majorBidi" w:cstheme="majorBidi"/>
                <w:b/>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0</w:t>
            </w:r>
          </w:p>
        </w:tc>
        <w:tc>
          <w:tcPr>
            <w:tcW w:w="176" w:type="pct"/>
          </w:tcPr>
          <w:p w:rsidR="001E23A0" w:rsidRPr="0020480B" w:rsidRDefault="001E23A0" w:rsidP="00516D62">
            <w:pPr>
              <w:pStyle w:val="TableParagraph"/>
              <w:spacing w:before="6"/>
              <w:rPr>
                <w:rFonts w:asciiTheme="majorBidi" w:hAnsiTheme="majorBidi" w:cstheme="majorBidi"/>
                <w:b/>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E0</w:t>
            </w:r>
          </w:p>
        </w:tc>
        <w:tc>
          <w:tcPr>
            <w:tcW w:w="420" w:type="pct"/>
          </w:tcPr>
          <w:p w:rsidR="001E23A0" w:rsidRPr="0020480B" w:rsidRDefault="001E23A0" w:rsidP="00516D62">
            <w:pPr>
              <w:pStyle w:val="TableParagraph"/>
              <w:spacing w:before="6"/>
              <w:ind w:left="141" w:right="141"/>
              <w:rPr>
                <w:rFonts w:asciiTheme="majorBidi" w:hAnsiTheme="majorBidi" w:cstheme="majorBidi"/>
                <w:b/>
                <w:color w:val="548DD4" w:themeColor="text2" w:themeTint="99"/>
                <w:sz w:val="18"/>
                <w:szCs w:val="18"/>
                <w:lang w:val="en-GB"/>
              </w:rPr>
            </w:pPr>
          </w:p>
        </w:tc>
        <w:tc>
          <w:tcPr>
            <w:tcW w:w="153" w:type="pct"/>
          </w:tcPr>
          <w:p w:rsidR="001E23A0" w:rsidRPr="0020480B" w:rsidRDefault="001E23A0" w:rsidP="00516D62">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r>
      <w:tr w:rsidR="001E23A0" w:rsidRPr="0020480B" w:rsidTr="00516D62">
        <w:trPr>
          <w:trHeight w:hRule="exact" w:val="533"/>
          <w:jc w:val="right"/>
        </w:trPr>
        <w:tc>
          <w:tcPr>
            <w:tcW w:w="237"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0512</w:t>
            </w:r>
          </w:p>
        </w:tc>
        <w:tc>
          <w:tcPr>
            <w:tcW w:w="2083" w:type="pct"/>
          </w:tcPr>
          <w:p w:rsidR="001E23A0" w:rsidRPr="0020480B" w:rsidRDefault="001E23A0" w:rsidP="00516D62">
            <w:pPr>
              <w:pStyle w:val="TableParagraph"/>
              <w:spacing w:before="6"/>
              <w:ind w:left="6" w:right="6"/>
              <w:jc w:val="left"/>
              <w:rPr>
                <w:rFonts w:asciiTheme="majorBidi" w:hAnsiTheme="majorBidi" w:cstheme="majorBidi"/>
                <w:color w:val="548DD4" w:themeColor="text2" w:themeTint="99"/>
                <w:sz w:val="18"/>
                <w:szCs w:val="18"/>
                <w:lang w:val="fr-CH"/>
              </w:rPr>
            </w:pPr>
            <w:r w:rsidRPr="0020480B">
              <w:rPr>
                <w:color w:val="548DD4" w:themeColor="text2" w:themeTint="99"/>
                <w:sz w:val="16"/>
                <w:szCs w:val="16"/>
                <w:lang w:val="fr-FR"/>
              </w:rPr>
              <w:t>DÉTONATEURS de mine (de sautage) ÉLECTRONIQUE programmables</w:t>
            </w:r>
          </w:p>
        </w:tc>
        <w:tc>
          <w:tcPr>
            <w:tcW w:w="341" w:type="pct"/>
          </w:tcPr>
          <w:p w:rsidR="001E23A0" w:rsidRPr="0020480B" w:rsidRDefault="001E23A0" w:rsidP="00516D62">
            <w:pPr>
              <w:pStyle w:val="TableParagraph"/>
              <w:spacing w:before="6"/>
              <w:ind w:left="127" w:right="12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1.4B</w:t>
            </w:r>
          </w:p>
        </w:tc>
        <w:tc>
          <w:tcPr>
            <w:tcW w:w="142" w:type="pct"/>
          </w:tcPr>
          <w:p w:rsidR="001E23A0" w:rsidRPr="0020480B" w:rsidRDefault="001E23A0" w:rsidP="00516D62">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1E23A0" w:rsidRPr="0020480B" w:rsidRDefault="001E23A0" w:rsidP="00516D62">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1E23A0" w:rsidRPr="0020480B" w:rsidRDefault="001E23A0" w:rsidP="00516D62">
            <w:pPr>
              <w:pStyle w:val="TableParagraph"/>
              <w:spacing w:before="6"/>
              <w:ind w:left="106" w:right="102"/>
              <w:rPr>
                <w:rFonts w:asciiTheme="majorBidi" w:hAnsiTheme="majorBidi" w:cstheme="majorBidi"/>
                <w:b/>
                <w:color w:val="548DD4" w:themeColor="text2" w:themeTint="99"/>
                <w:sz w:val="18"/>
                <w:szCs w:val="18"/>
                <w:lang w:val="en-GB"/>
              </w:rPr>
            </w:pPr>
          </w:p>
        </w:tc>
        <w:tc>
          <w:tcPr>
            <w:tcW w:w="169" w:type="pct"/>
          </w:tcPr>
          <w:p w:rsidR="001E23A0" w:rsidRPr="0020480B" w:rsidRDefault="001E23A0" w:rsidP="00516D62">
            <w:pPr>
              <w:pStyle w:val="TableParagraph"/>
              <w:spacing w:before="6"/>
              <w:ind w:left="-15" w:right="1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0</w:t>
            </w:r>
          </w:p>
        </w:tc>
        <w:tc>
          <w:tcPr>
            <w:tcW w:w="176" w:type="pct"/>
          </w:tcPr>
          <w:p w:rsidR="001E23A0" w:rsidRPr="0020480B" w:rsidRDefault="001E23A0" w:rsidP="00516D62">
            <w:pPr>
              <w:pStyle w:val="TableParagraph"/>
              <w:spacing w:before="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E0</w:t>
            </w:r>
          </w:p>
        </w:tc>
        <w:tc>
          <w:tcPr>
            <w:tcW w:w="420" w:type="pct"/>
          </w:tcPr>
          <w:p w:rsidR="001E23A0" w:rsidRPr="0020480B" w:rsidRDefault="001E23A0" w:rsidP="00516D62">
            <w:pPr>
              <w:pStyle w:val="TableParagraph"/>
              <w:spacing w:before="6"/>
              <w:ind w:left="141" w:right="141"/>
              <w:rPr>
                <w:rFonts w:asciiTheme="majorBidi" w:hAnsiTheme="majorBidi" w:cstheme="majorBidi"/>
                <w:color w:val="548DD4" w:themeColor="text2" w:themeTint="99"/>
                <w:sz w:val="18"/>
                <w:szCs w:val="18"/>
                <w:lang w:val="en-GB"/>
              </w:rPr>
            </w:pPr>
          </w:p>
        </w:tc>
        <w:tc>
          <w:tcPr>
            <w:tcW w:w="153" w:type="pct"/>
          </w:tcPr>
          <w:p w:rsidR="001E23A0" w:rsidRPr="0020480B" w:rsidRDefault="001E23A0" w:rsidP="00516D62">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r>
      <w:tr w:rsidR="001E23A0" w:rsidRPr="0020480B" w:rsidTr="00516D62">
        <w:trPr>
          <w:trHeight w:hRule="exact" w:val="608"/>
          <w:jc w:val="right"/>
        </w:trPr>
        <w:tc>
          <w:tcPr>
            <w:tcW w:w="237"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bCs/>
                <w:color w:val="548DD4" w:themeColor="text2" w:themeTint="99"/>
                <w:sz w:val="18"/>
                <w:szCs w:val="18"/>
              </w:rPr>
              <w:t>0513</w:t>
            </w:r>
          </w:p>
        </w:tc>
        <w:tc>
          <w:tcPr>
            <w:tcW w:w="2083" w:type="pct"/>
          </w:tcPr>
          <w:p w:rsidR="001E23A0" w:rsidRPr="0020480B" w:rsidRDefault="001E23A0" w:rsidP="00516D62">
            <w:pPr>
              <w:pStyle w:val="TableParagraph"/>
              <w:spacing w:before="6"/>
              <w:ind w:left="6" w:right="6"/>
              <w:jc w:val="left"/>
              <w:rPr>
                <w:rFonts w:asciiTheme="majorBidi" w:hAnsiTheme="majorBidi" w:cstheme="majorBidi"/>
                <w:color w:val="548DD4" w:themeColor="text2" w:themeTint="99"/>
                <w:sz w:val="18"/>
                <w:szCs w:val="18"/>
                <w:lang w:val="fr-CH"/>
              </w:rPr>
            </w:pPr>
            <w:r w:rsidRPr="0020480B">
              <w:rPr>
                <w:color w:val="548DD4" w:themeColor="text2" w:themeTint="99"/>
                <w:sz w:val="16"/>
                <w:szCs w:val="16"/>
                <w:lang w:val="fr-FR"/>
              </w:rPr>
              <w:t>DÉTONATEURS de mine (de sautage) ÉLECTRONIQUE programmables</w:t>
            </w:r>
          </w:p>
        </w:tc>
        <w:tc>
          <w:tcPr>
            <w:tcW w:w="341" w:type="pct"/>
          </w:tcPr>
          <w:p w:rsidR="001E23A0" w:rsidRPr="0020480B" w:rsidRDefault="001E23A0" w:rsidP="00516D62">
            <w:pPr>
              <w:pStyle w:val="TableParagraph"/>
              <w:spacing w:before="6"/>
              <w:ind w:left="127" w:right="12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1.4S</w:t>
            </w:r>
          </w:p>
        </w:tc>
        <w:tc>
          <w:tcPr>
            <w:tcW w:w="142" w:type="pct"/>
          </w:tcPr>
          <w:p w:rsidR="001E23A0" w:rsidRPr="0020480B" w:rsidRDefault="001E23A0" w:rsidP="00516D62">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1E23A0" w:rsidRPr="0020480B" w:rsidRDefault="001E23A0" w:rsidP="00516D62">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1E23A0" w:rsidRPr="0020480B" w:rsidRDefault="001E23A0" w:rsidP="00516D62">
            <w:pPr>
              <w:pStyle w:val="TableParagraph"/>
              <w:spacing w:before="6"/>
              <w:ind w:left="106" w:right="102"/>
              <w:rPr>
                <w:rFonts w:asciiTheme="majorBidi" w:hAnsiTheme="majorBidi" w:cstheme="majorBidi"/>
                <w:b/>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347</w:t>
            </w:r>
          </w:p>
        </w:tc>
        <w:tc>
          <w:tcPr>
            <w:tcW w:w="169" w:type="pct"/>
          </w:tcPr>
          <w:p w:rsidR="001E23A0" w:rsidRPr="0020480B" w:rsidRDefault="001E23A0" w:rsidP="00516D62">
            <w:pPr>
              <w:pStyle w:val="TableParagraph"/>
              <w:spacing w:before="6"/>
              <w:ind w:left="-15" w:right="1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0</w:t>
            </w:r>
          </w:p>
        </w:tc>
        <w:tc>
          <w:tcPr>
            <w:tcW w:w="176" w:type="pct"/>
          </w:tcPr>
          <w:p w:rsidR="001E23A0" w:rsidRPr="0020480B" w:rsidRDefault="001E23A0" w:rsidP="00516D62">
            <w:pPr>
              <w:pStyle w:val="TableParagraph"/>
              <w:spacing w:before="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lang w:val="en-GB"/>
              </w:rPr>
              <w:t>E0</w:t>
            </w:r>
          </w:p>
        </w:tc>
        <w:tc>
          <w:tcPr>
            <w:tcW w:w="420" w:type="pct"/>
          </w:tcPr>
          <w:p w:rsidR="001E23A0" w:rsidRPr="0020480B" w:rsidRDefault="001E23A0" w:rsidP="00516D62">
            <w:pPr>
              <w:pStyle w:val="TableParagraph"/>
              <w:spacing w:before="6"/>
              <w:ind w:left="141" w:right="141"/>
              <w:rPr>
                <w:rFonts w:asciiTheme="majorBidi" w:hAnsiTheme="majorBidi" w:cstheme="majorBidi"/>
                <w:color w:val="548DD4" w:themeColor="text2" w:themeTint="99"/>
                <w:sz w:val="18"/>
                <w:szCs w:val="18"/>
                <w:lang w:val="en-GB"/>
              </w:rPr>
            </w:pPr>
          </w:p>
        </w:tc>
        <w:tc>
          <w:tcPr>
            <w:tcW w:w="153" w:type="pct"/>
          </w:tcPr>
          <w:p w:rsidR="001E23A0" w:rsidRPr="0020480B" w:rsidRDefault="001E23A0" w:rsidP="00516D62">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r>
      <w:tr w:rsidR="0020480B" w:rsidRPr="0020480B" w:rsidTr="00516D62">
        <w:trPr>
          <w:trHeight w:hRule="exact" w:val="1140"/>
          <w:jc w:val="right"/>
        </w:trPr>
        <w:tc>
          <w:tcPr>
            <w:tcW w:w="237" w:type="pct"/>
          </w:tcPr>
          <w:p w:rsidR="001E23A0" w:rsidRPr="0020480B" w:rsidRDefault="001E23A0" w:rsidP="00516D62">
            <w:pPr>
              <w:suppressAutoHyphens w:val="0"/>
              <w:spacing w:before="40" w:after="120" w:line="276" w:lineRule="auto"/>
              <w:jc w:val="center"/>
              <w:rPr>
                <w:rFonts w:asciiTheme="majorBidi" w:hAnsiTheme="majorBidi" w:cstheme="majorBidi"/>
                <w:bCs/>
                <w:color w:val="548DD4" w:themeColor="text2" w:themeTint="99"/>
                <w:sz w:val="18"/>
                <w:szCs w:val="18"/>
              </w:rPr>
            </w:pPr>
            <w:r w:rsidRPr="0020480B">
              <w:rPr>
                <w:rFonts w:asciiTheme="majorBidi" w:hAnsiTheme="majorBidi" w:cstheme="majorBidi"/>
                <w:color w:val="548DD4" w:themeColor="text2" w:themeTint="99"/>
                <w:sz w:val="18"/>
                <w:szCs w:val="18"/>
              </w:rPr>
              <w:t>3549</w:t>
            </w:r>
          </w:p>
        </w:tc>
        <w:tc>
          <w:tcPr>
            <w:tcW w:w="2083" w:type="pct"/>
          </w:tcPr>
          <w:p w:rsidR="001E23A0" w:rsidRPr="0020480B" w:rsidRDefault="001E23A0" w:rsidP="00516D62">
            <w:pPr>
              <w:pStyle w:val="TableParagraph"/>
              <w:spacing w:before="6"/>
              <w:ind w:left="6" w:right="6"/>
              <w:jc w:val="left"/>
              <w:rPr>
                <w:rFonts w:asciiTheme="majorBidi" w:hAnsiTheme="majorBidi" w:cstheme="majorBidi"/>
                <w:color w:val="548DD4" w:themeColor="text2" w:themeTint="99"/>
                <w:sz w:val="18"/>
                <w:szCs w:val="18"/>
                <w:lang w:val="fr-CH"/>
              </w:rPr>
            </w:pPr>
            <w:r w:rsidRPr="0020480B">
              <w:rPr>
                <w:color w:val="548DD4" w:themeColor="text2" w:themeTint="99"/>
                <w:sz w:val="16"/>
                <w:szCs w:val="16"/>
                <w:lang w:val="fr-FR"/>
              </w:rPr>
              <w:t xml:space="preserve">DÉCHETS MÉDICAUX </w:t>
            </w:r>
            <w:r w:rsidRPr="0020480B">
              <w:rPr>
                <w:color w:val="548DD4" w:themeColor="text2" w:themeTint="99"/>
                <w:sz w:val="16"/>
                <w:szCs w:val="16"/>
                <w:lang w:val="fr-FR"/>
              </w:rPr>
              <w:br/>
              <w:t>INFECTIEUX POUR L’HOMME, CATÉGORIE A, solides ou DÉCHETS MÉDICAUX INFECTIEUX POUR LES ANIMAUX uniquement, CATÉGORIE A, solides</w:t>
            </w:r>
          </w:p>
        </w:tc>
        <w:tc>
          <w:tcPr>
            <w:tcW w:w="341" w:type="pct"/>
          </w:tcPr>
          <w:p w:rsidR="001E23A0" w:rsidRPr="0020480B" w:rsidRDefault="001E23A0" w:rsidP="00516D62">
            <w:pPr>
              <w:pStyle w:val="TableParagraph"/>
              <w:spacing w:before="6"/>
              <w:ind w:left="127" w:right="12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rPr>
              <w:t>6.2</w:t>
            </w:r>
          </w:p>
        </w:tc>
        <w:tc>
          <w:tcPr>
            <w:tcW w:w="142" w:type="pct"/>
          </w:tcPr>
          <w:p w:rsidR="001E23A0" w:rsidRPr="0020480B" w:rsidRDefault="001E23A0" w:rsidP="00516D62">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1E23A0" w:rsidRPr="0020480B" w:rsidRDefault="001E23A0" w:rsidP="00516D62">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1E23A0" w:rsidRPr="0020480B" w:rsidRDefault="001E23A0" w:rsidP="00516D62">
            <w:pPr>
              <w:pStyle w:val="TableParagraph"/>
              <w:spacing w:before="6"/>
              <w:ind w:left="106" w:right="102"/>
              <w:rPr>
                <w:rFonts w:asciiTheme="majorBidi" w:hAnsiTheme="majorBidi" w:cstheme="majorBidi"/>
                <w:color w:val="548DD4" w:themeColor="text2" w:themeTint="99"/>
                <w:sz w:val="18"/>
                <w:szCs w:val="18"/>
              </w:rPr>
            </w:pPr>
            <w:r w:rsidRPr="0020480B">
              <w:rPr>
                <w:rFonts w:asciiTheme="majorBidi" w:hAnsiTheme="majorBidi" w:cstheme="majorBidi"/>
                <w:color w:val="548DD4" w:themeColor="text2" w:themeTint="99"/>
                <w:sz w:val="18"/>
                <w:szCs w:val="18"/>
              </w:rPr>
              <w:t>395</w:t>
            </w:r>
          </w:p>
          <w:p w:rsidR="001E23A0" w:rsidRPr="0020480B" w:rsidRDefault="001E23A0" w:rsidP="00516D62">
            <w:pPr>
              <w:pStyle w:val="TableParagraph"/>
              <w:spacing w:before="6"/>
              <w:ind w:left="106" w:right="102"/>
              <w:rPr>
                <w:rFonts w:asciiTheme="majorBidi" w:hAnsiTheme="majorBidi" w:cstheme="majorBidi"/>
                <w:color w:val="548DD4" w:themeColor="text2" w:themeTint="99"/>
                <w:sz w:val="18"/>
                <w:szCs w:val="18"/>
                <w:lang w:val="en-GB"/>
              </w:rPr>
            </w:pPr>
          </w:p>
        </w:tc>
        <w:tc>
          <w:tcPr>
            <w:tcW w:w="169" w:type="pct"/>
          </w:tcPr>
          <w:p w:rsidR="001E23A0" w:rsidRPr="0020480B" w:rsidRDefault="001E23A0" w:rsidP="00516D62">
            <w:pPr>
              <w:pStyle w:val="TableParagraph"/>
              <w:spacing w:before="6"/>
              <w:ind w:left="-15" w:right="1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rPr>
              <w:t>0</w:t>
            </w:r>
          </w:p>
        </w:tc>
        <w:tc>
          <w:tcPr>
            <w:tcW w:w="176" w:type="pct"/>
          </w:tcPr>
          <w:p w:rsidR="001E23A0" w:rsidRPr="0020480B" w:rsidRDefault="001E23A0" w:rsidP="00516D62">
            <w:pPr>
              <w:pStyle w:val="TableParagraph"/>
              <w:spacing w:before="6"/>
              <w:rPr>
                <w:rFonts w:asciiTheme="majorBidi" w:hAnsiTheme="majorBidi" w:cstheme="majorBidi"/>
                <w:color w:val="548DD4" w:themeColor="text2" w:themeTint="99"/>
                <w:sz w:val="18"/>
                <w:szCs w:val="18"/>
                <w:lang w:val="en-GB"/>
              </w:rPr>
            </w:pPr>
            <w:r w:rsidRPr="0020480B">
              <w:rPr>
                <w:rFonts w:asciiTheme="majorBidi" w:hAnsiTheme="majorBidi" w:cstheme="majorBidi"/>
                <w:color w:val="548DD4" w:themeColor="text2" w:themeTint="99"/>
                <w:sz w:val="18"/>
                <w:szCs w:val="18"/>
              </w:rPr>
              <w:t>E0</w:t>
            </w:r>
          </w:p>
        </w:tc>
        <w:tc>
          <w:tcPr>
            <w:tcW w:w="420" w:type="pct"/>
          </w:tcPr>
          <w:p w:rsidR="001E23A0" w:rsidRPr="0020480B" w:rsidRDefault="001E23A0" w:rsidP="00516D62">
            <w:pPr>
              <w:pStyle w:val="TableParagraph"/>
              <w:spacing w:before="6"/>
              <w:ind w:left="141" w:right="141"/>
              <w:rPr>
                <w:rFonts w:asciiTheme="majorBidi" w:hAnsiTheme="majorBidi" w:cstheme="majorBidi"/>
                <w:color w:val="548DD4" w:themeColor="text2" w:themeTint="99"/>
                <w:sz w:val="18"/>
                <w:szCs w:val="18"/>
                <w:lang w:val="en-GB"/>
              </w:rPr>
            </w:pPr>
          </w:p>
        </w:tc>
        <w:tc>
          <w:tcPr>
            <w:tcW w:w="153" w:type="pct"/>
          </w:tcPr>
          <w:p w:rsidR="001E23A0" w:rsidRPr="0020480B" w:rsidRDefault="001E23A0" w:rsidP="00516D62">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1E23A0" w:rsidRPr="0020480B" w:rsidRDefault="001E23A0" w:rsidP="00516D62">
            <w:pPr>
              <w:pStyle w:val="TableParagraph"/>
              <w:spacing w:before="6"/>
              <w:ind w:left="213"/>
              <w:jc w:val="left"/>
              <w:rPr>
                <w:rFonts w:asciiTheme="majorBidi" w:hAnsiTheme="majorBidi" w:cstheme="majorBidi"/>
                <w:b/>
                <w:color w:val="548DD4" w:themeColor="text2" w:themeTint="99"/>
                <w:sz w:val="18"/>
                <w:szCs w:val="18"/>
                <w:u w:val="single"/>
                <w:lang w:val="en-GB"/>
              </w:rPr>
            </w:pPr>
          </w:p>
        </w:tc>
      </w:tr>
    </w:tbl>
    <w:p w:rsidR="002F42AA" w:rsidRPr="00C85ADC" w:rsidRDefault="002F42AA" w:rsidP="002F42AA">
      <w:pPr>
        <w:pStyle w:val="H1G"/>
        <w:rPr>
          <w:lang w:val="fr-FR"/>
        </w:rPr>
      </w:pPr>
      <w:r w:rsidRPr="00C85ADC">
        <w:rPr>
          <w:lang w:val="fr-FR"/>
        </w:rPr>
        <w:lastRenderedPageBreak/>
        <w:tab/>
      </w:r>
      <w:r w:rsidRPr="00C85ADC">
        <w:rPr>
          <w:lang w:val="fr-FR"/>
        </w:rPr>
        <w:tab/>
        <w:t>Chapitre 3.2, tableau B</w:t>
      </w:r>
    </w:p>
    <w:p w:rsidR="002F42AA" w:rsidRPr="008E1156" w:rsidRDefault="002F42AA" w:rsidP="002F42AA">
      <w:pPr>
        <w:pStyle w:val="SingleTxtG"/>
        <w:spacing w:before="120"/>
        <w:rPr>
          <w:lang w:val="fr-FR"/>
        </w:rPr>
      </w:pPr>
      <w:r w:rsidRPr="008E1156">
        <w:rPr>
          <w:lang w:val="fr-FR"/>
        </w:rPr>
        <w:t xml:space="preserve">Modifier la rubrique « BUTADIÈNES ET HYDROCARBURES EN MÉLANGE STABILISÉ qui, à 70 °C, a une pression de vapeur ne dépassant pas 1,1 MPa (11 </w:t>
      </w:r>
      <w:proofErr w:type="gramStart"/>
      <w:r w:rsidRPr="008E1156">
        <w:rPr>
          <w:lang w:val="fr-FR"/>
        </w:rPr>
        <w:t>bar</w:t>
      </w:r>
      <w:proofErr w:type="gramEnd"/>
      <w:r w:rsidRPr="008E1156">
        <w:rPr>
          <w:lang w:val="fr-FR"/>
        </w:rPr>
        <w:t>) et dont la masse volumique à 50 °C n'est pas inférieure à 0,525 kg/l » pour lire comme suit : « BUTADIÈNES STABILISÉS ou BUTADIÈNES ET HYDROCARBURES EN MÉLANGE STABILISÉ, contenant plus de 40 % de butadiènes ».</w:t>
      </w:r>
    </w:p>
    <w:p w:rsidR="002F42AA" w:rsidRPr="008E1156" w:rsidRDefault="002F42AA" w:rsidP="002F42AA">
      <w:pPr>
        <w:pStyle w:val="SingleTxtG"/>
        <w:rPr>
          <w:i/>
          <w:iCs/>
          <w:lang w:val="fr-FR"/>
        </w:rPr>
      </w:pPr>
      <w:r w:rsidRPr="008E1156">
        <w:rPr>
          <w:i/>
          <w:iCs/>
          <w:lang w:val="fr-FR"/>
        </w:rPr>
        <w:t xml:space="preserve">(Document de </w:t>
      </w:r>
      <w:proofErr w:type="gramStart"/>
      <w:r w:rsidRPr="008E1156">
        <w:rPr>
          <w:i/>
          <w:iCs/>
          <w:lang w:val="fr-FR"/>
        </w:rPr>
        <w:t>référence:</w:t>
      </w:r>
      <w:proofErr w:type="gramEnd"/>
      <w:r w:rsidRPr="008E1156">
        <w:rPr>
          <w:i/>
          <w:iCs/>
          <w:lang w:val="fr-FR"/>
        </w:rPr>
        <w:t xml:space="preserve"> </w:t>
      </w:r>
      <w:bookmarkStart w:id="53" w:name="_Hlk24886072"/>
      <w:r w:rsidR="008E1156" w:rsidRPr="00B81435">
        <w:rPr>
          <w:i/>
          <w:iCs/>
        </w:rPr>
        <w:t xml:space="preserve">ECE/TRANS/WP.15/AC.1/154, </w:t>
      </w:r>
      <w:r w:rsidR="00C35261">
        <w:rPr>
          <w:i/>
          <w:iCs/>
        </w:rPr>
        <w:t>annexe</w:t>
      </w:r>
      <w:r w:rsidR="008E1156" w:rsidRPr="00B81435">
        <w:rPr>
          <w:i/>
          <w:iCs/>
        </w:rPr>
        <w:t xml:space="preserve"> II</w:t>
      </w:r>
      <w:bookmarkEnd w:id="53"/>
      <w:r w:rsidRPr="008E1156">
        <w:rPr>
          <w:i/>
          <w:iCs/>
          <w:lang w:val="fr-FR"/>
        </w:rPr>
        <w:t>)</w:t>
      </w:r>
    </w:p>
    <w:p w:rsidR="002F42AA" w:rsidRPr="008E1156" w:rsidRDefault="002F42AA" w:rsidP="002F42AA">
      <w:pPr>
        <w:pStyle w:val="SingleTxtG"/>
        <w:spacing w:before="120"/>
        <w:rPr>
          <w:b/>
          <w:color w:val="548DD4" w:themeColor="text2" w:themeTint="99"/>
          <w:lang w:val="fr-FR"/>
        </w:rPr>
      </w:pPr>
      <w:r w:rsidRPr="008E1156">
        <w:rPr>
          <w:color w:val="548DD4" w:themeColor="text2" w:themeTint="99"/>
          <w:lang w:val="fr-FR"/>
        </w:rPr>
        <w:t>Pour « MÉTHACRYLATE DE 2-DIMÉTHYLAMINOÉTHYLE », dans la colonne « Nom et description » ajouter « STABILISÉ » à la fin.</w:t>
      </w:r>
    </w:p>
    <w:p w:rsidR="002F42AA" w:rsidRPr="008E1156" w:rsidRDefault="002F42AA" w:rsidP="002F42AA">
      <w:pPr>
        <w:pStyle w:val="SingleTxtG"/>
        <w:rPr>
          <w:color w:val="548DD4" w:themeColor="text2" w:themeTint="99"/>
          <w:lang w:val="fr-FR"/>
        </w:rPr>
      </w:pPr>
      <w:bookmarkStart w:id="54" w:name="_Hlk19638317"/>
      <w:r w:rsidRPr="008E1156">
        <w:rPr>
          <w:color w:val="548DD4" w:themeColor="text2" w:themeTint="99"/>
          <w:lang w:val="fr-FR"/>
        </w:rPr>
        <w:t>Pour « MATIÈRES RADIOACTIVES, OBJETS CONTAMINÉS SUPERFICIELLEMENT (SCO-I ou SCO-II) non fissiles ou fissiles exceptés », remplacer « (SCO-I ou SCO-II) » par « (SCO-I, SCO-II ou SCO-III) ».</w:t>
      </w:r>
    </w:p>
    <w:bookmarkEnd w:id="54"/>
    <w:p w:rsidR="002F42AA" w:rsidRDefault="002F42AA" w:rsidP="002F42AA">
      <w:pPr>
        <w:pStyle w:val="SingleTxtG"/>
        <w:rPr>
          <w:lang w:val="fr-FR"/>
        </w:rPr>
      </w:pPr>
      <w:r w:rsidRPr="00C85ADC">
        <w:rPr>
          <w:lang w:val="fr-FR"/>
        </w:rPr>
        <w:t>Les amendements à la version anglaise pour « RADIOACTIVE MATERIAL, LOW SPECIFIC ACTIVITY, (LSA-III), FISSILE », « TRINITROCHLOROBENZENE WETTED » et « TRINITROPHENOL WETTED » sont sans objet en français.</w:t>
      </w:r>
    </w:p>
    <w:p w:rsidR="008E1156" w:rsidRDefault="008E1156" w:rsidP="008E1156">
      <w:pPr>
        <w:pStyle w:val="SingleTxtG"/>
        <w:spacing w:before="120"/>
      </w:pPr>
      <w:r w:rsidRPr="00970F67">
        <w:rPr>
          <w:i/>
          <w:iCs/>
        </w:rPr>
        <w:t>(</w:t>
      </w:r>
      <w:r w:rsidR="00EF52B3">
        <w:rPr>
          <w:i/>
          <w:iCs/>
        </w:rPr>
        <w:t xml:space="preserve">Document de </w:t>
      </w:r>
      <w:proofErr w:type="gramStart"/>
      <w:r w:rsidR="00EF52B3">
        <w:rPr>
          <w:i/>
          <w:iCs/>
        </w:rPr>
        <w:t>référence</w:t>
      </w:r>
      <w:r w:rsidRPr="00970F67">
        <w:rPr>
          <w:i/>
          <w:iCs/>
        </w:rPr>
        <w:t>:</w:t>
      </w:r>
      <w:proofErr w:type="gramEnd"/>
      <w:r w:rsidRPr="00970F67">
        <w:rPr>
          <w:i/>
          <w:iCs/>
        </w:rPr>
        <w:t xml:space="preserve"> ECE/TRANS/WP.15/AC.1/156, </w:t>
      </w:r>
      <w:r w:rsidR="00C35261">
        <w:rPr>
          <w:i/>
          <w:iCs/>
        </w:rPr>
        <w:t>annexe</w:t>
      </w:r>
      <w:r w:rsidRPr="00970F67">
        <w:rPr>
          <w:i/>
          <w:iCs/>
        </w:rPr>
        <w:t xml:space="preserve"> II)</w:t>
      </w:r>
    </w:p>
    <w:p w:rsidR="001E23A0" w:rsidRPr="008E1156" w:rsidRDefault="001E23A0" w:rsidP="001E23A0">
      <w:pPr>
        <w:spacing w:before="120" w:after="120" w:line="240" w:lineRule="auto"/>
        <w:ind w:left="1134" w:right="1134"/>
        <w:jc w:val="both"/>
        <w:rPr>
          <w:iCs/>
          <w:color w:val="548DD4" w:themeColor="text2" w:themeTint="99"/>
          <w:lang w:val="fr-FR"/>
        </w:rPr>
      </w:pPr>
      <w:r w:rsidRPr="008E1156">
        <w:rPr>
          <w:iCs/>
          <w:color w:val="548DD4" w:themeColor="text2" w:themeTint="99"/>
          <w:lang w:val="fr-FR"/>
        </w:rPr>
        <w:t>Ajouter les nouvelles rubriques suivantes dans l’ordre alphabétique :</w:t>
      </w:r>
    </w:p>
    <w:tbl>
      <w:tblPr>
        <w:tblW w:w="6938"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084"/>
      </w:tblGrid>
      <w:tr w:rsidR="001E23A0" w:rsidRPr="008E1156" w:rsidTr="00516D62">
        <w:trPr>
          <w:cantSplit/>
          <w:trHeight w:val="403"/>
        </w:trPr>
        <w:tc>
          <w:tcPr>
            <w:tcW w:w="4770" w:type="dxa"/>
          </w:tcPr>
          <w:p w:rsidR="001E23A0" w:rsidRPr="008E1156" w:rsidRDefault="001E23A0" w:rsidP="00516D62">
            <w:pPr>
              <w:suppressAutoHyphens w:val="0"/>
              <w:spacing w:before="40" w:after="40" w:line="220" w:lineRule="exact"/>
              <w:ind w:right="113"/>
              <w:rPr>
                <w:color w:val="548DD4" w:themeColor="text2" w:themeTint="99"/>
                <w:lang w:val="fr-FR"/>
              </w:rPr>
            </w:pPr>
            <w:r w:rsidRPr="008E1156">
              <w:rPr>
                <w:color w:val="548DD4" w:themeColor="text2" w:themeTint="99"/>
                <w:lang w:val="fr-FR"/>
              </w:rPr>
              <w:t>DÉCHETS MÉDICAUX INFECTIEUX POUR L’HOMME, CATÉGORIE A, solides</w:t>
            </w:r>
          </w:p>
        </w:tc>
        <w:tc>
          <w:tcPr>
            <w:tcW w:w="1084" w:type="dxa"/>
          </w:tcPr>
          <w:p w:rsidR="001E23A0" w:rsidRPr="008E1156" w:rsidRDefault="001E23A0" w:rsidP="00516D62">
            <w:pPr>
              <w:spacing w:after="120"/>
              <w:ind w:left="284" w:hanging="284"/>
              <w:jc w:val="center"/>
              <w:rPr>
                <w:color w:val="548DD4" w:themeColor="text2" w:themeTint="99"/>
                <w:lang w:val="fr-FR"/>
              </w:rPr>
            </w:pPr>
            <w:r w:rsidRPr="008E1156">
              <w:rPr>
                <w:color w:val="548DD4" w:themeColor="text2" w:themeTint="99"/>
                <w:lang w:val="fr-FR"/>
              </w:rPr>
              <w:t>3549</w:t>
            </w:r>
          </w:p>
        </w:tc>
        <w:tc>
          <w:tcPr>
            <w:tcW w:w="1084" w:type="dxa"/>
          </w:tcPr>
          <w:p w:rsidR="001E23A0" w:rsidRPr="008E1156" w:rsidRDefault="001E23A0" w:rsidP="00516D62">
            <w:pPr>
              <w:spacing w:after="120"/>
              <w:ind w:left="284" w:hanging="284"/>
              <w:jc w:val="center"/>
              <w:rPr>
                <w:color w:val="548DD4" w:themeColor="text2" w:themeTint="99"/>
                <w:lang w:val="fr-FR"/>
              </w:rPr>
            </w:pPr>
            <w:r w:rsidRPr="008E1156">
              <w:rPr>
                <w:color w:val="548DD4" w:themeColor="text2" w:themeTint="99"/>
                <w:lang w:val="fr-FR"/>
              </w:rPr>
              <w:t>6.2</w:t>
            </w:r>
          </w:p>
        </w:tc>
      </w:tr>
      <w:tr w:rsidR="001E23A0" w:rsidRPr="008E1156" w:rsidTr="00516D62">
        <w:trPr>
          <w:cantSplit/>
          <w:trHeight w:val="403"/>
        </w:trPr>
        <w:tc>
          <w:tcPr>
            <w:tcW w:w="4770" w:type="dxa"/>
          </w:tcPr>
          <w:p w:rsidR="001E23A0" w:rsidRPr="008E1156" w:rsidRDefault="001E23A0" w:rsidP="00516D62">
            <w:pPr>
              <w:suppressAutoHyphens w:val="0"/>
              <w:spacing w:before="40" w:after="40" w:line="220" w:lineRule="exact"/>
              <w:ind w:right="113"/>
              <w:rPr>
                <w:color w:val="548DD4" w:themeColor="text2" w:themeTint="99"/>
                <w:lang w:val="fr-FR"/>
              </w:rPr>
            </w:pPr>
            <w:r w:rsidRPr="008E1156">
              <w:rPr>
                <w:color w:val="548DD4" w:themeColor="text2" w:themeTint="99"/>
                <w:lang w:val="fr-FR"/>
              </w:rPr>
              <w:t>DÉCHETS MÉDICAUX INFECTIEUX POUR LES ANIMAUX uniquement, CATÉGORIE A, solides</w:t>
            </w:r>
          </w:p>
        </w:tc>
        <w:tc>
          <w:tcPr>
            <w:tcW w:w="1084" w:type="dxa"/>
          </w:tcPr>
          <w:p w:rsidR="001E23A0" w:rsidRPr="008E1156" w:rsidRDefault="001E23A0" w:rsidP="00516D62">
            <w:pPr>
              <w:spacing w:after="120"/>
              <w:ind w:left="284" w:hanging="284"/>
              <w:jc w:val="center"/>
              <w:rPr>
                <w:color w:val="548DD4" w:themeColor="text2" w:themeTint="99"/>
                <w:lang w:val="fr-FR"/>
              </w:rPr>
            </w:pPr>
            <w:r w:rsidRPr="008E1156">
              <w:rPr>
                <w:color w:val="548DD4" w:themeColor="text2" w:themeTint="99"/>
                <w:lang w:val="fr-FR"/>
              </w:rPr>
              <w:t>3549</w:t>
            </w:r>
          </w:p>
        </w:tc>
        <w:tc>
          <w:tcPr>
            <w:tcW w:w="1084" w:type="dxa"/>
          </w:tcPr>
          <w:p w:rsidR="001E23A0" w:rsidRPr="008E1156" w:rsidRDefault="001E23A0" w:rsidP="00516D62">
            <w:pPr>
              <w:spacing w:after="120"/>
              <w:ind w:left="284" w:hanging="284"/>
              <w:jc w:val="center"/>
              <w:rPr>
                <w:color w:val="548DD4" w:themeColor="text2" w:themeTint="99"/>
                <w:lang w:val="fr-FR"/>
              </w:rPr>
            </w:pPr>
            <w:r w:rsidRPr="008E1156">
              <w:rPr>
                <w:color w:val="548DD4" w:themeColor="text2" w:themeTint="99"/>
                <w:lang w:val="fr-FR"/>
              </w:rPr>
              <w:t>6.2</w:t>
            </w:r>
          </w:p>
        </w:tc>
      </w:tr>
      <w:tr w:rsidR="001E23A0" w:rsidRPr="008E1156" w:rsidTr="00516D62">
        <w:trPr>
          <w:cantSplit/>
          <w:trHeight w:val="403"/>
        </w:trPr>
        <w:tc>
          <w:tcPr>
            <w:tcW w:w="4770" w:type="dxa"/>
          </w:tcPr>
          <w:p w:rsidR="001E23A0" w:rsidRPr="008E1156" w:rsidRDefault="001E23A0" w:rsidP="00516D62">
            <w:pPr>
              <w:suppressAutoHyphens w:val="0"/>
              <w:spacing w:before="40" w:after="40" w:line="220" w:lineRule="exact"/>
              <w:ind w:right="113"/>
              <w:rPr>
                <w:color w:val="548DD4" w:themeColor="text2" w:themeTint="99"/>
                <w:lang w:val="fr-FR"/>
              </w:rPr>
            </w:pPr>
            <w:r w:rsidRPr="008E1156">
              <w:rPr>
                <w:color w:val="548DD4" w:themeColor="text2" w:themeTint="99"/>
                <w:lang w:val="fr-FR"/>
              </w:rPr>
              <w:t>MARCHANDISES DANGEREUSES CONTENUES DANS DES OBJETS </w:t>
            </w:r>
          </w:p>
        </w:tc>
        <w:tc>
          <w:tcPr>
            <w:tcW w:w="1084" w:type="dxa"/>
          </w:tcPr>
          <w:p w:rsidR="001E23A0" w:rsidRPr="008E1156" w:rsidRDefault="001E23A0" w:rsidP="00516D62">
            <w:pPr>
              <w:spacing w:after="120"/>
              <w:ind w:left="284" w:hanging="284"/>
              <w:jc w:val="center"/>
              <w:rPr>
                <w:color w:val="548DD4" w:themeColor="text2" w:themeTint="99"/>
                <w:lang w:val="fr-FR"/>
              </w:rPr>
            </w:pPr>
            <w:r w:rsidRPr="008E1156">
              <w:rPr>
                <w:color w:val="548DD4" w:themeColor="text2" w:themeTint="99"/>
                <w:lang w:val="fr-FR"/>
              </w:rPr>
              <w:t>3363</w:t>
            </w:r>
          </w:p>
        </w:tc>
        <w:tc>
          <w:tcPr>
            <w:tcW w:w="1084" w:type="dxa"/>
          </w:tcPr>
          <w:p w:rsidR="001E23A0" w:rsidRPr="008E1156" w:rsidRDefault="001E23A0" w:rsidP="00516D62">
            <w:pPr>
              <w:spacing w:after="120"/>
              <w:ind w:left="284" w:hanging="284"/>
              <w:jc w:val="center"/>
              <w:rPr>
                <w:color w:val="548DD4" w:themeColor="text2" w:themeTint="99"/>
                <w:lang w:val="fr-FR"/>
              </w:rPr>
            </w:pPr>
            <w:r w:rsidRPr="008E1156">
              <w:rPr>
                <w:color w:val="548DD4" w:themeColor="text2" w:themeTint="99"/>
                <w:lang w:val="fr-FR"/>
              </w:rPr>
              <w:t>9</w:t>
            </w:r>
          </w:p>
        </w:tc>
      </w:tr>
      <w:tr w:rsidR="008E1156" w:rsidRPr="008E1156" w:rsidTr="00516D62">
        <w:trPr>
          <w:cantSplit/>
          <w:trHeight w:val="403"/>
        </w:trPr>
        <w:tc>
          <w:tcPr>
            <w:tcW w:w="4770" w:type="dxa"/>
          </w:tcPr>
          <w:p w:rsidR="001E23A0" w:rsidRPr="008E1156" w:rsidRDefault="001E23A0" w:rsidP="00516D62">
            <w:pPr>
              <w:suppressAutoHyphens w:val="0"/>
              <w:spacing w:before="40" w:after="40" w:line="220" w:lineRule="exact"/>
              <w:ind w:right="113"/>
              <w:rPr>
                <w:color w:val="548DD4" w:themeColor="text2" w:themeTint="99"/>
                <w:lang w:val="fr-FR"/>
              </w:rPr>
            </w:pPr>
            <w:r w:rsidRPr="008E1156">
              <w:rPr>
                <w:color w:val="548DD4" w:themeColor="text2" w:themeTint="99"/>
                <w:lang w:val="fr-FR"/>
              </w:rPr>
              <w:t>DÉTONATEURS de mine (de sautage) ÉLECTRONIQUE programmables</w:t>
            </w:r>
          </w:p>
        </w:tc>
        <w:tc>
          <w:tcPr>
            <w:tcW w:w="1084" w:type="dxa"/>
          </w:tcPr>
          <w:p w:rsidR="001E23A0" w:rsidRPr="008E1156" w:rsidRDefault="001E23A0" w:rsidP="00516D62">
            <w:pPr>
              <w:spacing w:after="120"/>
              <w:jc w:val="center"/>
              <w:rPr>
                <w:color w:val="548DD4" w:themeColor="text2" w:themeTint="99"/>
                <w:lang w:val="fr-FR"/>
              </w:rPr>
            </w:pPr>
            <w:r w:rsidRPr="008E1156">
              <w:rPr>
                <w:color w:val="548DD4" w:themeColor="text2" w:themeTint="99"/>
                <w:lang w:val="fr-FR"/>
              </w:rPr>
              <w:t>0511</w:t>
            </w:r>
            <w:r w:rsidRPr="008E1156">
              <w:rPr>
                <w:color w:val="548DD4" w:themeColor="text2" w:themeTint="99"/>
                <w:lang w:val="fr-FR"/>
              </w:rPr>
              <w:br/>
              <w:t>0512</w:t>
            </w:r>
            <w:r w:rsidRPr="008E1156">
              <w:rPr>
                <w:color w:val="548DD4" w:themeColor="text2" w:themeTint="99"/>
                <w:lang w:val="fr-FR"/>
              </w:rPr>
              <w:br/>
              <w:t>0513</w:t>
            </w:r>
          </w:p>
        </w:tc>
        <w:tc>
          <w:tcPr>
            <w:tcW w:w="1084" w:type="dxa"/>
          </w:tcPr>
          <w:p w:rsidR="001E23A0" w:rsidRPr="008E1156" w:rsidRDefault="001E23A0" w:rsidP="00516D62">
            <w:pPr>
              <w:spacing w:after="120"/>
              <w:jc w:val="center"/>
              <w:rPr>
                <w:color w:val="548DD4" w:themeColor="text2" w:themeTint="99"/>
                <w:lang w:val="fr-FR"/>
              </w:rPr>
            </w:pPr>
            <w:r w:rsidRPr="008E1156">
              <w:rPr>
                <w:color w:val="548DD4" w:themeColor="text2" w:themeTint="99"/>
                <w:lang w:val="fr-FR"/>
              </w:rPr>
              <w:t>1</w:t>
            </w:r>
            <w:r w:rsidRPr="008E1156">
              <w:rPr>
                <w:color w:val="548DD4" w:themeColor="text2" w:themeTint="99"/>
                <w:lang w:val="fr-FR"/>
              </w:rPr>
              <w:br/>
              <w:t>1</w:t>
            </w:r>
            <w:r w:rsidRPr="008E1156">
              <w:rPr>
                <w:color w:val="548DD4" w:themeColor="text2" w:themeTint="99"/>
                <w:lang w:val="fr-FR"/>
              </w:rPr>
              <w:br/>
              <w:t>1</w:t>
            </w:r>
          </w:p>
        </w:tc>
      </w:tr>
    </w:tbl>
    <w:p w:rsidR="002F42AA" w:rsidRPr="00C85ADC" w:rsidRDefault="002F42AA" w:rsidP="002F42AA">
      <w:pPr>
        <w:pStyle w:val="H1G"/>
        <w:rPr>
          <w:lang w:val="fr-FR"/>
        </w:rPr>
      </w:pPr>
      <w:r w:rsidRPr="00C85ADC">
        <w:rPr>
          <w:lang w:val="fr-FR"/>
        </w:rPr>
        <w:tab/>
      </w:r>
      <w:r w:rsidRPr="00C85ADC">
        <w:rPr>
          <w:lang w:val="fr-FR"/>
        </w:rPr>
        <w:tab/>
        <w:t>Chapitre 3.3</w:t>
      </w:r>
    </w:p>
    <w:p w:rsidR="002F42AA" w:rsidRPr="008E1156" w:rsidRDefault="002F42AA" w:rsidP="002F42AA">
      <w:pPr>
        <w:pStyle w:val="SingleTxtG"/>
        <w:tabs>
          <w:tab w:val="left" w:pos="2268"/>
        </w:tabs>
        <w:ind w:left="2259" w:hanging="1125"/>
        <w:rPr>
          <w:b/>
          <w:bCs/>
          <w:color w:val="548DD4" w:themeColor="text2" w:themeTint="99"/>
          <w:lang w:val="fr-FR"/>
        </w:rPr>
      </w:pPr>
      <w:r w:rsidRPr="008E1156">
        <w:rPr>
          <w:color w:val="548DD4" w:themeColor="text2" w:themeTint="99"/>
          <w:szCs w:val="24"/>
          <w:lang w:val="fr-FR"/>
        </w:rPr>
        <w:t>Disposition spéciale (DS) 188</w:t>
      </w:r>
      <w:r w:rsidRPr="008E1156">
        <w:rPr>
          <w:color w:val="548DD4" w:themeColor="text2" w:themeTint="99"/>
          <w:szCs w:val="24"/>
          <w:lang w:val="fr-FR"/>
        </w:rPr>
        <w:tab/>
        <w:t>L’amendement à la version anglaise est sans objet en français.</w:t>
      </w:r>
    </w:p>
    <w:p w:rsidR="002F42AA" w:rsidRPr="008E1156" w:rsidRDefault="002F42AA" w:rsidP="002F42AA">
      <w:pPr>
        <w:pStyle w:val="SingleTxtG"/>
        <w:tabs>
          <w:tab w:val="left" w:pos="2268"/>
        </w:tabs>
        <w:ind w:left="2259" w:hanging="1125"/>
        <w:rPr>
          <w:rFonts w:asciiTheme="majorBidi" w:hAnsiTheme="majorBidi" w:cstheme="majorBidi"/>
          <w:color w:val="548DD4" w:themeColor="text2" w:themeTint="99"/>
          <w:lang w:val="fr-FR"/>
        </w:rPr>
      </w:pPr>
      <w:r w:rsidRPr="008E1156">
        <w:rPr>
          <w:rFonts w:asciiTheme="majorBidi" w:hAnsiTheme="majorBidi" w:cstheme="majorBidi"/>
          <w:color w:val="548DD4" w:themeColor="text2" w:themeTint="99"/>
          <w:lang w:val="fr-FR"/>
        </w:rPr>
        <w:t>DS 237</w:t>
      </w:r>
      <w:r w:rsidRPr="008E1156">
        <w:rPr>
          <w:rFonts w:asciiTheme="majorBidi" w:hAnsiTheme="majorBidi" w:cstheme="majorBidi"/>
          <w:color w:val="548DD4" w:themeColor="text2" w:themeTint="99"/>
          <w:lang w:val="fr-FR"/>
        </w:rPr>
        <w:tab/>
        <w:t>Remplacer « sous-section 33.2.1 »</w:t>
      </w:r>
      <w:r w:rsidRPr="008E1156">
        <w:rPr>
          <w:rFonts w:asciiTheme="majorBidi" w:hAnsiTheme="majorBidi" w:cstheme="majorBidi"/>
          <w:color w:val="548DD4" w:themeColor="text2" w:themeTint="99"/>
          <w:lang w:val="fr-FR" w:eastAsia="en-GB"/>
        </w:rPr>
        <w:t xml:space="preserve"> par « sous-section 33.2 ».</w:t>
      </w:r>
    </w:p>
    <w:p w:rsidR="002F42AA" w:rsidRPr="008E1156" w:rsidRDefault="002F42AA" w:rsidP="002F42AA">
      <w:pPr>
        <w:pStyle w:val="SingleTxtG"/>
        <w:tabs>
          <w:tab w:val="left" w:pos="2268"/>
        </w:tabs>
        <w:ind w:left="2259" w:hanging="1125"/>
        <w:rPr>
          <w:rFonts w:asciiTheme="majorBidi" w:hAnsiTheme="majorBidi" w:cstheme="majorBidi"/>
          <w:color w:val="548DD4" w:themeColor="text2" w:themeTint="99"/>
          <w:lang w:val="fr-FR"/>
        </w:rPr>
      </w:pPr>
      <w:r w:rsidRPr="008E1156">
        <w:rPr>
          <w:rFonts w:asciiTheme="majorBidi" w:hAnsiTheme="majorBidi" w:cstheme="majorBidi"/>
          <w:color w:val="548DD4" w:themeColor="text2" w:themeTint="99"/>
          <w:lang w:val="fr-FR"/>
        </w:rPr>
        <w:t>DS 241</w:t>
      </w:r>
      <w:r w:rsidRPr="008E1156">
        <w:rPr>
          <w:rFonts w:asciiTheme="majorBidi" w:hAnsiTheme="majorBidi" w:cstheme="majorBidi"/>
          <w:color w:val="548DD4" w:themeColor="text2" w:themeTint="99"/>
          <w:lang w:val="fr-FR"/>
        </w:rPr>
        <w:tab/>
        <w:t>Remplacer « sous-section 33.2.1.4 »</w:t>
      </w:r>
      <w:r w:rsidRPr="008E1156">
        <w:rPr>
          <w:rFonts w:asciiTheme="majorBidi" w:hAnsiTheme="majorBidi" w:cstheme="majorBidi"/>
          <w:color w:val="548DD4" w:themeColor="text2" w:themeTint="99"/>
          <w:lang w:val="fr-FR" w:eastAsia="en-GB"/>
        </w:rPr>
        <w:t xml:space="preserve"> par « sous-section 33.2.4 ».</w:t>
      </w:r>
    </w:p>
    <w:p w:rsidR="002F42AA" w:rsidRPr="008E1156" w:rsidRDefault="002F42AA" w:rsidP="002F42AA">
      <w:pPr>
        <w:pStyle w:val="SingleTxtG"/>
        <w:tabs>
          <w:tab w:val="left" w:pos="2268"/>
        </w:tabs>
        <w:ind w:left="2259" w:hanging="1125"/>
        <w:rPr>
          <w:color w:val="548DD4" w:themeColor="text2" w:themeTint="99"/>
          <w:lang w:val="fr-FR"/>
        </w:rPr>
      </w:pPr>
      <w:r w:rsidRPr="008E1156">
        <w:rPr>
          <w:color w:val="548DD4" w:themeColor="text2" w:themeTint="99"/>
          <w:lang w:val="fr-FR"/>
        </w:rPr>
        <w:t>DS 301 </w:t>
      </w:r>
      <w:r w:rsidRPr="008E1156">
        <w:rPr>
          <w:color w:val="548DD4" w:themeColor="text2" w:themeTint="99"/>
          <w:lang w:val="fr-FR"/>
        </w:rPr>
        <w:tab/>
        <w:t xml:space="preserve">Dans la première phrase, remplacer « machines ou appareils » par « objets tels que machines, appareils ou dispositifs ». Dans les deuxième, troisième, </w:t>
      </w:r>
      <w:proofErr w:type="gramStart"/>
      <w:r w:rsidRPr="008E1156">
        <w:rPr>
          <w:color w:val="548DD4" w:themeColor="text2" w:themeTint="99"/>
          <w:lang w:val="fr-FR"/>
        </w:rPr>
        <w:t>quatrième et cinquième phrases</w:t>
      </w:r>
      <w:proofErr w:type="gramEnd"/>
      <w:r w:rsidRPr="008E1156">
        <w:rPr>
          <w:color w:val="548DD4" w:themeColor="text2" w:themeTint="99"/>
          <w:lang w:val="fr-FR"/>
        </w:rPr>
        <w:t xml:space="preserve"> et dans la dernière phrase, remplacer « machines ou appareils » ou « machines et appareils » par « objets ».</w:t>
      </w:r>
    </w:p>
    <w:p w:rsidR="002F42AA" w:rsidRPr="008E1156" w:rsidRDefault="002F42AA" w:rsidP="002F42AA">
      <w:pPr>
        <w:pStyle w:val="SingleTxtG"/>
        <w:tabs>
          <w:tab w:val="left" w:pos="2268"/>
        </w:tabs>
        <w:ind w:left="2268" w:hanging="1134"/>
        <w:rPr>
          <w:lang w:val="fr-FR"/>
        </w:rPr>
      </w:pPr>
      <w:r w:rsidRPr="008E1156">
        <w:rPr>
          <w:lang w:val="fr-FR"/>
        </w:rPr>
        <w:t>DS 301</w:t>
      </w:r>
      <w:r w:rsidRPr="008E1156">
        <w:rPr>
          <w:lang w:val="fr-FR"/>
        </w:rPr>
        <w:tab/>
      </w:r>
      <w:bookmarkStart w:id="55" w:name="_Hlk23855324"/>
      <w:r w:rsidRPr="008E1156">
        <w:rPr>
          <w:lang w:val="fr-FR"/>
        </w:rPr>
        <w:t>Supprimer le Nota.</w:t>
      </w:r>
    </w:p>
    <w:p w:rsidR="002F42AA" w:rsidRPr="008E1156" w:rsidRDefault="002F42AA" w:rsidP="002F42AA">
      <w:pPr>
        <w:pStyle w:val="SingleTxtG"/>
        <w:rPr>
          <w:i/>
          <w:iCs/>
          <w:lang w:val="fr-FR"/>
        </w:rPr>
      </w:pPr>
      <w:r w:rsidRPr="008E1156">
        <w:rPr>
          <w:i/>
          <w:iCs/>
          <w:lang w:val="fr-FR"/>
        </w:rPr>
        <w:t xml:space="preserve">(Document de </w:t>
      </w:r>
      <w:proofErr w:type="gramStart"/>
      <w:r w:rsidRPr="008E1156">
        <w:rPr>
          <w:i/>
          <w:iCs/>
          <w:lang w:val="fr-FR"/>
        </w:rPr>
        <w:t>référence:</w:t>
      </w:r>
      <w:proofErr w:type="gramEnd"/>
      <w:r w:rsidRPr="008E1156">
        <w:rPr>
          <w:i/>
          <w:iCs/>
          <w:lang w:val="fr-FR"/>
        </w:rPr>
        <w:t xml:space="preserve"> </w:t>
      </w:r>
      <w:r w:rsidR="006A314D" w:rsidRPr="00C11675">
        <w:rPr>
          <w:i/>
          <w:iCs/>
        </w:rPr>
        <w:t xml:space="preserve">ECE/TRANS/WP.15/AC.1/154, </w:t>
      </w:r>
      <w:r w:rsidR="00C35261">
        <w:rPr>
          <w:i/>
          <w:iCs/>
        </w:rPr>
        <w:t>annexe</w:t>
      </w:r>
      <w:r w:rsidR="006A314D" w:rsidRPr="00C11675">
        <w:rPr>
          <w:i/>
          <w:iCs/>
        </w:rPr>
        <w:t xml:space="preserve"> II</w:t>
      </w:r>
      <w:r w:rsidRPr="008E1156">
        <w:rPr>
          <w:i/>
          <w:iCs/>
          <w:lang w:val="fr-FR"/>
        </w:rPr>
        <w:t>)</w:t>
      </w:r>
    </w:p>
    <w:bookmarkEnd w:id="55"/>
    <w:p w:rsidR="002F42AA" w:rsidRPr="006A314D" w:rsidRDefault="002F42AA" w:rsidP="002F42AA">
      <w:pPr>
        <w:pStyle w:val="SingleTxtG"/>
        <w:tabs>
          <w:tab w:val="left" w:pos="2268"/>
        </w:tabs>
        <w:ind w:left="2259" w:hanging="1125"/>
        <w:rPr>
          <w:iCs/>
          <w:color w:val="548DD4" w:themeColor="text2" w:themeTint="99"/>
          <w:lang w:val="fr-FR"/>
        </w:rPr>
      </w:pPr>
      <w:r w:rsidRPr="006A314D">
        <w:rPr>
          <w:iCs/>
          <w:color w:val="548DD4" w:themeColor="text2" w:themeTint="99"/>
          <w:lang w:val="fr-FR"/>
        </w:rPr>
        <w:t>DS 309</w:t>
      </w:r>
      <w:r w:rsidRPr="006A314D">
        <w:rPr>
          <w:iCs/>
          <w:color w:val="548DD4" w:themeColor="text2" w:themeTint="99"/>
          <w:lang w:val="fr-FR"/>
        </w:rPr>
        <w:tab/>
        <w:t>Dans le dernier paragraphe, remplacer « doivent satisfaire aux épreuves 8 a), 8 b) et 8 c) » par « doivent satisfaire aux critères de classification en tant qu’</w:t>
      </w:r>
      <w:bookmarkStart w:id="56" w:name="_Hlk19638399"/>
      <w:r w:rsidRPr="006A314D">
        <w:rPr>
          <w:color w:val="548DD4" w:themeColor="text2" w:themeTint="99"/>
          <w:szCs w:val="22"/>
          <w:lang w:val="fr-FR"/>
        </w:rPr>
        <w:t>émulsion, suspension ou gel de nitrate d’ammonium servant à la fabrication d’explosifs de mine (ENA)</w:t>
      </w:r>
      <w:bookmarkEnd w:id="56"/>
      <w:r w:rsidRPr="006A314D">
        <w:rPr>
          <w:iCs/>
          <w:color w:val="548DD4" w:themeColor="text2" w:themeTint="99"/>
          <w:lang w:val="fr-FR"/>
        </w:rPr>
        <w:t> ».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lastRenderedPageBreak/>
        <w:t>DS 327</w:t>
      </w:r>
      <w:r w:rsidRPr="006A314D">
        <w:rPr>
          <w:color w:val="548DD4" w:themeColor="text2" w:themeTint="99"/>
          <w:lang w:val="fr-FR"/>
        </w:rPr>
        <w:tab/>
        <w:t xml:space="preserve">Dans la première phrase, remplacer « Les générateurs d’aérosol » par « Les générateurs d’aérosol et les cartouches à gaz » et « transportés sous cette rubrique » par « transportés sous les Nos ONU 1950 ou 2037, selon le cas ».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xml:space="preserve">Après la troisième phrase, insérer la nouvelle phrase suivante : « Les cartouches à gaz mises au rebut, à l’exclusion de celles qui présentent des fuites ou de graves déformations, doivent être emballées conformément à l’instruction d’emballage P003 et aux dispositions spéciales d’emballage PP17 et PP96 de l’ADR, ou à l’instruction d’emballage LP200 et à la disposition spéciale d’emballage L2 de l’ADR. ».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xml:space="preserve">Dans la phrase suivante, après « les générateurs d’aérosol », ajouter « et les cartouches à gaz » et remplacer « transportés dans des emballages de secours » par « transportés dans des récipients à pression de secours ou des emballages de secours ».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xml:space="preserve">Dans la dernière phrase, remplacer « les générateurs d’aérosol mis au rebut ne doivent pas » par « les générateurs d’aérosol et les cartouches à gaz mis au rebut ne doivent pas ».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xml:space="preserve">Ajouter le nouveau paragraphe suivant à la fin :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Les cartouches à gaz mises au rebut qui contenaient des gaz non-inflammables et non-toxiques du groupe A ou O de la classe 2, et ont été percées ne sont pas soumises aux prescriptions de l’ADN.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DS 356</w:t>
      </w:r>
      <w:r w:rsidRPr="006A314D">
        <w:rPr>
          <w:color w:val="548DD4" w:themeColor="text2" w:themeTint="99"/>
          <w:lang w:val="fr-FR"/>
        </w:rPr>
        <w:tab/>
        <w:t xml:space="preserve">Après « des bateaux », ajouter </w:t>
      </w:r>
      <w:proofErr w:type="gramStart"/>
      <w:r w:rsidRPr="006A314D">
        <w:rPr>
          <w:color w:val="548DD4" w:themeColor="text2" w:themeTint="99"/>
          <w:lang w:val="fr-FR"/>
        </w:rPr>
        <w:t>« ,</w:t>
      </w:r>
      <w:proofErr w:type="gramEnd"/>
      <w:r w:rsidRPr="006A314D">
        <w:rPr>
          <w:color w:val="548DD4" w:themeColor="text2" w:themeTint="99"/>
          <w:lang w:val="fr-FR"/>
        </w:rPr>
        <w:t xml:space="preserve"> des machines, des moteurs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DS 360</w:t>
      </w:r>
      <w:r w:rsidRPr="006A314D">
        <w:rPr>
          <w:color w:val="548DD4" w:themeColor="text2" w:themeTint="99"/>
          <w:lang w:val="fr-FR"/>
        </w:rPr>
        <w:tab/>
        <w:t>Remplacer « classés sous » par « affectés à ». Ajouter la phrase suivante à la fin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Les batteries au lithium installées dans un engin de transport, conçues uniquement pour fournir de l’énergie hors de l’engin de transport doivent être affectées à la rubrique ONU 3536 BATTERIES AU LITHIUM INSTALLÉES DANS DES ENGINS DE TRANSPORT batteries au lithium ionique ou batteries au lithium métal.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DS 370</w:t>
      </w:r>
      <w:r w:rsidRPr="006A314D">
        <w:rPr>
          <w:color w:val="548DD4" w:themeColor="text2" w:themeTint="99"/>
          <w:lang w:val="fr-FR"/>
        </w:rPr>
        <w:tab/>
        <w:t>Modifier la première phrase pour lire comme suit : « Cette rubrique s’applique uniquement au nitrate d’ammonium qui répond à l’un des critères suivants : » et à la fin du premier tiret remplacer « ; et » par « ; </w:t>
      </w:r>
      <w:proofErr w:type="gramStart"/>
      <w:r w:rsidRPr="006A314D">
        <w:rPr>
          <w:color w:val="548DD4" w:themeColor="text2" w:themeTint="99"/>
          <w:lang w:val="fr-FR"/>
        </w:rPr>
        <w:t>ou »</w:t>
      </w:r>
      <w:proofErr w:type="gramEnd"/>
      <w:r w:rsidRPr="006A314D">
        <w:rPr>
          <w:color w:val="548DD4" w:themeColor="text2" w:themeTint="99"/>
          <w:lang w:val="fr-FR"/>
        </w:rPr>
        <w:t>.</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xml:space="preserve">Ajouter le nouveau paragraphe suivant, après les tirets :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Cette rubrique ne doit pas être utilisée pour le nitrate d’ammonium pour lequel une désignation officielle de transport existe dans le tableau A du chapitre 3.2 y compris le nitrate d’ammonium mélangé au gazole (ANFO) ou tout nitrate d’ammonium de qualité commerciale. ».</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ab/>
        <w:t xml:space="preserve">Numérotez le premier tiret </w:t>
      </w:r>
      <w:proofErr w:type="gramStart"/>
      <w:r w:rsidRPr="006A314D">
        <w:rPr>
          <w:color w:val="548DD4" w:themeColor="text2" w:themeTint="99"/>
          <w:lang w:val="fr-FR"/>
        </w:rPr>
        <w:t>en tant que a</w:t>
      </w:r>
      <w:proofErr w:type="gramEnd"/>
      <w:r w:rsidRPr="006A314D">
        <w:rPr>
          <w:color w:val="548DD4" w:themeColor="text2" w:themeTint="99"/>
          <w:lang w:val="fr-FR"/>
        </w:rPr>
        <w:t>) et le deuxième tiret en tant que b).</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DS 376</w:t>
      </w:r>
      <w:r w:rsidRPr="006A314D">
        <w:rPr>
          <w:color w:val="548DD4" w:themeColor="text2" w:themeTint="99"/>
          <w:lang w:val="fr-FR"/>
        </w:rPr>
        <w:tab/>
        <w:t>Modifier le Nota pour lire comme suit :</w:t>
      </w:r>
    </w:p>
    <w:p w:rsidR="002F42AA" w:rsidRPr="006A314D" w:rsidRDefault="002F42AA" w:rsidP="002F42AA">
      <w:pPr>
        <w:pStyle w:val="SingleTxtG"/>
        <w:tabs>
          <w:tab w:val="left" w:pos="2268"/>
        </w:tabs>
        <w:ind w:left="2259" w:hanging="1125"/>
        <w:rPr>
          <w:i/>
          <w:iCs/>
          <w:color w:val="548DD4" w:themeColor="text2" w:themeTint="99"/>
          <w:lang w:val="fr-FR"/>
        </w:rPr>
      </w:pPr>
      <w:r w:rsidRPr="006A314D">
        <w:rPr>
          <w:color w:val="548DD4" w:themeColor="text2" w:themeTint="99"/>
          <w:lang w:val="fr-FR"/>
        </w:rPr>
        <w:tab/>
        <w:t>« </w:t>
      </w:r>
      <w:r w:rsidRPr="006A314D">
        <w:rPr>
          <w:b/>
          <w:bCs/>
          <w:i/>
          <w:iCs/>
          <w:color w:val="548DD4" w:themeColor="text2" w:themeTint="99"/>
          <w:lang w:val="fr-FR"/>
        </w:rPr>
        <w:t>NOTA :</w:t>
      </w:r>
      <w:r w:rsidRPr="006A314D">
        <w:rPr>
          <w:i/>
          <w:iCs/>
          <w:color w:val="548DD4" w:themeColor="text2" w:themeTint="99"/>
          <w:lang w:val="fr-FR"/>
        </w:rPr>
        <w:t xml:space="preserve"> </w:t>
      </w:r>
      <w:r w:rsidRPr="006A314D">
        <w:rPr>
          <w:i/>
          <w:iCs/>
          <w:color w:val="548DD4" w:themeColor="text2" w:themeTint="99"/>
          <w:lang w:val="fr-FR"/>
        </w:rPr>
        <w:tab/>
        <w:t>Afin de déterminer si une pile ou batterie peut être considérée comme endommagée ou défectueuse, une estimation ou une évaluation doit être effectuée sur la base des critères de sécurité du fabricant de la pile, de la batterie ou du produit fini ou par un expert technique connaissant les éléments de sécurité de la pile ou de la batterie. Une estimation ou évaluation peut inclure, sans s'y limiter, les critères suivants :</w:t>
      </w:r>
    </w:p>
    <w:p w:rsidR="002F42AA" w:rsidRPr="006A314D" w:rsidRDefault="002F42AA" w:rsidP="002F42AA">
      <w:pPr>
        <w:pStyle w:val="SingleTxtG"/>
        <w:numPr>
          <w:ilvl w:val="0"/>
          <w:numId w:val="16"/>
        </w:numPr>
        <w:ind w:left="2268" w:firstLine="0"/>
        <w:rPr>
          <w:i/>
          <w:iCs/>
          <w:color w:val="548DD4" w:themeColor="text2" w:themeTint="99"/>
          <w:lang w:val="fr-FR"/>
        </w:rPr>
      </w:pPr>
      <w:r w:rsidRPr="006A314D">
        <w:rPr>
          <w:i/>
          <w:iCs/>
          <w:color w:val="548DD4" w:themeColor="text2" w:themeTint="99"/>
          <w:lang w:val="fr-FR"/>
        </w:rPr>
        <w:t>Danger important tel que présence de gaz, incendie ou fuite d’électrolyte ;</w:t>
      </w:r>
    </w:p>
    <w:p w:rsidR="002F42AA" w:rsidRPr="006A314D" w:rsidRDefault="002F42AA" w:rsidP="002F42AA">
      <w:pPr>
        <w:pStyle w:val="SingleTxtG"/>
        <w:numPr>
          <w:ilvl w:val="0"/>
          <w:numId w:val="16"/>
        </w:numPr>
        <w:ind w:left="2268" w:firstLine="0"/>
        <w:rPr>
          <w:i/>
          <w:iCs/>
          <w:color w:val="548DD4" w:themeColor="text2" w:themeTint="99"/>
          <w:lang w:val="fr-FR"/>
        </w:rPr>
      </w:pPr>
      <w:r w:rsidRPr="006A314D">
        <w:rPr>
          <w:i/>
          <w:iCs/>
          <w:color w:val="548DD4" w:themeColor="text2" w:themeTint="99"/>
          <w:lang w:val="fr-FR"/>
        </w:rPr>
        <w:lastRenderedPageBreak/>
        <w:t>Utilisation qui a été faite de la pile ou de la batterie ou usage impropre de celle-ci ;</w:t>
      </w:r>
    </w:p>
    <w:p w:rsidR="002F42AA" w:rsidRPr="006A314D" w:rsidRDefault="002F42AA" w:rsidP="002F42AA">
      <w:pPr>
        <w:pStyle w:val="SingleTxtG"/>
        <w:numPr>
          <w:ilvl w:val="0"/>
          <w:numId w:val="16"/>
        </w:numPr>
        <w:ind w:left="2268" w:firstLine="0"/>
        <w:rPr>
          <w:i/>
          <w:iCs/>
          <w:color w:val="548DD4" w:themeColor="text2" w:themeTint="99"/>
          <w:lang w:val="fr-FR"/>
        </w:rPr>
      </w:pPr>
      <w:r w:rsidRPr="006A314D">
        <w:rPr>
          <w:i/>
          <w:iCs/>
          <w:color w:val="548DD4" w:themeColor="text2" w:themeTint="99"/>
          <w:lang w:val="fr-FR"/>
        </w:rPr>
        <w:t>Signes de dommages physiques, tels que déformation du boîtier de la pile ou de la batterie, ou couleurs sur le boîtier ;</w:t>
      </w:r>
    </w:p>
    <w:p w:rsidR="002F42AA" w:rsidRPr="006A314D" w:rsidRDefault="002F42AA" w:rsidP="002F42AA">
      <w:pPr>
        <w:pStyle w:val="SingleTxtG"/>
        <w:numPr>
          <w:ilvl w:val="0"/>
          <w:numId w:val="16"/>
        </w:numPr>
        <w:ind w:left="2268" w:firstLine="0"/>
        <w:rPr>
          <w:i/>
          <w:iCs/>
          <w:color w:val="548DD4" w:themeColor="text2" w:themeTint="99"/>
          <w:lang w:val="fr-FR"/>
        </w:rPr>
      </w:pPr>
      <w:r w:rsidRPr="006A314D">
        <w:rPr>
          <w:i/>
          <w:iCs/>
          <w:color w:val="548DD4" w:themeColor="text2" w:themeTint="99"/>
          <w:lang w:val="fr-FR"/>
        </w:rPr>
        <w:t>Protection contre les courts-circuits externes et internes, tels que les mesures de tension ou d'isolation ;</w:t>
      </w:r>
    </w:p>
    <w:p w:rsidR="002F42AA" w:rsidRPr="006A314D" w:rsidRDefault="002F42AA" w:rsidP="002F42AA">
      <w:pPr>
        <w:pStyle w:val="SingleTxtG"/>
        <w:numPr>
          <w:ilvl w:val="0"/>
          <w:numId w:val="16"/>
        </w:numPr>
        <w:ind w:left="2268" w:firstLine="0"/>
        <w:rPr>
          <w:i/>
          <w:iCs/>
          <w:color w:val="548DD4" w:themeColor="text2" w:themeTint="99"/>
          <w:lang w:val="fr-FR"/>
        </w:rPr>
      </w:pPr>
      <w:r w:rsidRPr="006A314D">
        <w:rPr>
          <w:i/>
          <w:iCs/>
          <w:color w:val="548DD4" w:themeColor="text2" w:themeTint="99"/>
          <w:lang w:val="fr-FR"/>
        </w:rPr>
        <w:t xml:space="preserve">Etat des éléments de sécurité de la pile ou de la batterie ; </w:t>
      </w:r>
      <w:proofErr w:type="gramStart"/>
      <w:r w:rsidRPr="006A314D">
        <w:rPr>
          <w:i/>
          <w:iCs/>
          <w:color w:val="548DD4" w:themeColor="text2" w:themeTint="99"/>
          <w:lang w:val="fr-FR"/>
        </w:rPr>
        <w:t>ou</w:t>
      </w:r>
      <w:proofErr w:type="gramEnd"/>
    </w:p>
    <w:p w:rsidR="002F42AA" w:rsidRPr="006A314D" w:rsidRDefault="002F42AA" w:rsidP="002F42AA">
      <w:pPr>
        <w:pStyle w:val="SingleTxtG"/>
        <w:numPr>
          <w:ilvl w:val="0"/>
          <w:numId w:val="16"/>
        </w:numPr>
        <w:ind w:left="2268" w:firstLine="0"/>
        <w:rPr>
          <w:i/>
          <w:iCs/>
          <w:color w:val="548DD4" w:themeColor="text2" w:themeTint="99"/>
          <w:lang w:val="fr-FR"/>
        </w:rPr>
      </w:pPr>
      <w:r w:rsidRPr="006A314D">
        <w:rPr>
          <w:i/>
          <w:iCs/>
          <w:color w:val="548DD4" w:themeColor="text2" w:themeTint="99"/>
          <w:lang w:val="fr-FR"/>
        </w:rPr>
        <w:t>Dommages à tout composant de sécurité interne, tel que système de gestion de la batterie. ».</w:t>
      </w:r>
    </w:p>
    <w:p w:rsidR="002F42AA" w:rsidRPr="00C85ADC" w:rsidRDefault="002F42AA" w:rsidP="002F42AA">
      <w:pPr>
        <w:pStyle w:val="SingleTxtG"/>
        <w:tabs>
          <w:tab w:val="left" w:pos="2268"/>
        </w:tabs>
        <w:ind w:left="2259" w:hanging="1125"/>
        <w:rPr>
          <w:lang w:val="fr-FR"/>
        </w:rPr>
      </w:pPr>
      <w:r w:rsidRPr="006A314D">
        <w:rPr>
          <w:color w:val="548DD4" w:themeColor="text2" w:themeTint="99"/>
          <w:lang w:val="fr-FR"/>
        </w:rPr>
        <w:t>DS 379 d) i)</w:t>
      </w:r>
      <w:r w:rsidRPr="006A314D">
        <w:rPr>
          <w:color w:val="548DD4" w:themeColor="text2" w:themeTint="99"/>
          <w:lang w:val="fr-FR"/>
        </w:rPr>
        <w:tab/>
        <w:t>Remplacer « ISO 11114-</w:t>
      </w:r>
      <w:proofErr w:type="gramStart"/>
      <w:r w:rsidRPr="006A314D">
        <w:rPr>
          <w:color w:val="548DD4" w:themeColor="text2" w:themeTint="99"/>
          <w:lang w:val="fr-FR"/>
        </w:rPr>
        <w:t>1:</w:t>
      </w:r>
      <w:proofErr w:type="gramEnd"/>
      <w:r w:rsidRPr="006A314D">
        <w:rPr>
          <w:color w:val="548DD4" w:themeColor="text2" w:themeTint="99"/>
          <w:lang w:val="fr-FR"/>
        </w:rPr>
        <w:t>2012 » par « ISO 11114-1:2012 + A1:2017 ».</w:t>
      </w:r>
    </w:p>
    <w:p w:rsidR="002F42AA" w:rsidRPr="006A314D" w:rsidRDefault="002F42AA" w:rsidP="002F42AA">
      <w:pPr>
        <w:pStyle w:val="SingleTxtG"/>
        <w:tabs>
          <w:tab w:val="left" w:pos="2268"/>
        </w:tabs>
        <w:ind w:left="2259" w:hanging="1125"/>
      </w:pPr>
      <w:r w:rsidRPr="006A314D">
        <w:rPr>
          <w:lang w:val="fr-FR"/>
        </w:rPr>
        <w:t>DS 386</w:t>
      </w:r>
      <w:r w:rsidRPr="006A314D">
        <w:rPr>
          <w:lang w:val="fr-FR"/>
        </w:rPr>
        <w:tab/>
        <w:t xml:space="preserve">Dans la première phrase, remplacer « 2.2.41.1.17 » par « 2.2.41.1.21 ». </w:t>
      </w:r>
    </w:p>
    <w:p w:rsidR="002F42AA" w:rsidRPr="006A314D" w:rsidRDefault="002F42AA" w:rsidP="002F42AA">
      <w:pPr>
        <w:pStyle w:val="SingleTxtG"/>
        <w:rPr>
          <w:i/>
          <w:iCs/>
        </w:rPr>
      </w:pPr>
      <w:r w:rsidRPr="006A314D">
        <w:rPr>
          <w:i/>
          <w:lang w:val="fr-FR"/>
        </w:rPr>
        <w:t xml:space="preserve">(Document de référence : </w:t>
      </w:r>
      <w:r w:rsidR="006A314D" w:rsidRPr="006A314D">
        <w:rPr>
          <w:i/>
          <w:iCs/>
        </w:rPr>
        <w:t>ECE/TRANS/WP.15/AC.1/152, annex</w:t>
      </w:r>
      <w:r w:rsidR="00EF52B3">
        <w:rPr>
          <w:i/>
          <w:iCs/>
        </w:rPr>
        <w:t>e</w:t>
      </w:r>
      <w:r w:rsidR="006A314D" w:rsidRPr="006A314D">
        <w:rPr>
          <w:i/>
          <w:iCs/>
        </w:rPr>
        <w:t xml:space="preserve"> II</w:t>
      </w:r>
      <w:r w:rsidRPr="006A314D">
        <w:rPr>
          <w:i/>
          <w:lang w:val="fr-FR"/>
        </w:rPr>
        <w:t>)</w:t>
      </w:r>
    </w:p>
    <w:p w:rsidR="002F42AA" w:rsidRPr="006A314D" w:rsidRDefault="002F42AA" w:rsidP="002F42AA">
      <w:pPr>
        <w:pStyle w:val="SingleTxtG"/>
        <w:tabs>
          <w:tab w:val="left" w:pos="2268"/>
        </w:tabs>
        <w:ind w:left="2259" w:hanging="1125"/>
        <w:rPr>
          <w:color w:val="548DD4" w:themeColor="text2" w:themeTint="99"/>
          <w:lang w:val="fr-FR"/>
        </w:rPr>
      </w:pPr>
      <w:r w:rsidRPr="006A314D">
        <w:rPr>
          <w:color w:val="548DD4" w:themeColor="text2" w:themeTint="99"/>
          <w:lang w:val="fr-FR"/>
        </w:rPr>
        <w:t>DS 388</w:t>
      </w:r>
      <w:r w:rsidRPr="006A314D">
        <w:rPr>
          <w:color w:val="548DD4" w:themeColor="text2" w:themeTint="99"/>
          <w:lang w:val="fr-FR"/>
        </w:rPr>
        <w:tab/>
        <w:t>A la fin du septième paragraphe, ajouter la phrase suivante :</w:t>
      </w:r>
    </w:p>
    <w:p w:rsidR="002F42AA" w:rsidRPr="006A314D" w:rsidRDefault="002F42AA" w:rsidP="002F42AA">
      <w:pPr>
        <w:pStyle w:val="SingleTxtG"/>
        <w:tabs>
          <w:tab w:val="left" w:pos="2268"/>
        </w:tabs>
        <w:ind w:left="2259" w:hanging="1125"/>
        <w:rPr>
          <w:iCs/>
          <w:color w:val="548DD4" w:themeColor="text2" w:themeTint="99"/>
          <w:lang w:val="fr-FR"/>
        </w:rPr>
      </w:pPr>
      <w:r w:rsidRPr="006A314D">
        <w:rPr>
          <w:color w:val="548DD4" w:themeColor="text2" w:themeTint="99"/>
          <w:lang w:val="fr-FR"/>
        </w:rPr>
        <w:tab/>
        <w:t>« </w:t>
      </w:r>
      <w:r w:rsidRPr="006A314D">
        <w:rPr>
          <w:iCs/>
          <w:color w:val="548DD4" w:themeColor="text2" w:themeTint="99"/>
          <w:lang w:val="fr-FR"/>
        </w:rPr>
        <w:t xml:space="preserve">Les </w:t>
      </w:r>
      <w:r w:rsidRPr="006A314D">
        <w:rPr>
          <w:color w:val="548DD4" w:themeColor="text2" w:themeTint="99"/>
          <w:lang w:val="fr-FR"/>
        </w:rPr>
        <w:t>batteries au lithium ionique ou batteries au lithium métal installées dans un engin de transport et conçues uniquement pour fournir de l’énergie hors de l’engin de transport doivent être affectées à la rubrique ONU 3536 BATTERIES AU LITHIUM INSTALLÉES DANS DES ENGINS DE TRANSPORT batteries au lithium ionique ou batteries au lithium métal</w:t>
      </w:r>
      <w:proofErr w:type="gramStart"/>
      <w:r w:rsidRPr="006A314D">
        <w:rPr>
          <w:color w:val="548DD4" w:themeColor="text2" w:themeTint="99"/>
          <w:lang w:val="fr-FR"/>
        </w:rPr>
        <w:t>.»</w:t>
      </w:r>
      <w:proofErr w:type="gramEnd"/>
      <w:r w:rsidRPr="006A314D">
        <w:rPr>
          <w:color w:val="548DD4" w:themeColor="text2" w:themeTint="99"/>
          <w:lang w:val="fr-FR"/>
        </w:rPr>
        <w:t>.</w:t>
      </w:r>
    </w:p>
    <w:p w:rsidR="002F42AA" w:rsidRPr="00654B2D" w:rsidRDefault="002F42AA" w:rsidP="002F42AA">
      <w:pPr>
        <w:pStyle w:val="SingleTxtG"/>
        <w:tabs>
          <w:tab w:val="left" w:pos="2268"/>
        </w:tabs>
        <w:ind w:left="2259" w:hanging="1125"/>
      </w:pPr>
      <w:r w:rsidRPr="00654B2D">
        <w:rPr>
          <w:lang w:val="fr-FR"/>
        </w:rPr>
        <w:t>DS 556</w:t>
      </w:r>
      <w:r w:rsidRPr="00654B2D">
        <w:rPr>
          <w:lang w:val="fr-FR"/>
        </w:rPr>
        <w:tab/>
        <w:t>Supprimer et ajouter « (Supprimé) ».</w:t>
      </w:r>
    </w:p>
    <w:p w:rsidR="002F42AA" w:rsidRPr="00654B2D" w:rsidRDefault="002F42AA" w:rsidP="002F42AA">
      <w:pPr>
        <w:pStyle w:val="SingleTxtG"/>
        <w:rPr>
          <w:i/>
          <w:iCs/>
        </w:rPr>
      </w:pPr>
      <w:r w:rsidRPr="00654B2D">
        <w:rPr>
          <w:i/>
          <w:lang w:val="fr-FR"/>
        </w:rPr>
        <w:t xml:space="preserve">(Document de référence : </w:t>
      </w:r>
      <w:r w:rsidR="00654B2D" w:rsidRPr="00654B2D">
        <w:rPr>
          <w:i/>
          <w:iCs/>
        </w:rPr>
        <w:t xml:space="preserve">ECE/TRANS/WP.15/AC.1/152, </w:t>
      </w:r>
      <w:r w:rsidR="00EF52B3">
        <w:rPr>
          <w:i/>
          <w:iCs/>
        </w:rPr>
        <w:t>annexe</w:t>
      </w:r>
      <w:r w:rsidR="00654B2D" w:rsidRPr="00654B2D">
        <w:rPr>
          <w:i/>
          <w:iCs/>
        </w:rPr>
        <w:t xml:space="preserve"> II</w:t>
      </w:r>
      <w:r w:rsidRPr="00654B2D">
        <w:rPr>
          <w:i/>
          <w:lang w:val="fr-FR"/>
        </w:rPr>
        <w:t>)</w:t>
      </w:r>
    </w:p>
    <w:p w:rsidR="002F42AA" w:rsidRPr="00654B2D" w:rsidRDefault="002F42AA" w:rsidP="002F42AA">
      <w:pPr>
        <w:pStyle w:val="SingleTxtG"/>
        <w:tabs>
          <w:tab w:val="left" w:pos="2268"/>
        </w:tabs>
        <w:ind w:left="2268" w:hanging="1134"/>
        <w:rPr>
          <w:lang w:val="fr-FR"/>
        </w:rPr>
      </w:pPr>
      <w:r w:rsidRPr="00654B2D">
        <w:rPr>
          <w:lang w:val="fr-FR"/>
        </w:rPr>
        <w:t>DS 653</w:t>
      </w:r>
      <w:r w:rsidRPr="00654B2D">
        <w:rPr>
          <w:lang w:val="fr-FR"/>
        </w:rPr>
        <w:tab/>
        <w:t>Au premier tiret, remplacer « de construction et d’épreuve » par « de construction, d’épreuve et de remplissage ».</w:t>
      </w:r>
    </w:p>
    <w:p w:rsidR="002F42AA" w:rsidRPr="00654B2D" w:rsidRDefault="002F42AA" w:rsidP="002F42AA">
      <w:pPr>
        <w:pStyle w:val="SingleTxtG"/>
        <w:rPr>
          <w:i/>
          <w:iCs/>
          <w:lang w:val="fr-FR"/>
        </w:rPr>
      </w:pPr>
      <w:r w:rsidRPr="00654B2D">
        <w:rPr>
          <w:i/>
          <w:iCs/>
          <w:lang w:val="fr-FR"/>
        </w:rPr>
        <w:t xml:space="preserve">(Document de référence : </w:t>
      </w:r>
      <w:r w:rsidR="00654B2D" w:rsidRPr="00654B2D">
        <w:rPr>
          <w:i/>
          <w:iCs/>
        </w:rPr>
        <w:t xml:space="preserve">ECE/TRANS/WP.15/AC.1/154, </w:t>
      </w:r>
      <w:r w:rsidR="00EF52B3">
        <w:rPr>
          <w:i/>
          <w:iCs/>
        </w:rPr>
        <w:t>annex</w:t>
      </w:r>
      <w:r w:rsidR="00C35261">
        <w:rPr>
          <w:i/>
          <w:iCs/>
        </w:rPr>
        <w:t>e</w:t>
      </w:r>
      <w:r w:rsidR="00654B2D" w:rsidRPr="00654B2D">
        <w:rPr>
          <w:i/>
          <w:iCs/>
        </w:rPr>
        <w:t xml:space="preserve"> II</w:t>
      </w:r>
      <w:r w:rsidRPr="00654B2D">
        <w:rPr>
          <w:i/>
          <w:iCs/>
          <w:lang w:val="fr-FR"/>
        </w:rPr>
        <w:t>)</w:t>
      </w:r>
    </w:p>
    <w:p w:rsidR="002F42AA" w:rsidRPr="00654B2D" w:rsidRDefault="002F42AA" w:rsidP="002F42AA">
      <w:pPr>
        <w:pStyle w:val="SingleTxtG"/>
        <w:tabs>
          <w:tab w:val="left" w:pos="2268"/>
        </w:tabs>
        <w:ind w:left="2259" w:hanging="1125"/>
        <w:rPr>
          <w:color w:val="548DD4" w:themeColor="text2" w:themeTint="99"/>
          <w:lang w:val="fr-FR"/>
        </w:rPr>
      </w:pPr>
      <w:r w:rsidRPr="00654B2D">
        <w:rPr>
          <w:color w:val="548DD4" w:themeColor="text2" w:themeTint="99"/>
          <w:lang w:val="fr-FR"/>
        </w:rPr>
        <w:t>DS 660</w:t>
      </w:r>
      <w:r w:rsidRPr="00654B2D">
        <w:rPr>
          <w:color w:val="548DD4" w:themeColor="text2" w:themeTint="99"/>
          <w:lang w:val="fr-FR"/>
        </w:rPr>
        <w:tab/>
        <w:t>Supprimer et ajouter « 660</w:t>
      </w:r>
      <w:r w:rsidRPr="00654B2D">
        <w:rPr>
          <w:color w:val="548DD4" w:themeColor="text2" w:themeTint="99"/>
          <w:lang w:val="fr-FR"/>
        </w:rPr>
        <w:tab/>
      </w:r>
      <w:r w:rsidRPr="00654B2D">
        <w:rPr>
          <w:i/>
          <w:iCs/>
          <w:color w:val="548DD4" w:themeColor="text2" w:themeTint="99"/>
          <w:lang w:val="fr-FR"/>
        </w:rPr>
        <w:t>(Supprimé)</w:t>
      </w:r>
      <w:r w:rsidRPr="00654B2D">
        <w:rPr>
          <w:color w:val="548DD4" w:themeColor="text2" w:themeTint="99"/>
          <w:lang w:val="fr-FR"/>
        </w:rPr>
        <w:t> »</w:t>
      </w:r>
    </w:p>
    <w:p w:rsidR="002F42AA" w:rsidRPr="00654B2D" w:rsidRDefault="002F42AA" w:rsidP="002F42AA">
      <w:pPr>
        <w:pStyle w:val="SingleTxtG"/>
        <w:tabs>
          <w:tab w:val="left" w:pos="2268"/>
        </w:tabs>
        <w:ind w:left="2268" w:hanging="1134"/>
        <w:rPr>
          <w:lang w:val="fr-FR"/>
        </w:rPr>
      </w:pPr>
      <w:r w:rsidRPr="00654B2D">
        <w:rPr>
          <w:lang w:val="fr-FR"/>
        </w:rPr>
        <w:t>DS 667</w:t>
      </w:r>
      <w:r w:rsidRPr="00654B2D">
        <w:rPr>
          <w:lang w:val="fr-FR"/>
        </w:rPr>
        <w:tab/>
        <w:t xml:space="preserve">Aux alinéas a), b), b) i) et c), remplacer </w:t>
      </w:r>
      <w:proofErr w:type="gramStart"/>
      <w:r w:rsidRPr="00654B2D">
        <w:rPr>
          <w:lang w:val="fr-FR"/>
        </w:rPr>
        <w:t>« ,</w:t>
      </w:r>
      <w:proofErr w:type="gramEnd"/>
      <w:r w:rsidRPr="00654B2D">
        <w:rPr>
          <w:lang w:val="fr-FR"/>
        </w:rPr>
        <w:t xml:space="preserve"> machines ou objets » par « ou machines ».</w:t>
      </w:r>
    </w:p>
    <w:p w:rsidR="002F42AA" w:rsidRPr="00654B2D" w:rsidRDefault="002F42AA" w:rsidP="002F42AA">
      <w:pPr>
        <w:pStyle w:val="SingleTxtG"/>
        <w:tabs>
          <w:tab w:val="left" w:pos="2268"/>
        </w:tabs>
        <w:ind w:left="2268" w:hanging="1134"/>
        <w:rPr>
          <w:lang w:val="fr-FR"/>
        </w:rPr>
      </w:pPr>
      <w:r w:rsidRPr="00654B2D">
        <w:rPr>
          <w:lang w:val="fr-FR"/>
        </w:rPr>
        <w:tab/>
        <w:t xml:space="preserve">À l’alinéa b) ii), remplacer </w:t>
      </w:r>
      <w:proofErr w:type="gramStart"/>
      <w:r w:rsidRPr="00654B2D">
        <w:rPr>
          <w:lang w:val="fr-FR"/>
        </w:rPr>
        <w:t>« ,</w:t>
      </w:r>
      <w:proofErr w:type="gramEnd"/>
      <w:r w:rsidRPr="00654B2D">
        <w:rPr>
          <w:lang w:val="fr-FR"/>
        </w:rPr>
        <w:t xml:space="preserve"> la machine ou l’objet » par « ou la machine ».</w:t>
      </w:r>
    </w:p>
    <w:p w:rsidR="002F42AA" w:rsidRPr="00654B2D" w:rsidRDefault="002F42AA" w:rsidP="002F42AA">
      <w:pPr>
        <w:pStyle w:val="SingleTxtG"/>
        <w:rPr>
          <w:i/>
          <w:iCs/>
          <w:lang w:val="fr-FR"/>
        </w:rPr>
      </w:pPr>
      <w:r w:rsidRPr="00654B2D">
        <w:rPr>
          <w:i/>
          <w:iCs/>
          <w:lang w:val="fr-FR"/>
        </w:rPr>
        <w:t xml:space="preserve">(Document de référence : </w:t>
      </w:r>
      <w:r w:rsidR="00654B2D" w:rsidRPr="00654B2D">
        <w:rPr>
          <w:i/>
          <w:iCs/>
        </w:rPr>
        <w:t xml:space="preserve">ECE/TRANS/WP.15/AC.1/154, </w:t>
      </w:r>
      <w:r w:rsidR="00C35261">
        <w:rPr>
          <w:i/>
          <w:iCs/>
        </w:rPr>
        <w:t>annexe</w:t>
      </w:r>
      <w:r w:rsidR="00654B2D" w:rsidRPr="00654B2D">
        <w:rPr>
          <w:i/>
          <w:iCs/>
        </w:rPr>
        <w:t xml:space="preserve"> II</w:t>
      </w:r>
      <w:r w:rsidRPr="00654B2D">
        <w:rPr>
          <w:i/>
          <w:iCs/>
          <w:lang w:val="fr-FR"/>
        </w:rPr>
        <w:t>)</w:t>
      </w:r>
    </w:p>
    <w:p w:rsidR="002F42AA" w:rsidRPr="00654B2D" w:rsidRDefault="002F42AA" w:rsidP="002F42AA">
      <w:pPr>
        <w:pStyle w:val="SingleTxtG"/>
        <w:tabs>
          <w:tab w:val="left" w:pos="2268"/>
        </w:tabs>
        <w:ind w:left="2268" w:hanging="1134"/>
        <w:rPr>
          <w:lang w:val="fr-FR"/>
        </w:rPr>
      </w:pPr>
      <w:r w:rsidRPr="00654B2D">
        <w:rPr>
          <w:lang w:val="fr-FR"/>
        </w:rPr>
        <w:t>DS 671</w:t>
      </w:r>
      <w:r w:rsidRPr="00654B2D">
        <w:rPr>
          <w:lang w:val="fr-FR"/>
        </w:rPr>
        <w:tab/>
        <w:t>Ajouter le nouveau paragraphe suivant à la fin :</w:t>
      </w:r>
    </w:p>
    <w:p w:rsidR="002F42AA" w:rsidRPr="00654B2D" w:rsidRDefault="002F42AA" w:rsidP="002F42AA">
      <w:pPr>
        <w:pStyle w:val="SingleTxtG"/>
        <w:ind w:left="2268"/>
        <w:rPr>
          <w:lang w:val="fr-FR"/>
        </w:rPr>
      </w:pPr>
      <w:r w:rsidRPr="00654B2D">
        <w:rPr>
          <w:lang w:val="fr-FR"/>
        </w:rPr>
        <w:tab/>
        <w:t>« Les trousses contenant uniquement des marchandises dangereuses auxquelles aucun groupe d’emballage n’est assigné doivent être affectées à la catégorie de transport 2 aux fins de l’établissement des documents de transport et des exemptions liées aux quantités transportées par unité de transport (voir 1.1.3.6). ».</w:t>
      </w:r>
    </w:p>
    <w:p w:rsidR="002F42AA" w:rsidRPr="00654B2D" w:rsidRDefault="002F42AA" w:rsidP="002F42AA">
      <w:pPr>
        <w:pStyle w:val="SingleTxtG"/>
        <w:rPr>
          <w:i/>
          <w:iCs/>
          <w:lang w:val="fr-FR"/>
        </w:rPr>
      </w:pPr>
      <w:r w:rsidRPr="00654B2D">
        <w:rPr>
          <w:i/>
          <w:iCs/>
          <w:lang w:val="fr-FR"/>
        </w:rPr>
        <w:t xml:space="preserve">(Document de référence : </w:t>
      </w:r>
      <w:r w:rsidR="00654B2D" w:rsidRPr="00654B2D">
        <w:rPr>
          <w:i/>
          <w:iCs/>
        </w:rPr>
        <w:t xml:space="preserve">ECE/TRANS/WP.15/AC.1/154, </w:t>
      </w:r>
      <w:r w:rsidR="00C35261">
        <w:rPr>
          <w:i/>
          <w:iCs/>
        </w:rPr>
        <w:t>annexe</w:t>
      </w:r>
      <w:r w:rsidR="00654B2D" w:rsidRPr="00654B2D">
        <w:rPr>
          <w:i/>
          <w:iCs/>
        </w:rPr>
        <w:t xml:space="preserve"> II</w:t>
      </w:r>
      <w:r w:rsidRPr="00654B2D">
        <w:rPr>
          <w:i/>
          <w:iCs/>
          <w:lang w:val="fr-FR"/>
        </w:rPr>
        <w:t>)</w:t>
      </w:r>
    </w:p>
    <w:p w:rsidR="002F42AA" w:rsidRPr="00654B2D" w:rsidRDefault="002F42AA" w:rsidP="002F42AA">
      <w:pPr>
        <w:pStyle w:val="SingleTxtG"/>
        <w:tabs>
          <w:tab w:val="left" w:pos="2268"/>
        </w:tabs>
        <w:ind w:left="2259" w:hanging="1125"/>
        <w:rPr>
          <w:color w:val="548DD4" w:themeColor="text2" w:themeTint="99"/>
          <w:lang w:val="fr-FR"/>
        </w:rPr>
      </w:pPr>
      <w:r w:rsidRPr="00654B2D">
        <w:rPr>
          <w:color w:val="548DD4" w:themeColor="text2" w:themeTint="99"/>
          <w:lang w:val="fr-FR"/>
        </w:rPr>
        <w:t>Ajouter les nouvelles dispositions spéciales suivantes :</w:t>
      </w:r>
    </w:p>
    <w:p w:rsidR="002F42AA" w:rsidRPr="00654B2D" w:rsidRDefault="002F42AA" w:rsidP="002F42AA">
      <w:pPr>
        <w:pStyle w:val="SingleTxtG"/>
        <w:tabs>
          <w:tab w:val="left" w:pos="2268"/>
        </w:tabs>
        <w:ind w:left="2259" w:hanging="1125"/>
        <w:rPr>
          <w:color w:val="548DD4" w:themeColor="text2" w:themeTint="99"/>
          <w:lang w:val="fr-FR"/>
        </w:rPr>
      </w:pPr>
      <w:r w:rsidRPr="00654B2D">
        <w:rPr>
          <w:color w:val="548DD4" w:themeColor="text2" w:themeTint="99"/>
          <w:lang w:val="fr-FR"/>
        </w:rPr>
        <w:t>« 390</w:t>
      </w:r>
      <w:r w:rsidRPr="00654B2D">
        <w:rPr>
          <w:color w:val="548DD4" w:themeColor="text2" w:themeTint="99"/>
          <w:lang w:val="fr-FR"/>
        </w:rPr>
        <w:tab/>
        <w:t>Si un colis contient à la fois des piles au lithium contenues dans un équipement et des piles au lithium emballées avec un équipement, les prescriptions suivantes s’appliquent aux fins du marquage du colis et de la documentation :</w:t>
      </w:r>
    </w:p>
    <w:p w:rsidR="002F42AA" w:rsidRPr="00654B2D" w:rsidRDefault="002F42AA" w:rsidP="002F42AA">
      <w:pPr>
        <w:pStyle w:val="SingleTxtG"/>
        <w:tabs>
          <w:tab w:val="left" w:pos="2268"/>
        </w:tabs>
        <w:ind w:left="2835" w:hanging="576"/>
        <w:rPr>
          <w:color w:val="548DD4" w:themeColor="text2" w:themeTint="99"/>
          <w:lang w:val="fr-FR"/>
        </w:rPr>
      </w:pPr>
      <w:r w:rsidRPr="00654B2D">
        <w:rPr>
          <w:color w:val="548DD4" w:themeColor="text2" w:themeTint="99"/>
          <w:lang w:val="fr-FR"/>
        </w:rPr>
        <w:t>a)</w:t>
      </w:r>
      <w:r w:rsidRPr="00654B2D">
        <w:rPr>
          <w:color w:val="548DD4" w:themeColor="text2" w:themeTint="99"/>
          <w:lang w:val="fr-FR"/>
        </w:rPr>
        <w:tab/>
        <w:t xml:space="preserve">Le colis doit porter la mention "UN 3091" ou "UN 3481", selon le cas. Si un colis contient à la fois des piles au lithium ionique et des piles au </w:t>
      </w:r>
      <w:r w:rsidRPr="00654B2D">
        <w:rPr>
          <w:color w:val="548DD4" w:themeColor="text2" w:themeTint="99"/>
          <w:lang w:val="fr-FR"/>
        </w:rPr>
        <w:lastRenderedPageBreak/>
        <w:t>lithium métal emballées avec un équipement et contenues dans un équipement, le colis doit porter les marques requises pour les deux types de piles. Cependant, il n’est pas nécessaire de prendre en compte les piles bouton installées dans un équipement (y compris les circuits imprimés) ;</w:t>
      </w:r>
    </w:p>
    <w:p w:rsidR="002F42AA" w:rsidRPr="00654B2D" w:rsidRDefault="002F42AA" w:rsidP="002F42AA">
      <w:pPr>
        <w:pStyle w:val="SingleTxtG"/>
        <w:tabs>
          <w:tab w:val="left" w:pos="2268"/>
        </w:tabs>
        <w:ind w:left="2835" w:hanging="576"/>
        <w:rPr>
          <w:color w:val="548DD4" w:themeColor="text2" w:themeTint="99"/>
          <w:lang w:val="fr-FR"/>
        </w:rPr>
      </w:pPr>
      <w:r w:rsidRPr="00654B2D">
        <w:rPr>
          <w:color w:val="548DD4" w:themeColor="text2" w:themeTint="99"/>
          <w:lang w:val="fr-FR"/>
        </w:rPr>
        <w:t>b)</w:t>
      </w:r>
      <w:r w:rsidRPr="00654B2D">
        <w:rPr>
          <w:color w:val="548DD4" w:themeColor="text2" w:themeTint="99"/>
          <w:lang w:val="fr-FR"/>
        </w:rPr>
        <w:tab/>
        <w:t xml:space="preserve">Le document de transport doit porter la mention "UN 3091 </w:t>
      </w:r>
      <w:r w:rsidRPr="00654B2D">
        <w:rPr>
          <w:caps/>
          <w:color w:val="548DD4" w:themeColor="text2" w:themeTint="99"/>
          <w:lang w:val="fr-FR"/>
        </w:rPr>
        <w:t>Piles au lithium métal emballées avec un équipement</w:t>
      </w:r>
      <w:r w:rsidRPr="00654B2D">
        <w:rPr>
          <w:color w:val="548DD4" w:themeColor="text2" w:themeTint="99"/>
          <w:lang w:val="fr-FR"/>
        </w:rPr>
        <w:t xml:space="preserve">" ou "UN 3481 </w:t>
      </w:r>
      <w:r w:rsidRPr="00654B2D">
        <w:rPr>
          <w:caps/>
          <w:color w:val="548DD4" w:themeColor="text2" w:themeTint="99"/>
          <w:lang w:val="fr-FR"/>
        </w:rPr>
        <w:t>Piles au lithium ionique emballées avec un équipement</w:t>
      </w:r>
      <w:r w:rsidRPr="00654B2D">
        <w:rPr>
          <w:color w:val="548DD4" w:themeColor="text2" w:themeTint="99"/>
          <w:lang w:val="fr-FR"/>
        </w:rPr>
        <w:t xml:space="preserve">", selon le cas. Si un colis contient à la fois des piles au lithium métal et des piles au lithium ionique emballées avec un équipement et contenues dans un équipement, le document de transport doit indiquer à la fois "UN 3091 </w:t>
      </w:r>
      <w:r w:rsidRPr="00654B2D">
        <w:rPr>
          <w:caps/>
          <w:color w:val="548DD4" w:themeColor="text2" w:themeTint="99"/>
          <w:lang w:val="fr-FR"/>
        </w:rPr>
        <w:t>Piles au lithium métal emballées avec un équipement</w:t>
      </w:r>
      <w:r w:rsidRPr="00654B2D">
        <w:rPr>
          <w:color w:val="548DD4" w:themeColor="text2" w:themeTint="99"/>
          <w:lang w:val="fr-FR"/>
        </w:rPr>
        <w:t xml:space="preserve">" et "UN 3481 </w:t>
      </w:r>
      <w:r w:rsidRPr="00654B2D">
        <w:rPr>
          <w:caps/>
          <w:color w:val="548DD4" w:themeColor="text2" w:themeTint="99"/>
          <w:lang w:val="fr-FR"/>
        </w:rPr>
        <w:t>Piles au lithium ionique emballées avec un équipement</w:t>
      </w:r>
      <w:r w:rsidRPr="00654B2D">
        <w:rPr>
          <w:color w:val="548DD4" w:themeColor="text2" w:themeTint="99"/>
          <w:lang w:val="fr-FR"/>
        </w:rPr>
        <w:t> ».</w:t>
      </w:r>
    </w:p>
    <w:p w:rsidR="002F42AA" w:rsidRPr="00654B2D" w:rsidRDefault="002F42AA" w:rsidP="002F42AA">
      <w:pPr>
        <w:pStyle w:val="SingleTxtG"/>
        <w:tabs>
          <w:tab w:val="left" w:pos="2268"/>
        </w:tabs>
        <w:ind w:left="2259" w:hanging="1125"/>
        <w:rPr>
          <w:color w:val="548DD4" w:themeColor="text2" w:themeTint="99"/>
          <w:lang w:val="fr-FR"/>
        </w:rPr>
      </w:pPr>
      <w:r w:rsidRPr="00654B2D">
        <w:rPr>
          <w:color w:val="548DD4" w:themeColor="text2" w:themeTint="99"/>
          <w:lang w:val="fr-FR"/>
        </w:rPr>
        <w:t>« 393</w:t>
      </w:r>
      <w:r w:rsidRPr="00654B2D">
        <w:rPr>
          <w:color w:val="548DD4" w:themeColor="text2" w:themeTint="99"/>
          <w:lang w:val="fr-FR"/>
        </w:rPr>
        <w:tab/>
        <w:t>La nitrocellulose doit remplir les critères de l’épreuve de Bergmann-Junk ou du papier réactif au violet de méthyle qui figurent à l’appendice 10 du Manuel d’épreuves et de critères. Il n’est pas nécessaire de réaliser les épreuves de la série 3 c). »</w:t>
      </w:r>
    </w:p>
    <w:p w:rsidR="002F42AA" w:rsidRPr="00654B2D" w:rsidRDefault="002F42AA" w:rsidP="002F42AA">
      <w:pPr>
        <w:pStyle w:val="SingleTxtG"/>
        <w:tabs>
          <w:tab w:val="left" w:pos="2268"/>
        </w:tabs>
        <w:ind w:left="2259" w:hanging="1125"/>
        <w:rPr>
          <w:color w:val="548DD4" w:themeColor="text2" w:themeTint="99"/>
          <w:lang w:val="fr-FR"/>
        </w:rPr>
      </w:pPr>
      <w:r w:rsidRPr="00654B2D">
        <w:rPr>
          <w:color w:val="548DD4" w:themeColor="text2" w:themeTint="99"/>
          <w:lang w:val="fr-FR"/>
        </w:rPr>
        <w:t>« 394</w:t>
      </w:r>
      <w:r w:rsidRPr="00654B2D">
        <w:rPr>
          <w:color w:val="548DD4" w:themeColor="text2" w:themeTint="99"/>
          <w:lang w:val="fr-FR"/>
        </w:rPr>
        <w:tab/>
        <w:t>La nitrocellulose doit remplir les critères de l’épreuve de Bergmann-Junk ou du papier réactif au violet de méthyle qui figurent à l’appendice 10 du Manuel d’épreuves et de critères. ».</w:t>
      </w:r>
    </w:p>
    <w:p w:rsidR="002F42AA" w:rsidRPr="00C85ADC" w:rsidRDefault="002F42AA" w:rsidP="002F42AA">
      <w:pPr>
        <w:pStyle w:val="SingleTxtG"/>
        <w:tabs>
          <w:tab w:val="left" w:pos="2268"/>
        </w:tabs>
        <w:ind w:left="2259" w:hanging="1125"/>
        <w:rPr>
          <w:lang w:val="fr-FR"/>
        </w:rPr>
      </w:pPr>
      <w:r w:rsidRPr="00654B2D">
        <w:rPr>
          <w:color w:val="548DD4" w:themeColor="text2" w:themeTint="99"/>
          <w:lang w:val="fr-FR"/>
        </w:rPr>
        <w:t>« 395</w:t>
      </w:r>
      <w:r w:rsidRPr="00654B2D">
        <w:rPr>
          <w:color w:val="548DD4" w:themeColor="text2" w:themeTint="99"/>
          <w:lang w:val="fr-FR"/>
        </w:rPr>
        <w:tab/>
        <w:t>Cette rubrique ne doit être utilisée que pour les déchets médicaux solides de catégorie A transportés en vue de leur élimination. ».</w:t>
      </w:r>
    </w:p>
    <w:p w:rsidR="002F42AA" w:rsidRPr="00654B2D" w:rsidRDefault="002F42AA" w:rsidP="002F42AA">
      <w:pPr>
        <w:pStyle w:val="SingleTxtG"/>
        <w:ind w:left="2268" w:hanging="1134"/>
      </w:pPr>
      <w:r w:rsidRPr="00654B2D">
        <w:rPr>
          <w:lang w:val="fr-FR"/>
        </w:rPr>
        <w:t>« 675</w:t>
      </w:r>
      <w:r w:rsidRPr="00654B2D">
        <w:rPr>
          <w:lang w:val="fr-FR"/>
        </w:rPr>
        <w:tab/>
        <w:t xml:space="preserve">Pour les colis contenant ces marchandises dangereuses, le chargement en commun avec des matières ou objets de la classe 1, à l’exception du 1.4 S, est </w:t>
      </w:r>
      <w:proofErr w:type="gramStart"/>
      <w:r w:rsidRPr="00654B2D">
        <w:rPr>
          <w:lang w:val="fr-FR"/>
        </w:rPr>
        <w:t>interdit .</w:t>
      </w:r>
      <w:proofErr w:type="gramEnd"/>
      <w:r w:rsidRPr="00654B2D">
        <w:rPr>
          <w:lang w:val="fr-FR"/>
        </w:rPr>
        <w:t>».</w:t>
      </w:r>
    </w:p>
    <w:p w:rsidR="002F42AA" w:rsidRPr="00654B2D" w:rsidRDefault="002F42AA" w:rsidP="002F42AA">
      <w:pPr>
        <w:pStyle w:val="SingleTxtG"/>
        <w:rPr>
          <w:i/>
          <w:iCs/>
        </w:rPr>
      </w:pPr>
      <w:r w:rsidRPr="00654B2D">
        <w:rPr>
          <w:i/>
          <w:lang w:val="fr-FR"/>
        </w:rPr>
        <w:t xml:space="preserve">(Document de référence : </w:t>
      </w:r>
      <w:r w:rsidR="00654B2D" w:rsidRPr="00654B2D">
        <w:rPr>
          <w:i/>
          <w:iCs/>
        </w:rPr>
        <w:t xml:space="preserve">ECE/TRANS/WP.15/AC.1/152, </w:t>
      </w:r>
      <w:r w:rsidR="00C35261">
        <w:rPr>
          <w:i/>
          <w:iCs/>
        </w:rPr>
        <w:t>annexe</w:t>
      </w:r>
      <w:r w:rsidR="00654B2D" w:rsidRPr="00654B2D">
        <w:rPr>
          <w:i/>
          <w:iCs/>
        </w:rPr>
        <w:t xml:space="preserve"> II</w:t>
      </w:r>
      <w:r w:rsidRPr="00654B2D">
        <w:rPr>
          <w:i/>
          <w:lang w:val="fr-FR"/>
        </w:rPr>
        <w:t>)</w:t>
      </w:r>
    </w:p>
    <w:p w:rsidR="002F42AA" w:rsidRPr="00C85ADC" w:rsidRDefault="002F42AA" w:rsidP="002F42AA">
      <w:pPr>
        <w:pStyle w:val="H1G"/>
        <w:rPr>
          <w:lang w:val="fr-FR"/>
        </w:rPr>
      </w:pPr>
      <w:r w:rsidRPr="00C85ADC">
        <w:rPr>
          <w:lang w:val="fr-FR"/>
        </w:rPr>
        <w:tab/>
      </w:r>
      <w:r w:rsidRPr="00C85ADC">
        <w:rPr>
          <w:lang w:val="fr-FR"/>
        </w:rPr>
        <w:tab/>
        <w:t>Chapitre 5.1</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5.1.5.1.2</w:t>
      </w:r>
      <w:r w:rsidRPr="00571923">
        <w:rPr>
          <w:color w:val="548DD4" w:themeColor="text2" w:themeTint="99"/>
          <w:szCs w:val="24"/>
          <w:lang w:val="fr-FR"/>
        </w:rPr>
        <w:tab/>
        <w:t>Ajouter « et » à la fin de l'alinéa d).</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ab/>
        <w:t>Ajouter le nouvel alinéa e) suivant :</w:t>
      </w:r>
    </w:p>
    <w:p w:rsidR="002F42AA" w:rsidRPr="00571923" w:rsidRDefault="002F42AA" w:rsidP="002F42AA">
      <w:pPr>
        <w:pStyle w:val="SingleTxtG"/>
        <w:tabs>
          <w:tab w:val="left" w:pos="2268"/>
        </w:tabs>
        <w:ind w:firstLine="1134"/>
        <w:rPr>
          <w:color w:val="548DD4" w:themeColor="text2" w:themeTint="99"/>
          <w:szCs w:val="24"/>
          <w:lang w:val="fr-FR"/>
        </w:rPr>
      </w:pPr>
      <w:r w:rsidRPr="00571923">
        <w:rPr>
          <w:color w:val="548DD4" w:themeColor="text2" w:themeTint="99"/>
          <w:szCs w:val="24"/>
          <w:lang w:val="fr-FR"/>
        </w:rPr>
        <w:t>« </w:t>
      </w:r>
      <w:proofErr w:type="gramStart"/>
      <w:r w:rsidRPr="00571923">
        <w:rPr>
          <w:color w:val="548DD4" w:themeColor="text2" w:themeTint="99"/>
          <w:szCs w:val="24"/>
          <w:lang w:val="fr-FR"/>
        </w:rPr>
        <w:t>e</w:t>
      </w:r>
      <w:proofErr w:type="gramEnd"/>
      <w:r w:rsidRPr="00571923">
        <w:rPr>
          <w:color w:val="548DD4" w:themeColor="text2" w:themeTint="99"/>
          <w:szCs w:val="24"/>
          <w:lang w:val="fr-FR"/>
        </w:rPr>
        <w:t xml:space="preserve">) </w:t>
      </w:r>
      <w:r w:rsidRPr="00571923">
        <w:rPr>
          <w:color w:val="548DD4" w:themeColor="text2" w:themeTint="99"/>
          <w:szCs w:val="24"/>
          <w:lang w:val="fr-FR"/>
        </w:rPr>
        <w:tab/>
        <w:t>L’expédition de SCO-III.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5.1.5.1.4 b)</w:t>
      </w:r>
      <w:r w:rsidRPr="00571923">
        <w:rPr>
          <w:color w:val="548DD4" w:themeColor="text2" w:themeTint="99"/>
          <w:szCs w:val="24"/>
          <w:lang w:val="fr-FR"/>
        </w:rPr>
        <w:tab/>
        <w:t>L’amendement à la version anglaise est sans objet en français.</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5.1.5.3.1</w:t>
      </w:r>
      <w:r w:rsidRPr="00571923">
        <w:rPr>
          <w:color w:val="548DD4" w:themeColor="text2" w:themeTint="99"/>
          <w:szCs w:val="24"/>
          <w:lang w:val="fr-FR"/>
        </w:rPr>
        <w:tab/>
        <w:t>Dans la phrase d’introduction, remplacer « SCO-I » par « SCO-I ou SCO III</w:t>
      </w:r>
      <w:r w:rsidRPr="00571923">
        <w:rPr>
          <w:rStyle w:val="CommentReference"/>
          <w:color w:val="548DD4" w:themeColor="text2" w:themeTint="99"/>
          <w:lang w:val="fr-FR"/>
        </w:rPr>
        <w:t> </w:t>
      </w:r>
      <w:r w:rsidRPr="00571923">
        <w:rPr>
          <w:color w:val="548DD4" w:themeColor="text2" w:themeTint="99"/>
          <w:szCs w:val="24"/>
          <w:lang w:val="fr-FR"/>
        </w:rPr>
        <w:t xml:space="preserve">». À l’alinéa a), remplacer « l’intensité de rayonnement maximale » par « le débit de dose maximal » (deux fois) et remplacer « SCO-I » par « SCO-I ou SCO-III ». À l’alinéa a), dans la deuxième phrase, supprimer « et le nombre qui en résulte constitue l'indice de transport ». À l’alinéa b), remplacer « SCO-I » par « SCO-I et SCO-III ». À la fin de l’alinéa c), ajouter « ; le nombre qui en résulte constitue la valeur </w:t>
      </w:r>
      <w:r w:rsidRPr="00571923">
        <w:rPr>
          <w:i/>
          <w:iCs/>
          <w:color w:val="548DD4" w:themeColor="text2" w:themeTint="99"/>
          <w:szCs w:val="24"/>
          <w:lang w:val="fr-FR"/>
        </w:rPr>
        <w:t>TI</w:t>
      </w:r>
      <w:r w:rsidRPr="00571923">
        <w:rPr>
          <w:color w:val="548DD4" w:themeColor="text2" w:themeTint="99"/>
          <w:szCs w:val="24"/>
          <w:lang w:val="fr-FR"/>
        </w:rPr>
        <w:t>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Tableau 5.1.5.3.1</w:t>
      </w:r>
    </w:p>
    <w:p w:rsidR="002F42AA" w:rsidRPr="00571923" w:rsidRDefault="002F42AA" w:rsidP="002F42AA">
      <w:pPr>
        <w:pStyle w:val="SingleTxtG"/>
        <w:tabs>
          <w:tab w:val="left" w:pos="2268"/>
        </w:tabs>
        <w:ind w:left="2259" w:hanging="1125"/>
        <w:rPr>
          <w:bCs/>
          <w:color w:val="548DD4" w:themeColor="text2" w:themeTint="99"/>
          <w:szCs w:val="24"/>
          <w:lang w:val="fr-FR"/>
        </w:rPr>
      </w:pPr>
      <w:r w:rsidRPr="00571923">
        <w:rPr>
          <w:color w:val="548DD4" w:themeColor="text2" w:themeTint="99"/>
          <w:szCs w:val="24"/>
          <w:lang w:val="fr-FR"/>
        </w:rPr>
        <w:t xml:space="preserve"> </w:t>
      </w:r>
      <w:r w:rsidRPr="00571923">
        <w:rPr>
          <w:color w:val="548DD4" w:themeColor="text2" w:themeTint="99"/>
          <w:szCs w:val="24"/>
          <w:lang w:val="fr-FR"/>
        </w:rPr>
        <w:tab/>
        <w:t>Dans le titre, remplacer « SCO-I » par « SCO-I et SCO-III ».</w:t>
      </w:r>
    </w:p>
    <w:p w:rsidR="002F42AA" w:rsidRPr="00571923" w:rsidRDefault="002F42AA" w:rsidP="00516D62">
      <w:pPr>
        <w:pStyle w:val="SingleTxtG"/>
        <w:pageBreakBefore/>
        <w:tabs>
          <w:tab w:val="left" w:pos="2268"/>
        </w:tabs>
        <w:ind w:left="2257" w:hanging="1123"/>
        <w:rPr>
          <w:color w:val="548DD4" w:themeColor="text2" w:themeTint="99"/>
          <w:szCs w:val="24"/>
          <w:lang w:val="fr-FR"/>
        </w:rPr>
      </w:pPr>
      <w:r w:rsidRPr="00571923">
        <w:rPr>
          <w:color w:val="548DD4" w:themeColor="text2" w:themeTint="99"/>
          <w:szCs w:val="24"/>
          <w:lang w:val="fr-FR"/>
        </w:rPr>
        <w:lastRenderedPageBreak/>
        <w:t>5.1.5.3.2</w:t>
      </w:r>
      <w:r w:rsidRPr="00571923">
        <w:rPr>
          <w:color w:val="548DD4" w:themeColor="text2" w:themeTint="99"/>
          <w:szCs w:val="24"/>
          <w:lang w:val="fr-FR"/>
        </w:rPr>
        <w:tab/>
        <w:t>Modifier pour lire comme suit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 5.1.5.3.2</w:t>
      </w:r>
      <w:r w:rsidRPr="00571923">
        <w:rPr>
          <w:color w:val="548DD4" w:themeColor="text2" w:themeTint="99"/>
          <w:szCs w:val="24"/>
          <w:lang w:val="fr-FR"/>
        </w:rPr>
        <w:tab/>
        <w:t xml:space="preserve">Le TI de chaque suremballage rigide, conteneur ou véhicule </w:t>
      </w:r>
      <w:r w:rsidRPr="00571923">
        <w:rPr>
          <w:b/>
          <w:bCs/>
          <w:color w:val="548DD4" w:themeColor="text2" w:themeTint="99"/>
          <w:szCs w:val="24"/>
          <w:lang w:val="fr-FR"/>
        </w:rPr>
        <w:t xml:space="preserve">[moyen de transport] </w:t>
      </w:r>
      <w:r w:rsidRPr="00571923">
        <w:rPr>
          <w:color w:val="548DD4" w:themeColor="text2" w:themeTint="99"/>
          <w:szCs w:val="24"/>
          <w:lang w:val="fr-FR"/>
        </w:rPr>
        <w:t xml:space="preserve">est déterminé en additionnant les TI de tous les colis qu’ils contiennent. Dans le cas d’une expédition assurée par un seul expéditeur, ce dernier peut déterminer le TI en mesurant directement le débit de dose.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ab/>
        <w:t>Le TI d’un suremballage non rigide ne doit être déterminé qu’en additionnant les TI de l’ensemble des colis contenus dans ledit suremballage. ».</w:t>
      </w:r>
    </w:p>
    <w:p w:rsidR="002F42AA" w:rsidRPr="00571923" w:rsidRDefault="002F42AA" w:rsidP="002F42AA">
      <w:pPr>
        <w:pStyle w:val="SingleTxtG"/>
        <w:rPr>
          <w:i/>
          <w:iCs/>
          <w:color w:val="548DD4" w:themeColor="text2" w:themeTint="99"/>
        </w:rPr>
      </w:pPr>
      <w:r w:rsidRPr="00571923">
        <w:rPr>
          <w:b/>
          <w:bCs/>
          <w:i/>
          <w:iCs/>
          <w:color w:val="548DD4" w:themeColor="text2" w:themeTint="99"/>
          <w:szCs w:val="24"/>
          <w:lang w:val="fr-FR"/>
        </w:rPr>
        <w:t>Note du secrétariat :</w:t>
      </w:r>
      <w:r w:rsidRPr="00571923">
        <w:rPr>
          <w:i/>
          <w:iCs/>
          <w:color w:val="548DD4" w:themeColor="text2" w:themeTint="99"/>
          <w:szCs w:val="24"/>
          <w:lang w:val="fr-FR"/>
        </w:rPr>
        <w:t xml:space="preserve"> </w:t>
      </w:r>
      <w:r w:rsidRPr="00571923">
        <w:rPr>
          <w:i/>
          <w:iCs/>
          <w:color w:val="548DD4" w:themeColor="text2" w:themeTint="99"/>
        </w:rPr>
        <w:t>La Réunion commune a adopté la proposition présentée par le secrétariat de l’OTIF, visant à annuler la décision concernant l’utilisation du terme « moyen de transport » au paragraphe 5.1.5.3.2 du RID/ADR (voir annexe II). Il a été noté que, en ce qui concerne l’ADN, la question serait réexaminée par le Comité de sécurité de l’ADN à sa trente-sixième session, en janvier 2020.</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5.1.5.3.4 a)</w:t>
      </w:r>
      <w:r w:rsidRPr="00571923">
        <w:rPr>
          <w:color w:val="548DD4" w:themeColor="text2" w:themeTint="99"/>
          <w:szCs w:val="24"/>
          <w:lang w:val="fr-FR"/>
        </w:rPr>
        <w:tab/>
        <w:t>Dans la première phrase, remplacer « de l’intensité de rayonnement » par « du débit de dose ». Dans la deuxième phrase, remplacer « l’intensité de rayonnement » par « le débit de dose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5.1.5.3.4 b)</w:t>
      </w:r>
      <w:r w:rsidRPr="00571923">
        <w:rPr>
          <w:color w:val="548DD4" w:themeColor="text2" w:themeTint="99"/>
          <w:szCs w:val="24"/>
          <w:lang w:val="fr-FR"/>
        </w:rPr>
        <w:tab/>
        <w:t>L’amendement à la version anglaise est sans objet en français.</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5.1.5.3.4 c)</w:t>
      </w:r>
      <w:r w:rsidRPr="00571923">
        <w:rPr>
          <w:color w:val="548DD4" w:themeColor="text2" w:themeTint="99"/>
          <w:szCs w:val="24"/>
          <w:lang w:val="fr-FR"/>
        </w:rPr>
        <w:tab/>
        <w:t>Remplacer « l’intensité de rayonnement est supérieure » par « le débit de dose est supérieur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Tableau 5.1.5.3.4</w:t>
      </w:r>
    </w:p>
    <w:p w:rsidR="002F42AA" w:rsidRPr="00C85ADC" w:rsidRDefault="002F42AA" w:rsidP="002F42AA">
      <w:pPr>
        <w:pStyle w:val="SingleTxtG"/>
        <w:tabs>
          <w:tab w:val="left" w:pos="2268"/>
        </w:tabs>
        <w:ind w:left="2259" w:hanging="1125"/>
        <w:rPr>
          <w:szCs w:val="24"/>
          <w:lang w:val="fr-FR"/>
        </w:rPr>
      </w:pPr>
      <w:r w:rsidRPr="00571923">
        <w:rPr>
          <w:color w:val="548DD4" w:themeColor="text2" w:themeTint="99"/>
          <w:szCs w:val="24"/>
          <w:lang w:val="fr-FR"/>
        </w:rPr>
        <w:tab/>
        <w:t>Remplacer « Intensité de rayonnement maximale » par « débit de dose maximal ».</w:t>
      </w:r>
    </w:p>
    <w:p w:rsidR="002F42AA" w:rsidRPr="00C85ADC" w:rsidRDefault="002F42AA" w:rsidP="002F42AA">
      <w:pPr>
        <w:pStyle w:val="H1G"/>
        <w:rPr>
          <w:lang w:val="fr-FR"/>
        </w:rPr>
      </w:pPr>
      <w:r w:rsidRPr="00C85ADC">
        <w:rPr>
          <w:lang w:val="fr-FR"/>
        </w:rPr>
        <w:tab/>
      </w:r>
      <w:r w:rsidRPr="00C85ADC">
        <w:rPr>
          <w:lang w:val="fr-FR"/>
        </w:rPr>
        <w:tab/>
        <w:t>Chapitre 5.2</w:t>
      </w:r>
    </w:p>
    <w:p w:rsidR="002F42AA" w:rsidRPr="00571923" w:rsidRDefault="002F42AA" w:rsidP="002F42AA">
      <w:pPr>
        <w:pStyle w:val="SingleTxtG"/>
        <w:tabs>
          <w:tab w:val="left" w:pos="2268"/>
        </w:tabs>
        <w:ind w:left="2259" w:hanging="1125"/>
        <w:rPr>
          <w:color w:val="548DD4" w:themeColor="text2" w:themeTint="99"/>
          <w:lang w:val="fr-FR"/>
        </w:rPr>
      </w:pPr>
      <w:r w:rsidRPr="00571923">
        <w:rPr>
          <w:color w:val="548DD4" w:themeColor="text2" w:themeTint="99"/>
          <w:lang w:val="fr-FR"/>
        </w:rPr>
        <w:t>5.2.1.1</w:t>
      </w:r>
      <w:r w:rsidRPr="00571923">
        <w:rPr>
          <w:color w:val="548DD4" w:themeColor="text2" w:themeTint="99"/>
          <w:lang w:val="fr-FR"/>
        </w:rPr>
        <w:tab/>
        <w:t xml:space="preserve">Modifier la fin de la deuxième phrase pour lire comme suit : </w:t>
      </w:r>
      <w:r w:rsidRPr="00571923">
        <w:rPr>
          <w:color w:val="548DD4" w:themeColor="text2" w:themeTint="99"/>
          <w:szCs w:val="24"/>
          <w:lang w:val="fr-FR"/>
        </w:rPr>
        <w:t>« …</w:t>
      </w:r>
      <w:r w:rsidRPr="00571923">
        <w:rPr>
          <w:color w:val="548DD4" w:themeColor="text2" w:themeTint="99"/>
          <w:lang w:val="fr-FR"/>
        </w:rPr>
        <w:t xml:space="preserve">les bouteilles d’une contenance en eau ne dépassant pas 60 </w:t>
      </w:r>
      <w:r w:rsidRPr="00571923">
        <w:rPr>
          <w:i/>
          <w:iCs/>
          <w:color w:val="548DD4" w:themeColor="text2" w:themeTint="99"/>
          <w:lang w:val="fr-FR"/>
        </w:rPr>
        <w:t>l</w:t>
      </w:r>
      <w:r w:rsidRPr="00571923">
        <w:rPr>
          <w:color w:val="548DD4" w:themeColor="text2" w:themeTint="99"/>
          <w:lang w:val="fr-FR"/>
        </w:rPr>
        <w:t xml:space="preserve">, où ils doivent mesurer au moins 6 mm de hauteur ainsi que sur les emballages d’une capacité ne dépassant pas 5 </w:t>
      </w:r>
      <w:r w:rsidRPr="00571923">
        <w:rPr>
          <w:i/>
          <w:iCs/>
          <w:color w:val="548DD4" w:themeColor="text2" w:themeTint="99"/>
          <w:lang w:val="fr-FR"/>
        </w:rPr>
        <w:t>l</w:t>
      </w:r>
      <w:r w:rsidRPr="00571923">
        <w:rPr>
          <w:color w:val="548DD4" w:themeColor="text2" w:themeTint="99"/>
          <w:lang w:val="fr-FR"/>
        </w:rPr>
        <w:t xml:space="preserve"> ou d’une masse nette ne dépassant pas 5 kg, où ils doivent avoir des dimensions appropriées. ».</w:t>
      </w:r>
      <w:r w:rsidRPr="00571923">
        <w:rPr>
          <w:color w:val="548DD4" w:themeColor="text2" w:themeTint="99"/>
          <w:lang w:val="fr-FR"/>
        </w:rPr>
        <w:tab/>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5.2.1.7.6</w:t>
      </w:r>
      <w:r w:rsidRPr="00571923">
        <w:rPr>
          <w:color w:val="548DD4" w:themeColor="text2" w:themeTint="99"/>
          <w:szCs w:val="24"/>
          <w:lang w:val="fr-FR"/>
        </w:rPr>
        <w:tab/>
        <w:t>Ajouter à la fin du paragraphe la phrase suivante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ab/>
        <w:t>« Toute marque apposée sur le colis conformément aux prescriptions du 5.2.1.7.4 a) et b) et 5.2.1.7.5 c) relatives au type de colis sans rapport avec le numéro ONU et la désignation officielle de transport attribués à l’envoi doit être enlevée ou couverte. ».</w:t>
      </w:r>
    </w:p>
    <w:p w:rsidR="002F42AA" w:rsidRPr="00571923" w:rsidRDefault="002F42AA" w:rsidP="002F42AA">
      <w:pPr>
        <w:pStyle w:val="SingleTxtG"/>
        <w:tabs>
          <w:tab w:val="left" w:pos="2268"/>
        </w:tabs>
        <w:ind w:left="2259" w:hanging="1125"/>
        <w:rPr>
          <w:color w:val="548DD4" w:themeColor="text2" w:themeTint="99"/>
          <w:lang w:val="fr-FR"/>
        </w:rPr>
      </w:pPr>
      <w:r w:rsidRPr="00571923">
        <w:rPr>
          <w:color w:val="548DD4" w:themeColor="text2" w:themeTint="99"/>
          <w:lang w:val="fr-FR"/>
        </w:rPr>
        <w:t>5.2.1.9.2</w:t>
      </w:r>
      <w:r w:rsidRPr="00571923">
        <w:rPr>
          <w:color w:val="548DD4" w:themeColor="text2" w:themeTint="99"/>
          <w:lang w:val="fr-FR"/>
        </w:rPr>
        <w:tab/>
        <w:t>À la figure 5.2.1.9.2, remplacer « 120 mm » par « 100 mm » et « 110 mm » par « 100 mm ».</w:t>
      </w:r>
    </w:p>
    <w:p w:rsidR="002F42AA" w:rsidRPr="00571923" w:rsidRDefault="002F42AA" w:rsidP="002F42AA">
      <w:pPr>
        <w:pStyle w:val="SingleTxtG"/>
        <w:tabs>
          <w:tab w:val="left" w:pos="2268"/>
        </w:tabs>
        <w:ind w:left="2259" w:hanging="1125"/>
        <w:rPr>
          <w:color w:val="548DD4" w:themeColor="text2" w:themeTint="99"/>
          <w:lang w:val="fr-FR"/>
        </w:rPr>
      </w:pPr>
      <w:r w:rsidRPr="00571923">
        <w:rPr>
          <w:color w:val="548DD4" w:themeColor="text2" w:themeTint="99"/>
          <w:lang w:val="fr-FR"/>
        </w:rPr>
        <w:tab/>
        <w:t>Au dernier paragraphe :</w:t>
      </w:r>
    </w:p>
    <w:p w:rsidR="002F42AA" w:rsidRPr="00571923" w:rsidRDefault="002F42AA" w:rsidP="002F42AA">
      <w:pPr>
        <w:pStyle w:val="SingleTxtG"/>
        <w:tabs>
          <w:tab w:val="left" w:pos="2268"/>
        </w:tabs>
        <w:ind w:left="2259" w:hanging="1125"/>
        <w:rPr>
          <w:color w:val="548DD4" w:themeColor="text2" w:themeTint="99"/>
          <w:lang w:val="fr-FR"/>
        </w:rPr>
      </w:pPr>
      <w:r w:rsidRPr="00571923">
        <w:rPr>
          <w:color w:val="548DD4" w:themeColor="text2" w:themeTint="99"/>
          <w:lang w:val="fr-FR"/>
        </w:rPr>
        <w:tab/>
        <w:t>Première phrase : Remplacer « d’un rectangle » par « d’un rectangle ou d’un carré ».</w:t>
      </w:r>
    </w:p>
    <w:p w:rsidR="002F42AA" w:rsidRPr="00571923" w:rsidRDefault="002F42AA" w:rsidP="002F42AA">
      <w:pPr>
        <w:pStyle w:val="SingleTxtG"/>
        <w:tabs>
          <w:tab w:val="left" w:pos="2268"/>
        </w:tabs>
        <w:ind w:left="2259" w:hanging="1125"/>
        <w:rPr>
          <w:color w:val="548DD4" w:themeColor="text2" w:themeTint="99"/>
          <w:lang w:val="fr-FR"/>
        </w:rPr>
      </w:pPr>
      <w:r w:rsidRPr="00571923">
        <w:rPr>
          <w:color w:val="548DD4" w:themeColor="text2" w:themeTint="99"/>
          <w:lang w:val="fr-FR"/>
        </w:rPr>
        <w:tab/>
        <w:t xml:space="preserve">Deuxième phrase : remplacer « 120 mm de largeur × 110 mm de hauteur » par « 100 mm de largeur × 100 mm de hauteur ». </w:t>
      </w:r>
    </w:p>
    <w:p w:rsidR="002F42AA" w:rsidRPr="00571923" w:rsidRDefault="002F42AA" w:rsidP="002F42AA">
      <w:pPr>
        <w:pStyle w:val="SingleTxtG"/>
        <w:tabs>
          <w:tab w:val="left" w:pos="2268"/>
        </w:tabs>
        <w:ind w:left="2259" w:hanging="1125"/>
        <w:rPr>
          <w:color w:val="548DD4" w:themeColor="text2" w:themeTint="99"/>
          <w:lang w:val="fr-FR"/>
        </w:rPr>
      </w:pPr>
      <w:r w:rsidRPr="00571923">
        <w:rPr>
          <w:color w:val="548DD4" w:themeColor="text2" w:themeTint="99"/>
          <w:lang w:val="fr-FR"/>
        </w:rPr>
        <w:tab/>
        <w:t>Cinquième phrase : supprimer « /l’épaisseur de la ligne » et remplacer « 105 mm de largeur × 74 mm de hauteur » par « 100 mm de largeur × 70 mm de hauteur ».</w:t>
      </w:r>
    </w:p>
    <w:p w:rsidR="002F42AA" w:rsidRPr="00C85ADC" w:rsidRDefault="002F42AA" w:rsidP="002F42AA">
      <w:pPr>
        <w:pStyle w:val="SingleTxtG"/>
        <w:tabs>
          <w:tab w:val="left" w:pos="2268"/>
        </w:tabs>
        <w:ind w:left="2259" w:hanging="1125"/>
        <w:rPr>
          <w:lang w:val="fr-FR"/>
        </w:rPr>
      </w:pPr>
      <w:r w:rsidRPr="00571923">
        <w:rPr>
          <w:color w:val="548DD4" w:themeColor="text2" w:themeTint="99"/>
          <w:lang w:val="fr-FR"/>
        </w:rPr>
        <w:lastRenderedPageBreak/>
        <w:t>5.2.2.1.11.2</w:t>
      </w:r>
      <w:r w:rsidRPr="00571923">
        <w:rPr>
          <w:color w:val="548DD4" w:themeColor="text2" w:themeTint="99"/>
          <w:lang w:val="fr-FR"/>
        </w:rPr>
        <w:tab/>
        <w:t>À l’alinéa d), remplacer « (la rubrique “Indice de transport” n’est pas requise pour la catégorie I-BLANCHE) » par « (sauf pour la catégorie I-BLANCHE) ».</w:t>
      </w:r>
    </w:p>
    <w:p w:rsidR="002F42AA" w:rsidRPr="00571923" w:rsidRDefault="002F42AA" w:rsidP="002F42AA">
      <w:pPr>
        <w:pStyle w:val="H1G"/>
      </w:pPr>
      <w:r w:rsidRPr="00571923">
        <w:rPr>
          <w:lang w:val="fr-FR"/>
        </w:rPr>
        <w:tab/>
      </w:r>
      <w:r w:rsidRPr="00571923">
        <w:rPr>
          <w:lang w:val="fr-FR"/>
        </w:rPr>
        <w:tab/>
        <w:t>Chapitre 5.3</w:t>
      </w:r>
    </w:p>
    <w:p w:rsidR="002F42AA" w:rsidRPr="00571923" w:rsidRDefault="002F42AA" w:rsidP="002F42AA">
      <w:pPr>
        <w:pStyle w:val="SingleTxtG"/>
        <w:ind w:left="2268" w:hanging="1134"/>
        <w:rPr>
          <w:bCs/>
        </w:rPr>
      </w:pPr>
      <w:r w:rsidRPr="00571923">
        <w:rPr>
          <w:lang w:val="fr-FR"/>
        </w:rPr>
        <w:t>5.3.2.3.2</w:t>
      </w:r>
      <w:r w:rsidRPr="00571923">
        <w:rPr>
          <w:lang w:val="fr-FR"/>
        </w:rPr>
        <w:tab/>
        <w:t>Après la rubrique pour « X83 », insérer la nouvelle rubrique suivante :</w:t>
      </w:r>
      <w:r w:rsidRPr="00571923" w:rsidDel="009F55EB">
        <w:rPr>
          <w:lang w:val="fr-FR"/>
        </w:rPr>
        <w:t xml:space="preserve"> </w:t>
      </w:r>
      <w:r w:rsidRPr="00571923">
        <w:rPr>
          <w:lang w:val="fr-FR"/>
        </w:rPr>
        <w:t>« 836.</w:t>
      </w:r>
      <w:r w:rsidRPr="00571923">
        <w:rPr>
          <w:lang w:val="fr-FR"/>
        </w:rPr>
        <w:tab/>
        <w:t xml:space="preserve">Matière corrosive ou faiblement corrosive, inflammable (point d’éclair de 23 °C à 60 °C, valeurs limites comprises) et </w:t>
      </w:r>
      <w:proofErr w:type="gramStart"/>
      <w:r w:rsidRPr="00571923">
        <w:rPr>
          <w:lang w:val="fr-FR"/>
        </w:rPr>
        <w:t>toxique .</w:t>
      </w:r>
      <w:proofErr w:type="gramEnd"/>
      <w:r w:rsidRPr="00571923">
        <w:rPr>
          <w:lang w:val="fr-FR"/>
        </w:rPr>
        <w:t>».</w:t>
      </w:r>
    </w:p>
    <w:p w:rsidR="002F42AA" w:rsidRPr="00571923" w:rsidRDefault="002F42AA" w:rsidP="002F42AA">
      <w:pPr>
        <w:pStyle w:val="SingleTxtG"/>
        <w:rPr>
          <w:i/>
          <w:iCs/>
        </w:rPr>
      </w:pPr>
      <w:r w:rsidRPr="00571923">
        <w:rPr>
          <w:i/>
          <w:lang w:val="fr-FR"/>
        </w:rPr>
        <w:t xml:space="preserve">(Document de référence : </w:t>
      </w:r>
      <w:r w:rsidR="00571923" w:rsidRPr="00571923">
        <w:rPr>
          <w:i/>
          <w:iCs/>
        </w:rPr>
        <w:t xml:space="preserve">ECE/TRANS/WP.15/AC.1/152, </w:t>
      </w:r>
      <w:r w:rsidR="00C35261">
        <w:rPr>
          <w:i/>
          <w:iCs/>
        </w:rPr>
        <w:t>annexe</w:t>
      </w:r>
      <w:r w:rsidR="00571923" w:rsidRPr="00571923">
        <w:rPr>
          <w:i/>
          <w:iCs/>
        </w:rPr>
        <w:t xml:space="preserve"> II</w:t>
      </w:r>
      <w:r w:rsidRPr="00571923">
        <w:rPr>
          <w:i/>
          <w:lang w:val="fr-FR"/>
        </w:rPr>
        <w:t>)</w:t>
      </w:r>
    </w:p>
    <w:p w:rsidR="002F42AA" w:rsidRPr="00C85ADC" w:rsidRDefault="002F42AA" w:rsidP="002F42AA">
      <w:pPr>
        <w:pStyle w:val="H1G"/>
        <w:rPr>
          <w:lang w:val="fr-FR"/>
        </w:rPr>
      </w:pPr>
      <w:r w:rsidRPr="00C85ADC">
        <w:rPr>
          <w:lang w:val="fr-FR"/>
        </w:rPr>
        <w:tab/>
      </w:r>
      <w:r w:rsidRPr="00C85ADC">
        <w:rPr>
          <w:lang w:val="fr-FR"/>
        </w:rPr>
        <w:tab/>
        <w:t>Chapitre 5.4</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5.4.1.1.1 f)</w:t>
      </w:r>
      <w:r w:rsidRPr="00571923">
        <w:rPr>
          <w:color w:val="548DD4" w:themeColor="text2" w:themeTint="99"/>
          <w:szCs w:val="24"/>
          <w:lang w:val="fr-FR"/>
        </w:rPr>
        <w:tab/>
        <w:t>Remplacer « la quantité totale de chaque marchandise dangereuse caractérisée par son numéro ONU, sa désignation officielle de transport et un groupe d'emballage (exprimée en volume ou en masse brute, ou en masse nette selon le cas) » par « la quantité totale de chaque marchandise dangereuse ayant un numéro ONU, une désignation officielle de transport, ou un groupe d'emballage différent (exprimée en volume, en masse brute ou en masse nette selon le cas). ».</w:t>
      </w:r>
    </w:p>
    <w:p w:rsidR="002F42AA" w:rsidRPr="00571923" w:rsidRDefault="002F42AA" w:rsidP="002F42AA">
      <w:pPr>
        <w:pStyle w:val="SingleTxtG"/>
        <w:tabs>
          <w:tab w:val="left" w:pos="2268"/>
        </w:tabs>
        <w:ind w:left="2259" w:hanging="1125"/>
        <w:rPr>
          <w:color w:val="548DD4" w:themeColor="text2" w:themeTint="99"/>
          <w:szCs w:val="24"/>
          <w:lang w:val="fr-FR"/>
        </w:rPr>
      </w:pPr>
      <w:r w:rsidRPr="00571923">
        <w:rPr>
          <w:color w:val="548DD4" w:themeColor="text2" w:themeTint="99"/>
          <w:szCs w:val="24"/>
          <w:lang w:val="fr-FR"/>
        </w:rPr>
        <w:t>5.4.1.2.5.1</w:t>
      </w:r>
      <w:r w:rsidRPr="00571923">
        <w:rPr>
          <w:color w:val="548DD4" w:themeColor="text2" w:themeTint="99"/>
          <w:szCs w:val="24"/>
          <w:lang w:val="fr-FR"/>
        </w:rPr>
        <w:tab/>
        <w:t>Modifier les alinéas d) et e) pour lire comme suit :</w:t>
      </w:r>
    </w:p>
    <w:p w:rsidR="002F42AA" w:rsidRPr="00571923" w:rsidRDefault="002F42AA" w:rsidP="002F42AA">
      <w:pPr>
        <w:pStyle w:val="SingleTxtG"/>
        <w:tabs>
          <w:tab w:val="left" w:pos="2268"/>
        </w:tabs>
        <w:ind w:left="2835" w:hanging="576"/>
        <w:rPr>
          <w:color w:val="548DD4" w:themeColor="text2" w:themeTint="99"/>
          <w:szCs w:val="24"/>
          <w:lang w:val="fr-FR"/>
        </w:rPr>
      </w:pPr>
      <w:r w:rsidRPr="00571923">
        <w:rPr>
          <w:color w:val="548DD4" w:themeColor="text2" w:themeTint="99"/>
          <w:szCs w:val="24"/>
          <w:lang w:val="fr-FR"/>
        </w:rPr>
        <w:t>« </w:t>
      </w:r>
      <w:proofErr w:type="gramStart"/>
      <w:r w:rsidRPr="00571923">
        <w:rPr>
          <w:color w:val="548DD4" w:themeColor="text2" w:themeTint="99"/>
          <w:szCs w:val="24"/>
          <w:lang w:val="fr-FR"/>
        </w:rPr>
        <w:t>d</w:t>
      </w:r>
      <w:proofErr w:type="gramEnd"/>
      <w:r w:rsidRPr="00571923">
        <w:rPr>
          <w:color w:val="548DD4" w:themeColor="text2" w:themeTint="99"/>
          <w:szCs w:val="24"/>
          <w:lang w:val="fr-FR"/>
        </w:rPr>
        <w:t>)</w:t>
      </w:r>
      <w:r w:rsidRPr="00571923">
        <w:rPr>
          <w:color w:val="548DD4" w:themeColor="text2" w:themeTint="99"/>
          <w:szCs w:val="24"/>
          <w:lang w:val="fr-FR"/>
        </w:rPr>
        <w:tab/>
        <w:t>La catégorie du colis, du suremballage ou du conteneur, telle que déterminée conformément au 5.1.5.3.4  c’est-à-dire I-BLANCHE, II-JAUNE, III-JAUNE ;</w:t>
      </w:r>
    </w:p>
    <w:p w:rsidR="002F42AA" w:rsidRPr="00571923" w:rsidRDefault="002F42AA" w:rsidP="002F42AA">
      <w:pPr>
        <w:pStyle w:val="SingleTxtG"/>
        <w:tabs>
          <w:tab w:val="left" w:pos="2268"/>
        </w:tabs>
        <w:ind w:left="2835" w:hanging="576"/>
        <w:rPr>
          <w:color w:val="548DD4" w:themeColor="text2" w:themeTint="99"/>
          <w:szCs w:val="24"/>
          <w:lang w:val="fr-FR"/>
        </w:rPr>
      </w:pPr>
      <w:r w:rsidRPr="00571923">
        <w:rPr>
          <w:color w:val="548DD4" w:themeColor="text2" w:themeTint="99"/>
          <w:szCs w:val="24"/>
          <w:lang w:val="fr-FR"/>
        </w:rPr>
        <w:t>e)</w:t>
      </w:r>
      <w:r w:rsidRPr="00571923">
        <w:rPr>
          <w:color w:val="548DD4" w:themeColor="text2" w:themeTint="99"/>
          <w:szCs w:val="24"/>
          <w:lang w:val="fr-FR"/>
        </w:rPr>
        <w:tab/>
        <w:t>Le TI, tel que déterminé conformément aux 5.1.5.3.1 et 5.1.5.3.2 (sauf pour la catégorie I-BLANCHE) ; ».</w:t>
      </w:r>
    </w:p>
    <w:p w:rsidR="002F42AA" w:rsidRPr="00761EE8" w:rsidRDefault="002F42AA" w:rsidP="002F42AA">
      <w:pPr>
        <w:pStyle w:val="SingleTxtG"/>
        <w:tabs>
          <w:tab w:val="left" w:pos="2268"/>
        </w:tabs>
        <w:ind w:left="2259" w:hanging="1125"/>
        <w:rPr>
          <w:b/>
          <w:bCs/>
          <w:color w:val="548DD4" w:themeColor="text2" w:themeTint="99"/>
          <w:szCs w:val="24"/>
          <w:lang w:val="fr-FR"/>
        </w:rPr>
      </w:pPr>
      <w:r w:rsidRPr="00761EE8">
        <w:rPr>
          <w:b/>
          <w:bCs/>
          <w:color w:val="548DD4" w:themeColor="text2" w:themeTint="99"/>
          <w:szCs w:val="24"/>
          <w:lang w:val="fr-FR"/>
        </w:rPr>
        <w:t>[</w:t>
      </w:r>
      <w:r w:rsidRPr="00761EE8">
        <w:rPr>
          <w:color w:val="548DD4" w:themeColor="text2" w:themeTint="99"/>
          <w:szCs w:val="24"/>
          <w:lang w:val="fr-FR"/>
        </w:rPr>
        <w:t>5.4.1.2.2 d)</w:t>
      </w:r>
      <w:r w:rsidRPr="00761EE8">
        <w:rPr>
          <w:color w:val="548DD4" w:themeColor="text2" w:themeTint="99"/>
          <w:szCs w:val="24"/>
          <w:lang w:val="fr-FR"/>
        </w:rPr>
        <w:tab/>
        <w:t>Remplacer « des conteneurs-citernes » par « des wagons-citernes, des conteneurs-citernes et des citernes mobiles ».</w:t>
      </w:r>
      <w:r w:rsidRPr="00761EE8">
        <w:rPr>
          <w:b/>
          <w:bCs/>
          <w:color w:val="548DD4" w:themeColor="text2" w:themeTint="99"/>
          <w:szCs w:val="24"/>
          <w:lang w:val="fr-FR"/>
        </w:rPr>
        <w:t>]</w:t>
      </w:r>
    </w:p>
    <w:p w:rsidR="002F42AA" w:rsidRPr="00761EE8" w:rsidRDefault="002F42AA" w:rsidP="002F42AA">
      <w:pPr>
        <w:pStyle w:val="SingleTxtG"/>
        <w:tabs>
          <w:tab w:val="left" w:pos="1134"/>
        </w:tabs>
        <w:rPr>
          <w:i/>
          <w:iCs/>
          <w:color w:val="548DD4" w:themeColor="text2" w:themeTint="99"/>
        </w:rPr>
      </w:pPr>
      <w:r w:rsidRPr="00761EE8">
        <w:rPr>
          <w:b/>
          <w:bCs/>
          <w:i/>
          <w:iCs/>
          <w:color w:val="548DD4" w:themeColor="text2" w:themeTint="99"/>
          <w:szCs w:val="24"/>
          <w:lang w:val="fr-FR"/>
        </w:rPr>
        <w:t>Note du secrétariat :</w:t>
      </w:r>
      <w:r w:rsidRPr="00761EE8">
        <w:rPr>
          <w:i/>
          <w:iCs/>
          <w:color w:val="548DD4" w:themeColor="text2" w:themeTint="99"/>
          <w:szCs w:val="24"/>
          <w:lang w:val="fr-FR"/>
        </w:rPr>
        <w:t xml:space="preserve"> </w:t>
      </w:r>
      <w:r w:rsidR="00571923" w:rsidRPr="00761EE8">
        <w:rPr>
          <w:i/>
          <w:iCs/>
          <w:color w:val="548DD4" w:themeColor="text2" w:themeTint="99"/>
        </w:rPr>
        <w:t xml:space="preserve">A confirmer par le </w:t>
      </w:r>
      <w:r w:rsidR="0072313A" w:rsidRPr="00761EE8">
        <w:rPr>
          <w:i/>
          <w:iCs/>
          <w:color w:val="548DD4" w:themeColor="text2" w:themeTint="99"/>
          <w:lang w:val="fr-FR"/>
        </w:rPr>
        <w:t>Comité de sécurité.</w:t>
      </w:r>
    </w:p>
    <w:p w:rsidR="002F42AA" w:rsidRPr="0072313A" w:rsidRDefault="002F42AA" w:rsidP="002F42AA">
      <w:pPr>
        <w:pStyle w:val="SingleTxtG"/>
        <w:tabs>
          <w:tab w:val="left" w:pos="2268"/>
        </w:tabs>
        <w:ind w:left="2259" w:hanging="1125"/>
        <w:rPr>
          <w:color w:val="548DD4" w:themeColor="text2" w:themeTint="99"/>
          <w:szCs w:val="24"/>
          <w:lang w:val="fr-FR"/>
        </w:rPr>
      </w:pPr>
      <w:r w:rsidRPr="0072313A">
        <w:rPr>
          <w:color w:val="548DD4" w:themeColor="text2" w:themeTint="99"/>
          <w:szCs w:val="24"/>
          <w:lang w:val="fr-FR"/>
        </w:rPr>
        <w:t>5.4.1.2.5.1</w:t>
      </w:r>
      <w:r w:rsidRPr="0072313A">
        <w:rPr>
          <w:color w:val="548DD4" w:themeColor="text2" w:themeTint="99"/>
          <w:szCs w:val="24"/>
          <w:lang w:val="fr-FR"/>
        </w:rPr>
        <w:tab/>
        <w:t>À l’alinéa j), remplacer « SCO-I et SCO-II » par « SCO-I, SCO-II et SCO-III ».</w:t>
      </w:r>
    </w:p>
    <w:p w:rsidR="002F42AA" w:rsidRPr="0072313A" w:rsidRDefault="002F42AA" w:rsidP="002F42AA">
      <w:pPr>
        <w:pStyle w:val="SingleTxtG"/>
        <w:tabs>
          <w:tab w:val="left" w:pos="2268"/>
        </w:tabs>
        <w:ind w:left="2259" w:hanging="1125"/>
        <w:rPr>
          <w:color w:val="548DD4" w:themeColor="text2" w:themeTint="99"/>
          <w:szCs w:val="24"/>
          <w:lang w:val="fr-FR"/>
        </w:rPr>
      </w:pPr>
      <w:r w:rsidRPr="0072313A">
        <w:rPr>
          <w:color w:val="548DD4" w:themeColor="text2" w:themeTint="99"/>
          <w:szCs w:val="24"/>
          <w:lang w:val="fr-FR"/>
        </w:rPr>
        <w:t>5.4.2</w:t>
      </w:r>
      <w:r w:rsidRPr="0072313A">
        <w:rPr>
          <w:color w:val="548DD4" w:themeColor="text2" w:themeTint="99"/>
          <w:szCs w:val="24"/>
          <w:lang w:val="fr-FR"/>
        </w:rPr>
        <w:tab/>
        <w:t>Dans le deuxième paragraphe, à la fin de la première phrase, supprimer « les uns aux autres ».</w:t>
      </w:r>
    </w:p>
    <w:p w:rsidR="002F42AA" w:rsidRPr="0072313A" w:rsidRDefault="002F42AA" w:rsidP="002F42AA">
      <w:pPr>
        <w:pStyle w:val="SingleTxtG"/>
        <w:tabs>
          <w:tab w:val="left" w:pos="2268"/>
        </w:tabs>
        <w:rPr>
          <w:color w:val="548DD4" w:themeColor="text2" w:themeTint="99"/>
          <w:lang w:val="fr-FR"/>
        </w:rPr>
      </w:pPr>
      <w:r w:rsidRPr="0072313A">
        <w:rPr>
          <w:color w:val="548DD4" w:themeColor="text2" w:themeTint="99"/>
          <w:lang w:val="fr-FR"/>
        </w:rPr>
        <w:t>5.4.2, note de bas de page 6</w:t>
      </w:r>
    </w:p>
    <w:p w:rsidR="002F42AA" w:rsidRPr="0072313A" w:rsidRDefault="002F42AA" w:rsidP="002F42AA">
      <w:pPr>
        <w:pStyle w:val="SingleTxtG"/>
        <w:tabs>
          <w:tab w:val="left" w:pos="2268"/>
        </w:tabs>
        <w:rPr>
          <w:color w:val="548DD4" w:themeColor="text2" w:themeTint="99"/>
          <w:szCs w:val="24"/>
          <w:lang w:val="fr-FR"/>
        </w:rPr>
      </w:pPr>
      <w:r w:rsidRPr="0072313A">
        <w:rPr>
          <w:color w:val="548DD4" w:themeColor="text2" w:themeTint="99"/>
          <w:lang w:val="fr-FR"/>
        </w:rPr>
        <w:tab/>
        <w:t xml:space="preserve">Au début, remplacer « (Amendement 38-16) » par « (Amendement 39-18) ». </w:t>
      </w:r>
    </w:p>
    <w:p w:rsidR="002F42AA" w:rsidRPr="00C85ADC" w:rsidRDefault="002F42AA" w:rsidP="002F42AA">
      <w:pPr>
        <w:pStyle w:val="H1G"/>
        <w:rPr>
          <w:lang w:val="fr-FR"/>
        </w:rPr>
      </w:pPr>
      <w:r w:rsidRPr="00C85ADC">
        <w:rPr>
          <w:lang w:val="fr-FR"/>
        </w:rPr>
        <w:tab/>
      </w:r>
      <w:r w:rsidRPr="00C85ADC">
        <w:rPr>
          <w:lang w:val="fr-FR"/>
        </w:rPr>
        <w:tab/>
        <w:t>Chapitre 5.5</w:t>
      </w:r>
    </w:p>
    <w:p w:rsidR="002F42AA" w:rsidRPr="0072313A" w:rsidRDefault="002F42AA" w:rsidP="002F42AA">
      <w:pPr>
        <w:pStyle w:val="SingleTxtG"/>
        <w:tabs>
          <w:tab w:val="left" w:pos="2268"/>
        </w:tabs>
        <w:ind w:left="2259" w:hanging="1125"/>
        <w:rPr>
          <w:color w:val="548DD4" w:themeColor="text2" w:themeTint="99"/>
          <w:lang w:val="fr-FR"/>
        </w:rPr>
      </w:pPr>
      <w:r w:rsidRPr="0072313A">
        <w:rPr>
          <w:color w:val="548DD4" w:themeColor="text2" w:themeTint="99"/>
          <w:lang w:val="fr-FR"/>
        </w:rPr>
        <w:t>5.5.3, titre</w:t>
      </w:r>
      <w:r w:rsidRPr="0072313A">
        <w:rPr>
          <w:color w:val="548DD4" w:themeColor="text2" w:themeTint="99"/>
          <w:lang w:val="fr-FR"/>
        </w:rPr>
        <w:tab/>
        <w:t>Remplacer « applicables aux colis » par « applicables au transport de neige carbonique (No ONU 1845) ainsi qu’aux colis ». À la fin, dans le texte entre parenthèses, après « (No ONU 1951) » ajouter « ou l’azote ».</w:t>
      </w:r>
    </w:p>
    <w:p w:rsidR="002F42AA" w:rsidRPr="0072313A" w:rsidRDefault="002F42AA" w:rsidP="002F42AA">
      <w:pPr>
        <w:pStyle w:val="SingleTxtG"/>
        <w:tabs>
          <w:tab w:val="left" w:pos="2268"/>
        </w:tabs>
        <w:ind w:left="2259" w:hanging="1125"/>
        <w:rPr>
          <w:color w:val="548DD4" w:themeColor="text2" w:themeTint="99"/>
          <w:lang w:val="fr-FR"/>
        </w:rPr>
      </w:pPr>
      <w:r w:rsidRPr="0072313A">
        <w:rPr>
          <w:color w:val="548DD4" w:themeColor="text2" w:themeTint="99"/>
          <w:lang w:val="fr-FR"/>
        </w:rPr>
        <w:tab/>
        <w:t>Ajouter le nouveau Nota après le titre du 5.5.3 :</w:t>
      </w:r>
    </w:p>
    <w:p w:rsidR="002F42AA" w:rsidRPr="0072313A" w:rsidRDefault="002F42AA" w:rsidP="002F42AA">
      <w:pPr>
        <w:pStyle w:val="SingleTxtG"/>
        <w:ind w:left="2259"/>
        <w:rPr>
          <w:color w:val="548DD4" w:themeColor="text2" w:themeTint="99"/>
          <w:lang w:val="fr-FR"/>
        </w:rPr>
      </w:pPr>
      <w:r w:rsidRPr="0072313A">
        <w:rPr>
          <w:color w:val="548DD4" w:themeColor="text2" w:themeTint="99"/>
          <w:lang w:val="fr-FR"/>
        </w:rPr>
        <w:t>« </w:t>
      </w:r>
      <w:r w:rsidRPr="0072313A">
        <w:rPr>
          <w:b/>
          <w:i/>
          <w:color w:val="548DD4" w:themeColor="text2" w:themeTint="99"/>
          <w:lang w:val="fr-FR"/>
        </w:rPr>
        <w:t>NOTA :</w:t>
      </w:r>
      <w:r w:rsidRPr="0072313A">
        <w:rPr>
          <w:i/>
          <w:color w:val="548DD4" w:themeColor="text2" w:themeTint="99"/>
          <w:lang w:val="fr-FR"/>
        </w:rPr>
        <w:t xml:space="preserve"> Dans le contexte de la présente section, le terme “conditionnement” peut être utilisé dans un champ plus large et il inclut la protection.</w:t>
      </w:r>
      <w:r w:rsidRPr="0072313A">
        <w:rPr>
          <w:color w:val="548DD4" w:themeColor="text2" w:themeTint="99"/>
          <w:lang w:val="fr-FR"/>
        </w:rPr>
        <w:t> ».</w:t>
      </w:r>
    </w:p>
    <w:p w:rsidR="002F42AA" w:rsidRDefault="002F42AA" w:rsidP="002F42AA">
      <w:pPr>
        <w:pStyle w:val="SingleTxtG"/>
        <w:tabs>
          <w:tab w:val="left" w:pos="2268"/>
        </w:tabs>
        <w:ind w:left="2259" w:hanging="1125"/>
        <w:rPr>
          <w:lang w:val="fr-FR"/>
        </w:rPr>
      </w:pPr>
      <w:r w:rsidRPr="00C85ADC">
        <w:rPr>
          <w:lang w:val="fr-FR"/>
        </w:rPr>
        <w:lastRenderedPageBreak/>
        <w:t>5.5.3.2.1</w:t>
      </w:r>
      <w:r w:rsidRPr="00C85ADC">
        <w:rPr>
          <w:lang w:val="fr-FR"/>
        </w:rPr>
        <w:tab/>
        <w:t xml:space="preserve">Au début, après « conteneurs » insérer « dans lesquels est transportée de la neige carbonique (No ONU 1845) </w:t>
      </w:r>
      <w:proofErr w:type="gramStart"/>
      <w:r w:rsidRPr="00C85ADC">
        <w:rPr>
          <w:lang w:val="fr-FR"/>
        </w:rPr>
        <w:t>ou »</w:t>
      </w:r>
      <w:proofErr w:type="gramEnd"/>
      <w:r w:rsidRPr="00C85ADC">
        <w:rPr>
          <w:lang w:val="fr-FR"/>
        </w:rPr>
        <w:t>.</w:t>
      </w:r>
    </w:p>
    <w:p w:rsidR="0072313A" w:rsidRPr="00C85ADC" w:rsidRDefault="0072313A" w:rsidP="002F42AA">
      <w:pPr>
        <w:pStyle w:val="SingleTxtG"/>
        <w:tabs>
          <w:tab w:val="left" w:pos="2268"/>
        </w:tabs>
        <w:ind w:left="2259" w:hanging="1125"/>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tabs>
          <w:tab w:val="left" w:pos="2268"/>
        </w:tabs>
        <w:ind w:left="2259" w:hanging="1125"/>
        <w:rPr>
          <w:lang w:val="fr-FR"/>
        </w:rPr>
      </w:pPr>
      <w:r w:rsidRPr="00C85ADC">
        <w:rPr>
          <w:lang w:val="fr-FR"/>
        </w:rPr>
        <w:t>5.5.3.2.4</w:t>
      </w:r>
      <w:r w:rsidRPr="00C85ADC">
        <w:rPr>
          <w:lang w:val="fr-FR"/>
        </w:rPr>
        <w:tab/>
        <w:t xml:space="preserve">Après « conteneurs » insérer « dans lesquels est transportée de la neige carbonique (No ONU 1845) </w:t>
      </w:r>
      <w:proofErr w:type="gramStart"/>
      <w:r w:rsidRPr="00C85ADC">
        <w:rPr>
          <w:lang w:val="fr-FR"/>
        </w:rPr>
        <w:t>ou »</w:t>
      </w:r>
      <w:proofErr w:type="gramEnd"/>
      <w:r w:rsidRPr="00C85ADC">
        <w:rPr>
          <w:lang w:val="fr-FR"/>
        </w:rPr>
        <w:t>.</w:t>
      </w:r>
    </w:p>
    <w:p w:rsidR="0072313A" w:rsidRPr="00C85ADC" w:rsidRDefault="0072313A" w:rsidP="002F42AA">
      <w:pPr>
        <w:pStyle w:val="SingleTxtG"/>
        <w:tabs>
          <w:tab w:val="left" w:pos="2268"/>
        </w:tabs>
        <w:ind w:left="2259" w:hanging="1125"/>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tabs>
          <w:tab w:val="left" w:pos="2268"/>
        </w:tabs>
        <w:ind w:left="2259" w:hanging="1125"/>
        <w:rPr>
          <w:lang w:val="fr-FR"/>
        </w:rPr>
      </w:pPr>
      <w:r w:rsidRPr="00C85ADC">
        <w:rPr>
          <w:lang w:val="fr-FR"/>
        </w:rPr>
        <w:t>5.5.3.3</w:t>
      </w:r>
      <w:r w:rsidRPr="00C85ADC">
        <w:rPr>
          <w:lang w:val="fr-FR"/>
        </w:rPr>
        <w:tab/>
        <w:t xml:space="preserve">Dans le titre, après « colis contenant » insérer « de la neige carbonique (No ONU 1845) </w:t>
      </w:r>
      <w:proofErr w:type="gramStart"/>
      <w:r w:rsidRPr="00C85ADC">
        <w:rPr>
          <w:lang w:val="fr-FR"/>
        </w:rPr>
        <w:t>ou »</w:t>
      </w:r>
      <w:proofErr w:type="gramEnd"/>
      <w:r w:rsidRPr="00C85ADC">
        <w:rPr>
          <w:lang w:val="fr-FR"/>
        </w:rPr>
        <w:t>.</w:t>
      </w:r>
    </w:p>
    <w:p w:rsidR="0072313A" w:rsidRPr="00C85ADC" w:rsidRDefault="0072313A" w:rsidP="002F42AA">
      <w:pPr>
        <w:pStyle w:val="SingleTxtG"/>
        <w:tabs>
          <w:tab w:val="left" w:pos="2268"/>
        </w:tabs>
        <w:ind w:left="2259" w:hanging="1125"/>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tabs>
          <w:tab w:val="left" w:pos="2268"/>
        </w:tabs>
        <w:ind w:left="2259" w:hanging="1125"/>
        <w:rPr>
          <w:lang w:val="fr-FR"/>
        </w:rPr>
      </w:pPr>
      <w:r w:rsidRPr="00C85ADC">
        <w:rPr>
          <w:lang w:val="fr-FR"/>
        </w:rPr>
        <w:t>5.5.3.3.3</w:t>
      </w:r>
      <w:r w:rsidRPr="00C85ADC">
        <w:rPr>
          <w:lang w:val="fr-FR"/>
        </w:rPr>
        <w:tab/>
        <w:t xml:space="preserve">Après « Les colis contenant » insérer « de la neige carbonique (No ONU 1845) </w:t>
      </w:r>
      <w:proofErr w:type="gramStart"/>
      <w:r w:rsidRPr="00C85ADC">
        <w:rPr>
          <w:lang w:val="fr-FR"/>
        </w:rPr>
        <w:t>ou »</w:t>
      </w:r>
      <w:proofErr w:type="gramEnd"/>
      <w:r w:rsidRPr="00C85ADC">
        <w:rPr>
          <w:lang w:val="fr-FR"/>
        </w:rPr>
        <w:t>.</w:t>
      </w:r>
    </w:p>
    <w:p w:rsidR="0072313A" w:rsidRPr="00C85ADC" w:rsidRDefault="0072313A" w:rsidP="002F42AA">
      <w:pPr>
        <w:pStyle w:val="SingleTxtG"/>
        <w:tabs>
          <w:tab w:val="left" w:pos="2268"/>
        </w:tabs>
        <w:ind w:left="2259" w:hanging="1125"/>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tabs>
          <w:tab w:val="left" w:pos="2268"/>
        </w:tabs>
        <w:ind w:left="2259" w:hanging="1125"/>
        <w:rPr>
          <w:lang w:val="fr-FR"/>
        </w:rPr>
      </w:pPr>
      <w:r w:rsidRPr="00C85ADC">
        <w:rPr>
          <w:lang w:val="fr-FR"/>
        </w:rPr>
        <w:t>5.5.3.4</w:t>
      </w:r>
      <w:r w:rsidRPr="00C85ADC">
        <w:rPr>
          <w:lang w:val="fr-FR"/>
        </w:rPr>
        <w:tab/>
        <w:t xml:space="preserve">Dans le titre, après « colis contenant » insérer « de la neige carbonique (No ONU 1845) </w:t>
      </w:r>
      <w:proofErr w:type="gramStart"/>
      <w:r w:rsidRPr="00C85ADC">
        <w:rPr>
          <w:lang w:val="fr-FR"/>
        </w:rPr>
        <w:t>ou »</w:t>
      </w:r>
      <w:proofErr w:type="gramEnd"/>
      <w:r w:rsidRPr="00C85ADC">
        <w:rPr>
          <w:lang w:val="fr-FR"/>
        </w:rPr>
        <w:t>.</w:t>
      </w:r>
    </w:p>
    <w:p w:rsidR="0072313A" w:rsidRPr="00C85ADC" w:rsidRDefault="0072313A" w:rsidP="002F42AA">
      <w:pPr>
        <w:pStyle w:val="SingleTxtG"/>
        <w:tabs>
          <w:tab w:val="left" w:pos="2268"/>
        </w:tabs>
        <w:ind w:left="2259" w:hanging="1125"/>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tabs>
          <w:tab w:val="left" w:pos="2268"/>
        </w:tabs>
        <w:ind w:left="2259" w:hanging="1125"/>
        <w:rPr>
          <w:lang w:val="fr-FR"/>
        </w:rPr>
      </w:pPr>
      <w:r w:rsidRPr="00C85ADC">
        <w:rPr>
          <w:lang w:val="fr-FR"/>
        </w:rPr>
        <w:t>5.5.3.4.1</w:t>
      </w:r>
      <w:r w:rsidRPr="00C85ADC">
        <w:rPr>
          <w:lang w:val="fr-FR"/>
        </w:rPr>
        <w:tab/>
        <w:t>Au début de la première phrase, remplacer « Les colis » par « Les colis contenant de la neige carbonique (No ONU 1845) en tant qu’envoi doivent porter la mention « DIOXYDE DE CARBONE SOLIDE » ou « NEIGE CARBONIQUE » ; les colis ».</w:t>
      </w:r>
    </w:p>
    <w:p w:rsidR="0072313A" w:rsidRPr="00C85ADC" w:rsidRDefault="0072313A" w:rsidP="002F42AA">
      <w:pPr>
        <w:pStyle w:val="SingleTxtG"/>
        <w:tabs>
          <w:tab w:val="left" w:pos="2268"/>
        </w:tabs>
        <w:ind w:left="2259" w:hanging="1125"/>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tabs>
          <w:tab w:val="left" w:pos="2268"/>
        </w:tabs>
        <w:ind w:left="2259" w:hanging="1125"/>
        <w:rPr>
          <w:lang w:val="fr-FR"/>
        </w:rPr>
      </w:pPr>
      <w:r w:rsidRPr="00C85ADC">
        <w:rPr>
          <w:lang w:val="fr-FR"/>
        </w:rPr>
        <w:t>5.5.3.6.1</w:t>
      </w:r>
      <w:r w:rsidRPr="00C85ADC">
        <w:rPr>
          <w:lang w:val="fr-FR"/>
        </w:rPr>
        <w:tab/>
        <w:t xml:space="preserve">Au début, après « contenant », insérer « de la neige carbonique (No ONU 1845) </w:t>
      </w:r>
      <w:proofErr w:type="gramStart"/>
      <w:r w:rsidRPr="00C85ADC">
        <w:rPr>
          <w:lang w:val="fr-FR"/>
        </w:rPr>
        <w:t>ou »</w:t>
      </w:r>
      <w:proofErr w:type="gramEnd"/>
      <w:r w:rsidRPr="00C85ADC">
        <w:rPr>
          <w:lang w:val="fr-FR"/>
        </w:rPr>
        <w:t>.</w:t>
      </w:r>
    </w:p>
    <w:p w:rsidR="0072313A" w:rsidRPr="00C85ADC" w:rsidRDefault="0072313A" w:rsidP="002F42AA">
      <w:pPr>
        <w:pStyle w:val="SingleTxtG"/>
        <w:tabs>
          <w:tab w:val="left" w:pos="2268"/>
        </w:tabs>
        <w:ind w:left="2259" w:hanging="1125"/>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rPr>
          <w:lang w:val="fr-FR"/>
        </w:rPr>
      </w:pPr>
      <w:r w:rsidRPr="00C85ADC">
        <w:rPr>
          <w:lang w:val="fr-FR"/>
        </w:rPr>
        <w:t>5.5.3.6.1 a)</w:t>
      </w:r>
      <w:r w:rsidRPr="00C85ADC">
        <w:rPr>
          <w:lang w:val="fr-FR"/>
        </w:rPr>
        <w:tab/>
        <w:t>Après « concentrations nocives » insérer « de neige carbonique, ».</w:t>
      </w:r>
    </w:p>
    <w:p w:rsidR="0072313A" w:rsidRPr="00C85ADC" w:rsidRDefault="0072313A" w:rsidP="002F42AA">
      <w:pPr>
        <w:pStyle w:val="SingleTxtG"/>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2F42AA">
      <w:pPr>
        <w:pStyle w:val="SingleTxtG"/>
        <w:rPr>
          <w:lang w:val="fr-FR"/>
        </w:rPr>
      </w:pPr>
      <w:r w:rsidRPr="00C85ADC">
        <w:rPr>
          <w:lang w:val="fr-FR"/>
        </w:rPr>
        <w:t>5.5.3.6.1 b)</w:t>
      </w:r>
      <w:r w:rsidRPr="00C85ADC">
        <w:rPr>
          <w:lang w:val="fr-FR"/>
        </w:rPr>
        <w:tab/>
        <w:t>Au début, ajouter « La neige carbonique, ».</w:t>
      </w:r>
    </w:p>
    <w:p w:rsidR="0072313A" w:rsidRPr="00C85ADC" w:rsidRDefault="0072313A" w:rsidP="002F42AA">
      <w:pPr>
        <w:pStyle w:val="SingleTxtG"/>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Pr="00006F41" w:rsidRDefault="002F42AA" w:rsidP="002F42AA">
      <w:pPr>
        <w:pStyle w:val="SingleTxtG"/>
        <w:tabs>
          <w:tab w:val="left" w:pos="2268"/>
        </w:tabs>
        <w:ind w:left="2259" w:hanging="1125"/>
        <w:rPr>
          <w:color w:val="548DD4" w:themeColor="text2" w:themeTint="99"/>
          <w:w w:val="105"/>
          <w:lang w:val="fr-FR"/>
        </w:rPr>
      </w:pPr>
      <w:r w:rsidRPr="00006F41">
        <w:rPr>
          <w:color w:val="548DD4" w:themeColor="text2" w:themeTint="99"/>
          <w:lang w:val="fr-FR"/>
        </w:rPr>
        <w:t>5.5.3.6.2</w:t>
      </w:r>
      <w:r w:rsidRPr="00006F41">
        <w:rPr>
          <w:color w:val="548DD4" w:themeColor="text2" w:themeTint="99"/>
          <w:lang w:val="fr-FR"/>
        </w:rPr>
        <w:tab/>
        <w:t>Dans la figure 5.5.3.6.2, modifier le titre sous la figure pour lire « Marque de mise en garde contre l’asphyxie pour les véhicules, wagons et conteneurs ». Supprimer la référence à la note ** et la note correspondante. Dans la note *, au début, remplacer « le nom de l’agent de refroidissement ou de conditionnement indiqué en colonne (2) du tableau A du chapitre 3.2 » par « </w:t>
      </w:r>
      <w:r w:rsidRPr="00006F41">
        <w:rPr>
          <w:color w:val="548DD4" w:themeColor="text2" w:themeTint="99"/>
          <w:w w:val="105"/>
          <w:lang w:val="fr-FR"/>
        </w:rPr>
        <w:t xml:space="preserve">la désignation officielle de transport </w:t>
      </w:r>
      <w:r w:rsidRPr="00006F41">
        <w:rPr>
          <w:color w:val="548DD4" w:themeColor="text2" w:themeTint="99"/>
          <w:lang w:val="fr-FR"/>
        </w:rPr>
        <w:t xml:space="preserve">indiquée en colonne (2) du tableau A du chapitre 3.2 </w:t>
      </w:r>
      <w:r w:rsidRPr="00006F41">
        <w:rPr>
          <w:color w:val="548DD4" w:themeColor="text2" w:themeTint="99"/>
          <w:w w:val="105"/>
          <w:lang w:val="fr-FR"/>
        </w:rPr>
        <w:t xml:space="preserve">ou le nom du gaz asphyxiant utilisé en tant qu’agent de refroidissement ou de conditionnement ». À la fin de la note *, ajouter « Des informations additionnelles comme la mention "AGENT DE RÉFRIGÉRATION" ou "AGENT DE CONDITIONNEMENT" peuvent être ajoutées. ». </w:t>
      </w:r>
    </w:p>
    <w:p w:rsidR="002F42AA" w:rsidRDefault="002F42AA" w:rsidP="002F42AA">
      <w:pPr>
        <w:pStyle w:val="SingleTxtG"/>
        <w:rPr>
          <w:lang w:val="fr-FR"/>
        </w:rPr>
      </w:pPr>
      <w:r w:rsidRPr="00C85ADC">
        <w:rPr>
          <w:lang w:val="fr-FR"/>
        </w:rPr>
        <w:t>5.5.3.7.1</w:t>
      </w:r>
      <w:r w:rsidRPr="00C85ADC">
        <w:rPr>
          <w:lang w:val="fr-FR"/>
        </w:rPr>
        <w:tab/>
        <w:t xml:space="preserve">Au début, après « ayant contenu », insérer « de la neige carbonique (No ONU 1845) </w:t>
      </w:r>
      <w:proofErr w:type="gramStart"/>
      <w:r w:rsidRPr="00C85ADC">
        <w:rPr>
          <w:lang w:val="fr-FR"/>
        </w:rPr>
        <w:t>ou »</w:t>
      </w:r>
      <w:proofErr w:type="gramEnd"/>
      <w:r w:rsidRPr="00C85ADC">
        <w:rPr>
          <w:lang w:val="fr-FR"/>
        </w:rPr>
        <w:t>.</w:t>
      </w:r>
    </w:p>
    <w:p w:rsidR="00006F41" w:rsidRPr="00C85ADC" w:rsidRDefault="00006F41" w:rsidP="002F42AA">
      <w:pPr>
        <w:pStyle w:val="SingleTxtG"/>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Default="002F42AA" w:rsidP="007E323C">
      <w:pPr>
        <w:pStyle w:val="SingleTxtG"/>
        <w:pageBreakBefore/>
        <w:rPr>
          <w:lang w:val="fr-FR"/>
        </w:rPr>
      </w:pPr>
      <w:r w:rsidRPr="00C85ADC">
        <w:rPr>
          <w:lang w:val="fr-FR"/>
        </w:rPr>
        <w:lastRenderedPageBreak/>
        <w:t xml:space="preserve">5.5.3.7.1 b) </w:t>
      </w:r>
      <w:r w:rsidRPr="00C85ADC">
        <w:rPr>
          <w:lang w:val="fr-FR"/>
        </w:rPr>
        <w:tab/>
        <w:t xml:space="preserve">Avant « des mots « AGENT DE REFRIGERATION », insérer </w:t>
      </w:r>
      <w:proofErr w:type="gramStart"/>
      <w:r w:rsidRPr="00C85ADC">
        <w:rPr>
          <w:lang w:val="fr-FR"/>
        </w:rPr>
        <w:t>« ,</w:t>
      </w:r>
      <w:proofErr w:type="gramEnd"/>
      <w:r w:rsidRPr="00C85ADC">
        <w:rPr>
          <w:lang w:val="fr-FR"/>
        </w:rPr>
        <w:t xml:space="preserve"> le cas échéant, ». Supprimer « selon le cas » avant « dans une langue officielle ».</w:t>
      </w:r>
    </w:p>
    <w:p w:rsidR="00006F41" w:rsidRPr="00C85ADC" w:rsidRDefault="00006F41" w:rsidP="002F42AA">
      <w:pPr>
        <w:pStyle w:val="SingleTxtG"/>
        <w:rPr>
          <w:lang w:val="fr-FR"/>
        </w:rPr>
      </w:pPr>
      <w:r w:rsidRPr="00FE692E">
        <w:rPr>
          <w:i/>
          <w:iCs/>
        </w:rPr>
        <w:t>(</w:t>
      </w:r>
      <w:r w:rsidR="00EF52B3">
        <w:rPr>
          <w:i/>
          <w:iCs/>
        </w:rPr>
        <w:t xml:space="preserve">Document de </w:t>
      </w:r>
      <w:proofErr w:type="gramStart"/>
      <w:r w:rsidR="00EF52B3">
        <w:rPr>
          <w:i/>
          <w:iCs/>
        </w:rPr>
        <w:t>référence</w:t>
      </w:r>
      <w:r w:rsidRPr="00FE692E">
        <w:rPr>
          <w:i/>
          <w:iCs/>
        </w:rPr>
        <w:t>:</w:t>
      </w:r>
      <w:proofErr w:type="gramEnd"/>
      <w:r w:rsidRPr="00FE692E">
        <w:rPr>
          <w:i/>
          <w:iCs/>
        </w:rPr>
        <w:t xml:space="preserve"> </w:t>
      </w:r>
      <w:r w:rsidRPr="00970F67">
        <w:rPr>
          <w:i/>
          <w:iCs/>
        </w:rPr>
        <w:t xml:space="preserve">ECE/TRANS/WP.15/AC.1/156, </w:t>
      </w:r>
      <w:r w:rsidR="00C35261">
        <w:rPr>
          <w:i/>
          <w:iCs/>
        </w:rPr>
        <w:t>annexe</w:t>
      </w:r>
      <w:r w:rsidRPr="00970F67">
        <w:rPr>
          <w:i/>
          <w:iCs/>
        </w:rPr>
        <w:t xml:space="preserve"> II</w:t>
      </w:r>
      <w:r w:rsidRPr="00FE692E">
        <w:rPr>
          <w:i/>
          <w:iCs/>
        </w:rPr>
        <w:t>)</w:t>
      </w:r>
    </w:p>
    <w:p w:rsidR="002F42AA" w:rsidRPr="00006F41" w:rsidRDefault="002F42AA" w:rsidP="002F42AA">
      <w:pPr>
        <w:pStyle w:val="SingleTxtG"/>
        <w:tabs>
          <w:tab w:val="left" w:pos="2268"/>
        </w:tabs>
        <w:ind w:left="2259" w:hanging="1125"/>
        <w:rPr>
          <w:color w:val="548DD4" w:themeColor="text2" w:themeTint="99"/>
          <w:lang w:val="fr-FR"/>
        </w:rPr>
      </w:pPr>
      <w:r w:rsidRPr="00006F41">
        <w:rPr>
          <w:color w:val="548DD4" w:themeColor="text2" w:themeTint="99"/>
          <w:lang w:val="fr-FR"/>
        </w:rPr>
        <w:t>5.5.4</w:t>
      </w:r>
      <w:r w:rsidRPr="00006F41">
        <w:rPr>
          <w:color w:val="548DD4" w:themeColor="text2" w:themeTint="99"/>
          <w:lang w:val="fr-FR"/>
        </w:rPr>
        <w:tab/>
        <w:t xml:space="preserve">Ajouter une nouvelle section 5.5.4 pour lire comme suit : </w:t>
      </w:r>
    </w:p>
    <w:p w:rsidR="002F42AA" w:rsidRPr="00006F41" w:rsidRDefault="002F42AA" w:rsidP="002F42AA">
      <w:pPr>
        <w:pStyle w:val="SingleTxtG"/>
        <w:tabs>
          <w:tab w:val="left" w:pos="2268"/>
        </w:tabs>
        <w:ind w:left="2259" w:hanging="1125"/>
        <w:rPr>
          <w:b/>
          <w:bCs/>
          <w:color w:val="548DD4" w:themeColor="text2" w:themeTint="99"/>
          <w:lang w:val="fr-FR"/>
        </w:rPr>
      </w:pPr>
      <w:r w:rsidRPr="00006F41">
        <w:rPr>
          <w:b/>
          <w:bCs/>
          <w:color w:val="548DD4" w:themeColor="text2" w:themeTint="99"/>
          <w:lang w:val="fr-FR"/>
        </w:rPr>
        <w:t>« 5.5.4</w:t>
      </w:r>
      <w:r w:rsidRPr="00006F41">
        <w:rPr>
          <w:b/>
          <w:bCs/>
          <w:color w:val="548DD4" w:themeColor="text2" w:themeTint="99"/>
          <w:lang w:val="fr-FR"/>
        </w:rPr>
        <w:tab/>
        <w:t xml:space="preserve">Marchandises dangereuses contenues dans des équipements utilisés ou destinés à être utilisé en cours de transport qui sont attachés ou placés dans des colis, des suremballages, des conteneurs ou des compartiments de charge </w:t>
      </w:r>
    </w:p>
    <w:p w:rsidR="002F42AA" w:rsidRPr="00006F41" w:rsidRDefault="002F42AA" w:rsidP="002F42AA">
      <w:pPr>
        <w:pStyle w:val="SingleTxtG"/>
        <w:tabs>
          <w:tab w:val="left" w:pos="2268"/>
        </w:tabs>
        <w:ind w:left="2259" w:hanging="1125"/>
        <w:rPr>
          <w:color w:val="548DD4" w:themeColor="text2" w:themeTint="99"/>
          <w:lang w:val="fr-FR"/>
        </w:rPr>
      </w:pPr>
      <w:r w:rsidRPr="00006F41">
        <w:rPr>
          <w:color w:val="548DD4" w:themeColor="text2" w:themeTint="99"/>
          <w:lang w:val="fr-FR"/>
        </w:rPr>
        <w:t>5.5.4.1</w:t>
      </w:r>
      <w:r w:rsidRPr="00006F41">
        <w:rPr>
          <w:color w:val="548DD4" w:themeColor="text2" w:themeTint="99"/>
          <w:lang w:val="fr-FR"/>
        </w:rPr>
        <w:tab/>
        <w:t xml:space="preserve">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ne font pas l’objet des dispositions de l’ADN autres que les dispositions suivantes : </w:t>
      </w:r>
    </w:p>
    <w:p w:rsidR="002F42AA" w:rsidRPr="00006F41" w:rsidRDefault="002F42AA" w:rsidP="002F42AA">
      <w:pPr>
        <w:pStyle w:val="SingleTxtG"/>
        <w:ind w:left="2552" w:hanging="284"/>
        <w:rPr>
          <w:color w:val="548DD4" w:themeColor="text2" w:themeTint="99"/>
          <w:lang w:val="fr-FR"/>
        </w:rPr>
      </w:pPr>
      <w:r w:rsidRPr="00006F41">
        <w:rPr>
          <w:color w:val="548DD4" w:themeColor="text2" w:themeTint="99"/>
          <w:lang w:val="fr-FR"/>
        </w:rPr>
        <w:t xml:space="preserve">a)   l’équipement doit être </w:t>
      </w:r>
      <w:bookmarkStart w:id="57" w:name="_Hlk11162481"/>
      <w:r w:rsidRPr="00006F41">
        <w:rPr>
          <w:color w:val="548DD4" w:themeColor="text2" w:themeTint="99"/>
          <w:lang w:val="fr-FR"/>
        </w:rPr>
        <w:t>utilisé ou destiné à être utilisé en cours de transport</w:t>
      </w:r>
      <w:bookmarkEnd w:id="57"/>
      <w:r w:rsidRPr="00006F41">
        <w:rPr>
          <w:color w:val="548DD4" w:themeColor="text2" w:themeTint="99"/>
          <w:lang w:val="fr-FR"/>
        </w:rPr>
        <w:t xml:space="preserve"> ; </w:t>
      </w:r>
    </w:p>
    <w:p w:rsidR="002F42AA" w:rsidRPr="00006F41" w:rsidRDefault="002F42AA" w:rsidP="002F42AA">
      <w:pPr>
        <w:pStyle w:val="SingleTxtG"/>
        <w:ind w:left="2552" w:hanging="284"/>
        <w:rPr>
          <w:color w:val="548DD4" w:themeColor="text2" w:themeTint="99"/>
          <w:lang w:val="fr-FR"/>
        </w:rPr>
      </w:pPr>
      <w:r w:rsidRPr="00006F41">
        <w:rPr>
          <w:color w:val="548DD4" w:themeColor="text2" w:themeTint="99"/>
          <w:lang w:val="fr-FR"/>
        </w:rPr>
        <w:t xml:space="preserve">b)  </w:t>
      </w:r>
      <w:r w:rsidRPr="00006F41">
        <w:rPr>
          <w:color w:val="548DD4" w:themeColor="text2" w:themeTint="99"/>
          <w:lang w:val="fr-FR"/>
        </w:rPr>
        <w:tab/>
        <w:t xml:space="preserve">les marchandises dangereuses contenues (par exemple les piles au lithium, cartouches pour pile à combustible) doivent répondre aux exigences de conception et d’épreuves prescrites par </w:t>
      </w:r>
      <w:proofErr w:type="gramStart"/>
      <w:r w:rsidRPr="00006F41">
        <w:rPr>
          <w:color w:val="548DD4" w:themeColor="text2" w:themeTint="99"/>
          <w:lang w:val="fr-FR"/>
        </w:rPr>
        <w:t>l’ADN;</w:t>
      </w:r>
      <w:proofErr w:type="gramEnd"/>
      <w:r w:rsidRPr="00006F41">
        <w:rPr>
          <w:color w:val="548DD4" w:themeColor="text2" w:themeTint="99"/>
          <w:lang w:val="fr-FR"/>
        </w:rPr>
        <w:t xml:space="preserve"> et</w:t>
      </w:r>
    </w:p>
    <w:p w:rsidR="002F42AA" w:rsidRPr="00006F41" w:rsidRDefault="002F42AA" w:rsidP="002F42AA">
      <w:pPr>
        <w:pStyle w:val="SingleTxtG"/>
        <w:ind w:left="2552" w:hanging="284"/>
        <w:rPr>
          <w:color w:val="548DD4" w:themeColor="text2" w:themeTint="99"/>
          <w:lang w:val="fr-FR"/>
        </w:rPr>
      </w:pPr>
      <w:r w:rsidRPr="00006F41">
        <w:rPr>
          <w:color w:val="548DD4" w:themeColor="text2" w:themeTint="99"/>
          <w:lang w:val="fr-FR"/>
        </w:rPr>
        <w:t>c)  l’équipement doit être capable de résister aux chocs et aux sollicitations habituelles en cours de transport.</w:t>
      </w:r>
    </w:p>
    <w:p w:rsidR="002F42AA" w:rsidRPr="00C85ADC" w:rsidRDefault="002F42AA" w:rsidP="002F42AA">
      <w:pPr>
        <w:pStyle w:val="SingleTxtG"/>
        <w:tabs>
          <w:tab w:val="left" w:pos="2268"/>
        </w:tabs>
        <w:ind w:left="2259" w:hanging="1125"/>
        <w:rPr>
          <w:lang w:val="fr-FR"/>
        </w:rPr>
      </w:pPr>
      <w:r w:rsidRPr="00006F41">
        <w:rPr>
          <w:color w:val="548DD4" w:themeColor="text2" w:themeTint="99"/>
          <w:lang w:val="fr-FR"/>
        </w:rPr>
        <w:t>5.5.4.2</w:t>
      </w:r>
      <w:r w:rsidRPr="00006F41">
        <w:rPr>
          <w:color w:val="548DD4" w:themeColor="text2" w:themeTint="99"/>
          <w:lang w:val="fr-FR"/>
        </w:rPr>
        <w:tab/>
        <w:t>Lorsqu’un tel équipement contenant des marchandises dangereuses est transporté en tant que cargaison, la rubrique appropriée dans le tableau A du chapitre 3.2 doit être utilisée et toutes les dispositions applicables de l’ADN</w:t>
      </w:r>
      <w:r w:rsidRPr="00006F41" w:rsidDel="00F83AD6">
        <w:rPr>
          <w:color w:val="548DD4" w:themeColor="text2" w:themeTint="99"/>
          <w:lang w:val="fr-FR"/>
        </w:rPr>
        <w:t xml:space="preserve"> </w:t>
      </w:r>
      <w:r w:rsidRPr="00006F41">
        <w:rPr>
          <w:color w:val="548DD4" w:themeColor="text2" w:themeTint="99"/>
          <w:lang w:val="fr-FR"/>
        </w:rPr>
        <w:t>doivent être appliquées. ».</w:t>
      </w:r>
    </w:p>
    <w:p w:rsidR="002F42AA" w:rsidRPr="002F42AA" w:rsidRDefault="002F42AA" w:rsidP="002F42AA">
      <w:pPr>
        <w:pStyle w:val="H1G"/>
      </w:pPr>
      <w:r w:rsidRPr="002F42AA">
        <w:tab/>
      </w:r>
      <w:r w:rsidRPr="002F42AA">
        <w:tab/>
        <w:t>Chapitre 7.1</w:t>
      </w:r>
    </w:p>
    <w:p w:rsidR="002F42AA" w:rsidRPr="00006F41" w:rsidRDefault="002F42AA" w:rsidP="002F42AA">
      <w:pPr>
        <w:pStyle w:val="SingleTxtG"/>
        <w:tabs>
          <w:tab w:val="left" w:pos="2268"/>
        </w:tabs>
        <w:ind w:left="2259" w:hanging="1125"/>
        <w:rPr>
          <w:color w:val="548DD4" w:themeColor="text2" w:themeTint="99"/>
          <w:szCs w:val="24"/>
          <w:lang w:val="fr-FR"/>
        </w:rPr>
      </w:pPr>
      <w:r w:rsidRPr="00006F41">
        <w:rPr>
          <w:color w:val="548DD4" w:themeColor="text2" w:themeTint="99"/>
          <w:szCs w:val="24"/>
          <w:lang w:val="fr-FR"/>
        </w:rPr>
        <w:t>7.1.4.14.7.2</w:t>
      </w:r>
      <w:r w:rsidRPr="00006F41">
        <w:rPr>
          <w:color w:val="548DD4" w:themeColor="text2" w:themeTint="99"/>
          <w:szCs w:val="24"/>
          <w:lang w:val="fr-FR"/>
        </w:rPr>
        <w:tab/>
        <w:t xml:space="preserve">À la fin de la première phrase, remplacer « : » par </w:t>
      </w:r>
      <w:proofErr w:type="gramStart"/>
      <w:r w:rsidRPr="00006F41">
        <w:rPr>
          <w:color w:val="548DD4" w:themeColor="text2" w:themeTint="99"/>
          <w:szCs w:val="24"/>
          <w:lang w:val="fr-FR"/>
        </w:rPr>
        <w:t>« .</w:t>
      </w:r>
      <w:proofErr w:type="gramEnd"/>
      <w:r w:rsidRPr="00006F41">
        <w:rPr>
          <w:color w:val="548DD4" w:themeColor="text2" w:themeTint="99"/>
          <w:szCs w:val="24"/>
          <w:lang w:val="fr-FR"/>
        </w:rPr>
        <w:t> ».</w:t>
      </w:r>
    </w:p>
    <w:p w:rsidR="002F42AA" w:rsidRPr="00006F41" w:rsidRDefault="002F42AA" w:rsidP="002F42AA">
      <w:pPr>
        <w:pStyle w:val="SingleTxtG"/>
        <w:tabs>
          <w:tab w:val="left" w:pos="2268"/>
        </w:tabs>
        <w:ind w:left="2259" w:hanging="1125"/>
        <w:rPr>
          <w:color w:val="548DD4" w:themeColor="text2" w:themeTint="99"/>
          <w:szCs w:val="24"/>
          <w:lang w:val="fr-FR"/>
        </w:rPr>
      </w:pPr>
      <w:r w:rsidRPr="00006F41">
        <w:rPr>
          <w:color w:val="548DD4" w:themeColor="text2" w:themeTint="99"/>
          <w:lang w:val="fr-FR"/>
        </w:rPr>
        <w:t>7.1.4.14.7.2</w:t>
      </w:r>
      <w:r w:rsidRPr="00006F41">
        <w:rPr>
          <w:color w:val="548DD4" w:themeColor="text2" w:themeTint="99"/>
          <w:szCs w:val="24"/>
          <w:lang w:val="fr-FR"/>
        </w:rPr>
        <w:tab/>
        <w:t>Ajouter la nouvelle phrase suivante après la première phrase :</w:t>
      </w:r>
    </w:p>
    <w:p w:rsidR="002F42AA" w:rsidRPr="00006F41" w:rsidRDefault="002F42AA" w:rsidP="002F42AA">
      <w:pPr>
        <w:pStyle w:val="SingleTxtG"/>
        <w:tabs>
          <w:tab w:val="left" w:pos="2268"/>
        </w:tabs>
        <w:ind w:left="2259" w:hanging="1125"/>
        <w:rPr>
          <w:color w:val="548DD4" w:themeColor="text2" w:themeTint="99"/>
          <w:szCs w:val="24"/>
          <w:lang w:val="fr-FR"/>
        </w:rPr>
      </w:pPr>
      <w:r w:rsidRPr="00006F41">
        <w:rPr>
          <w:color w:val="548DD4" w:themeColor="text2" w:themeTint="99"/>
          <w:szCs w:val="24"/>
          <w:lang w:val="fr-FR"/>
        </w:rPr>
        <w:tab/>
        <w:t>« Pour les objets SCO-III, les limites du tableau C ci-dessous peuvent être dépassées à condition que le plan de transport contienne les précautions à prendre en cours de transport afin d’obtenir un niveau de sûreté générale au moins équivalent à celui qui aurait été atteint si les limites avaient été respectées. ».</w:t>
      </w:r>
    </w:p>
    <w:p w:rsidR="002F42AA" w:rsidRPr="00006F41" w:rsidRDefault="002F42AA" w:rsidP="002F42AA">
      <w:pPr>
        <w:pStyle w:val="SingleTxtG"/>
        <w:tabs>
          <w:tab w:val="left" w:pos="2268"/>
        </w:tabs>
        <w:ind w:left="2259" w:hanging="1125"/>
        <w:rPr>
          <w:color w:val="548DD4" w:themeColor="text2" w:themeTint="99"/>
          <w:szCs w:val="24"/>
          <w:lang w:val="fr-FR"/>
        </w:rPr>
      </w:pPr>
      <w:r w:rsidRPr="00006F41">
        <w:rPr>
          <w:color w:val="548DD4" w:themeColor="text2" w:themeTint="99"/>
          <w:lang w:val="fr-FR"/>
        </w:rPr>
        <w:t>7.1.4.14.7.3.3</w:t>
      </w:r>
      <w:r w:rsidRPr="00006F41">
        <w:rPr>
          <w:color w:val="548DD4" w:themeColor="text2" w:themeTint="99"/>
          <w:szCs w:val="24"/>
          <w:lang w:val="fr-FR"/>
        </w:rPr>
        <w:tab/>
        <w:t>Modifier l’alinéa b) pour lire comme suit :</w:t>
      </w:r>
    </w:p>
    <w:p w:rsidR="002F42AA" w:rsidRDefault="002F42AA" w:rsidP="002F42AA">
      <w:pPr>
        <w:pStyle w:val="SingleTxtG"/>
        <w:tabs>
          <w:tab w:val="left" w:pos="2268"/>
        </w:tabs>
        <w:ind w:left="2259" w:hanging="1125"/>
        <w:rPr>
          <w:color w:val="548DD4" w:themeColor="text2" w:themeTint="99"/>
          <w:szCs w:val="24"/>
          <w:lang w:val="fr-FR"/>
        </w:rPr>
      </w:pPr>
      <w:r w:rsidRPr="00006F41">
        <w:rPr>
          <w:color w:val="548DD4" w:themeColor="text2" w:themeTint="99"/>
          <w:szCs w:val="24"/>
          <w:lang w:val="fr-FR"/>
        </w:rPr>
        <w:tab/>
        <w:t>« </w:t>
      </w:r>
      <w:proofErr w:type="gramStart"/>
      <w:r w:rsidRPr="00006F41">
        <w:rPr>
          <w:color w:val="548DD4" w:themeColor="text2" w:themeTint="99"/>
          <w:szCs w:val="24"/>
          <w:lang w:val="fr-FR"/>
        </w:rPr>
        <w:t>b</w:t>
      </w:r>
      <w:proofErr w:type="gramEnd"/>
      <w:r w:rsidRPr="00006F41">
        <w:rPr>
          <w:color w:val="548DD4" w:themeColor="text2" w:themeTint="99"/>
          <w:szCs w:val="24"/>
          <w:lang w:val="fr-FR"/>
        </w:rPr>
        <w:t xml:space="preserve">) </w:t>
      </w:r>
      <w:r w:rsidRPr="00006F41">
        <w:rPr>
          <w:color w:val="548DD4" w:themeColor="text2" w:themeTint="99"/>
          <w:szCs w:val="24"/>
          <w:lang w:val="fr-FR"/>
        </w:rPr>
        <w:tab/>
        <w:t xml:space="preserve">Le débit de dose dans les conditions de transport de routine ne doit pas dépasser 2 mSv/h en tout point de la surface externe du moyen de transport, et 0,1 mSv/h à 2 m de la surface externe du moyen de transport, sauf dans le cas des envois transportés </w:t>
      </w:r>
      <w:proofErr w:type="spellStart"/>
      <w:r w:rsidRPr="00006F41">
        <w:rPr>
          <w:color w:val="548DD4" w:themeColor="text2" w:themeTint="99"/>
          <w:szCs w:val="24"/>
          <w:lang w:val="fr-FR"/>
        </w:rPr>
        <w:t>sous utilisation</w:t>
      </w:r>
      <w:proofErr w:type="spellEnd"/>
      <w:r w:rsidRPr="00006F41">
        <w:rPr>
          <w:color w:val="548DD4" w:themeColor="text2" w:themeTint="99"/>
          <w:szCs w:val="24"/>
          <w:lang w:val="fr-FR"/>
        </w:rPr>
        <w:t xml:space="preserve"> exclusive [par route ou par voie ferrée], pour lesquels les limites d’intensité de rayonnement de débit de dose autour du moyen de transport sont énoncées au </w:t>
      </w:r>
      <w:r w:rsidRPr="00006F41">
        <w:rPr>
          <w:color w:val="548DD4" w:themeColor="text2" w:themeTint="99"/>
          <w:lang w:val="fr-FR"/>
        </w:rPr>
        <w:t>7.1.4.14.7.3.5</w:t>
      </w:r>
      <w:r w:rsidRPr="00006F41">
        <w:rPr>
          <w:color w:val="548DD4" w:themeColor="text2" w:themeTint="99"/>
          <w:szCs w:val="24"/>
          <w:lang w:val="fr-FR"/>
        </w:rPr>
        <w:t xml:space="preserve"> b) et c). ».</w:t>
      </w:r>
    </w:p>
    <w:p w:rsidR="002D3E3C" w:rsidRPr="00006F41" w:rsidRDefault="002D3E3C" w:rsidP="002F42AA">
      <w:pPr>
        <w:pStyle w:val="SingleTxtG"/>
        <w:tabs>
          <w:tab w:val="left" w:pos="2268"/>
        </w:tabs>
        <w:ind w:left="2259" w:hanging="1125"/>
        <w:rPr>
          <w:color w:val="548DD4" w:themeColor="text2" w:themeTint="99"/>
          <w:szCs w:val="24"/>
          <w:lang w:val="fr-FR"/>
        </w:rPr>
      </w:pPr>
      <w:r>
        <w:rPr>
          <w:color w:val="548DD4" w:themeColor="text2" w:themeTint="99"/>
          <w:szCs w:val="24"/>
          <w:lang w:val="fr-FR"/>
        </w:rPr>
        <w:t>[…]</w:t>
      </w:r>
    </w:p>
    <w:p w:rsidR="002F42AA" w:rsidRPr="00C85ADC" w:rsidRDefault="002F42AA" w:rsidP="002F42AA">
      <w:pPr>
        <w:pStyle w:val="SingleTxtG"/>
        <w:tabs>
          <w:tab w:val="left" w:pos="2268"/>
        </w:tabs>
        <w:ind w:left="2259" w:hanging="1125"/>
        <w:rPr>
          <w:lang w:val="fr-FR"/>
        </w:rPr>
      </w:pPr>
      <w:bookmarkStart w:id="58" w:name="_Hlk11159023"/>
      <w:r w:rsidRPr="00C85ADC">
        <w:rPr>
          <w:lang w:val="fr-FR"/>
        </w:rPr>
        <w:t>7.1.4.14.7.3.5</w:t>
      </w:r>
      <w:r w:rsidRPr="00C85ADC">
        <w:rPr>
          <w:lang w:val="fr-FR"/>
        </w:rPr>
        <w:tab/>
      </w:r>
    </w:p>
    <w:p w:rsidR="002F42AA" w:rsidRPr="00C85ADC" w:rsidRDefault="002F42AA" w:rsidP="002F42AA">
      <w:pPr>
        <w:pStyle w:val="SingleTxtG"/>
        <w:tabs>
          <w:tab w:val="left" w:pos="2268"/>
        </w:tabs>
        <w:ind w:left="2259" w:hanging="1125"/>
        <w:rPr>
          <w:lang w:val="fr-FR"/>
        </w:rPr>
      </w:pPr>
      <w:r w:rsidRPr="00C85ADC">
        <w:rPr>
          <w:lang w:val="fr-FR"/>
        </w:rPr>
        <w:tab/>
        <w:t>Remplacer « l’intensité de rayonnement » par « le débit de dose ».</w:t>
      </w:r>
    </w:p>
    <w:p w:rsidR="002F42AA" w:rsidRPr="00C85ADC" w:rsidRDefault="002F42AA" w:rsidP="002F42AA">
      <w:pPr>
        <w:pStyle w:val="SingleTxtG"/>
        <w:tabs>
          <w:tab w:val="left" w:pos="2268"/>
        </w:tabs>
        <w:ind w:left="2259" w:hanging="1125"/>
        <w:rPr>
          <w:lang w:val="fr-FR"/>
        </w:rPr>
      </w:pPr>
      <w:r w:rsidRPr="00C85ADC">
        <w:rPr>
          <w:lang w:val="fr-FR"/>
        </w:rPr>
        <w:lastRenderedPageBreak/>
        <w:t>7.1.4.14.7.3.6</w:t>
      </w:r>
    </w:p>
    <w:p w:rsidR="002F42AA" w:rsidRPr="00C85ADC" w:rsidRDefault="002F42AA" w:rsidP="002F42AA">
      <w:pPr>
        <w:pStyle w:val="SingleTxtG"/>
        <w:tabs>
          <w:tab w:val="left" w:pos="2268"/>
        </w:tabs>
        <w:ind w:left="2259" w:hanging="1125"/>
        <w:rPr>
          <w:lang w:val="fr-FR"/>
        </w:rPr>
      </w:pPr>
      <w:r w:rsidRPr="00C85ADC">
        <w:rPr>
          <w:lang w:val="fr-FR"/>
        </w:rPr>
        <w:tab/>
        <w:t>Remplacer « l’intensité de rayonnement » par « le débit de dose ».</w:t>
      </w:r>
    </w:p>
    <w:p w:rsidR="002F42AA" w:rsidRPr="00C85ADC" w:rsidRDefault="002F42AA" w:rsidP="002F42AA">
      <w:pPr>
        <w:pStyle w:val="SingleTxtG"/>
        <w:tabs>
          <w:tab w:val="left" w:pos="2268"/>
        </w:tabs>
        <w:ind w:left="2259" w:hanging="1125"/>
        <w:rPr>
          <w:lang w:val="fr-FR"/>
        </w:rPr>
      </w:pPr>
      <w:r w:rsidRPr="00C85ADC">
        <w:rPr>
          <w:lang w:val="fr-FR"/>
        </w:rPr>
        <w:t>7.1.4.14.7.5.1</w:t>
      </w:r>
    </w:p>
    <w:p w:rsidR="002F42AA" w:rsidRPr="00C85ADC" w:rsidRDefault="002F42AA" w:rsidP="002F42AA">
      <w:pPr>
        <w:pStyle w:val="SingleTxtG"/>
        <w:tabs>
          <w:tab w:val="left" w:pos="2268"/>
        </w:tabs>
        <w:ind w:left="2259" w:hanging="1125"/>
        <w:rPr>
          <w:lang w:val="fr-FR"/>
        </w:rPr>
      </w:pPr>
      <w:r w:rsidRPr="00C85ADC">
        <w:rPr>
          <w:lang w:val="fr-FR"/>
        </w:rPr>
        <w:tab/>
        <w:t>Remplacer « l’intensité de rayonnement » par « le débit de dose ».</w:t>
      </w:r>
      <w:r>
        <w:rPr>
          <w:lang w:val="fr-FR"/>
        </w:rPr>
        <w:t xml:space="preserve"> </w:t>
      </w:r>
      <w:r w:rsidRPr="00C85ADC">
        <w:rPr>
          <w:szCs w:val="24"/>
          <w:lang w:val="fr-FR"/>
        </w:rPr>
        <w:t>L’amendement à la dernière phrase dans la version anglaise est sans objet en français.</w:t>
      </w:r>
    </w:p>
    <w:p w:rsidR="002F42AA" w:rsidRPr="00C85ADC" w:rsidRDefault="002F42AA" w:rsidP="002F42AA">
      <w:pPr>
        <w:pStyle w:val="SingleTxtG"/>
        <w:tabs>
          <w:tab w:val="left" w:pos="2268"/>
        </w:tabs>
        <w:ind w:left="2259" w:hanging="1125"/>
        <w:rPr>
          <w:lang w:val="fr-FR"/>
        </w:rPr>
      </w:pPr>
      <w:r w:rsidRPr="00C85ADC">
        <w:rPr>
          <w:lang w:val="fr-FR"/>
        </w:rPr>
        <w:t>7.1.4.14.7.5.4</w:t>
      </w:r>
    </w:p>
    <w:p w:rsidR="002F42AA" w:rsidRDefault="002F42AA" w:rsidP="002F42AA">
      <w:pPr>
        <w:pStyle w:val="SingleTxtG"/>
        <w:rPr>
          <w:lang w:val="fr-FR"/>
        </w:rPr>
      </w:pPr>
      <w:r w:rsidRPr="00C85ADC">
        <w:rPr>
          <w:lang w:val="fr-FR"/>
        </w:rPr>
        <w:tab/>
        <w:t>Remplacer « l’intensité de rayonnement » par « le débit de dose ».</w:t>
      </w:r>
      <w:bookmarkEnd w:id="58"/>
    </w:p>
    <w:p w:rsidR="002D3E3C" w:rsidRPr="00C85ADC" w:rsidRDefault="002D3E3C" w:rsidP="002D3E3C">
      <w:pPr>
        <w:pStyle w:val="SingleTxtG"/>
        <w:tabs>
          <w:tab w:val="left" w:pos="2268"/>
        </w:tabs>
        <w:ind w:left="2259" w:hanging="1125"/>
        <w:rPr>
          <w:lang w:val="fr-FR"/>
        </w:rPr>
      </w:pPr>
      <w:r w:rsidRPr="00C85ADC">
        <w:rPr>
          <w:lang w:val="fr-FR"/>
        </w:rPr>
        <w:t>7.1.4.14.7.5.4</w:t>
      </w:r>
      <w:r>
        <w:rPr>
          <w:lang w:val="fr-FR"/>
        </w:rPr>
        <w:t xml:space="preserve"> (c)</w:t>
      </w:r>
    </w:p>
    <w:p w:rsidR="002D3E3C" w:rsidRPr="00874FA5" w:rsidRDefault="002D3E3C" w:rsidP="002D3E3C">
      <w:pPr>
        <w:pStyle w:val="SingleTxtG"/>
        <w:rPr>
          <w:i/>
          <w:iCs/>
          <w:color w:val="00B050"/>
          <w:lang w:val="fr-FR"/>
        </w:rPr>
      </w:pPr>
      <w:r w:rsidRPr="00C85ADC">
        <w:rPr>
          <w:lang w:val="fr-FR"/>
        </w:rPr>
        <w:tab/>
        <w:t>Remplacer « l’intensité de rayonnement » par « le débit de dose ».</w:t>
      </w:r>
    </w:p>
    <w:p w:rsidR="002F42AA" w:rsidRPr="00C85ADC" w:rsidRDefault="002F42AA" w:rsidP="002F42AA">
      <w:pPr>
        <w:spacing w:before="240"/>
        <w:jc w:val="center"/>
        <w:rPr>
          <w:u w:val="single"/>
          <w:lang w:val="fr-FR"/>
        </w:rPr>
      </w:pPr>
      <w:r w:rsidRPr="00C85ADC">
        <w:rPr>
          <w:u w:val="single"/>
          <w:lang w:val="fr-FR"/>
        </w:rPr>
        <w:tab/>
      </w:r>
      <w:r w:rsidRPr="00C85ADC">
        <w:rPr>
          <w:u w:val="single"/>
          <w:lang w:val="fr-FR"/>
        </w:rPr>
        <w:tab/>
      </w:r>
      <w:r w:rsidRPr="00C85ADC">
        <w:rPr>
          <w:u w:val="single"/>
          <w:lang w:val="fr-FR"/>
        </w:rPr>
        <w:tab/>
      </w:r>
    </w:p>
    <w:p w:rsidR="001A24A2" w:rsidRPr="00F26F19" w:rsidRDefault="001A24A2" w:rsidP="00B57E96">
      <w:pPr>
        <w:pStyle w:val="SingleTxtG"/>
        <w:rPr>
          <w:lang w:val="fr-FR"/>
        </w:rPr>
      </w:pPr>
    </w:p>
    <w:p w:rsidR="00CA0680" w:rsidRPr="00F26F19" w:rsidRDefault="00CA0680" w:rsidP="002F42AA">
      <w:pPr>
        <w:spacing w:after="120"/>
        <w:ind w:left="1134" w:right="1134"/>
        <w:jc w:val="both"/>
        <w:rPr>
          <w:lang w:val="fr-FR"/>
        </w:rPr>
      </w:pPr>
    </w:p>
    <w:sectPr w:rsidR="00CA0680" w:rsidRPr="00F26F19" w:rsidSect="00FF35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D62" w:rsidRDefault="00516D62"/>
  </w:endnote>
  <w:endnote w:type="continuationSeparator" w:id="0">
    <w:p w:rsidR="00516D62" w:rsidRDefault="00516D62"/>
  </w:endnote>
  <w:endnote w:type="continuationNotice" w:id="1">
    <w:p w:rsidR="00516D62" w:rsidRDefault="00516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62" w:rsidRPr="00FF35B7" w:rsidRDefault="00516D62"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44</w:t>
    </w:r>
    <w:r w:rsidRPr="00FF35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62" w:rsidRPr="00FF35B7" w:rsidRDefault="00516D62"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45</w:t>
    </w:r>
    <w:r w:rsidRPr="00FF35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62" w:rsidRPr="00290141" w:rsidRDefault="00516D62" w:rsidP="00A074FC">
    <w:pPr>
      <w:pStyle w:val="Footer"/>
      <w:jc w:val="right"/>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43</w:t>
    </w:r>
    <w:r w:rsidRPr="00FF35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D62" w:rsidRPr="00D27D5E" w:rsidRDefault="00516D62" w:rsidP="00D27D5E">
      <w:pPr>
        <w:tabs>
          <w:tab w:val="right" w:pos="2155"/>
        </w:tabs>
        <w:spacing w:after="80"/>
        <w:ind w:left="680"/>
        <w:rPr>
          <w:u w:val="single"/>
        </w:rPr>
      </w:pPr>
      <w:r>
        <w:rPr>
          <w:u w:val="single"/>
        </w:rPr>
        <w:tab/>
      </w:r>
    </w:p>
  </w:footnote>
  <w:footnote w:type="continuationSeparator" w:id="0">
    <w:p w:rsidR="00516D62" w:rsidRPr="00A40B11" w:rsidRDefault="00516D62" w:rsidP="00A40B11">
      <w:pPr>
        <w:tabs>
          <w:tab w:val="right" w:pos="2155"/>
        </w:tabs>
        <w:spacing w:after="80"/>
        <w:ind w:left="680"/>
        <w:rPr>
          <w:u w:val="single"/>
        </w:rPr>
      </w:pPr>
      <w:r w:rsidRPr="00A40B11">
        <w:rPr>
          <w:u w:val="single"/>
        </w:rPr>
        <w:tab/>
      </w:r>
    </w:p>
  </w:footnote>
  <w:footnote w:type="continuationNotice" w:id="1">
    <w:p w:rsidR="00516D62" w:rsidRDefault="00516D62"/>
  </w:footnote>
  <w:footnote w:id="2">
    <w:p w:rsidR="00516D62" w:rsidRPr="00903438" w:rsidRDefault="00516D62" w:rsidP="00F3492A">
      <w:pPr>
        <w:pStyle w:val="FootnoteText"/>
      </w:pPr>
      <w:r w:rsidRPr="00A67CE0">
        <w:rPr>
          <w:rStyle w:val="FootnoteReference"/>
        </w:rPr>
        <w:tab/>
      </w:r>
      <w:r w:rsidRPr="00A67CE0">
        <w:rPr>
          <w:rStyle w:val="FootnoteReference"/>
          <w:sz w:val="20"/>
        </w:rPr>
        <w:t>*</w:t>
      </w:r>
      <w:r w:rsidRPr="00A67CE0">
        <w:rPr>
          <w:rStyle w:val="FootnoteReference"/>
          <w:sz w:val="20"/>
        </w:rPr>
        <w:tab/>
      </w:r>
      <w:r w:rsidRPr="003C347D">
        <w:rPr>
          <w:sz w:val="16"/>
          <w:lang w:val="fr-FR"/>
        </w:rPr>
        <w:t>Diffusé en langue allemande par la Commission centrale pour la navigation du Rhin sous la cote CCNR/ZKR/ADN/WP.15/AC.2/2020/</w:t>
      </w:r>
      <w:r>
        <w:rPr>
          <w:sz w:val="16"/>
          <w:lang w:val="fr-FR"/>
        </w:rPr>
        <w:t>23</w:t>
      </w:r>
      <w:r w:rsidRPr="003C347D">
        <w:rPr>
          <w:sz w:val="16"/>
          <w:lang w:val="fr-FR"/>
        </w:rPr>
        <w:t>.</w:t>
      </w:r>
    </w:p>
  </w:footnote>
  <w:footnote w:id="3">
    <w:p w:rsidR="00516D62" w:rsidRPr="00903438" w:rsidRDefault="00516D62" w:rsidP="00F3492A">
      <w:pPr>
        <w:pStyle w:val="FootnoteText"/>
      </w:pPr>
      <w:r w:rsidRPr="00A67CE0">
        <w:rPr>
          <w:rStyle w:val="FootnoteReference"/>
        </w:rPr>
        <w:tab/>
      </w:r>
      <w:r w:rsidRPr="00A67CE0">
        <w:rPr>
          <w:rStyle w:val="FootnoteReference"/>
          <w:sz w:val="20"/>
        </w:rPr>
        <w:t>**</w:t>
      </w:r>
      <w:r w:rsidRPr="00A67CE0">
        <w:rPr>
          <w:rStyle w:val="FootnoteReference"/>
          <w:sz w:val="20"/>
        </w:rPr>
        <w:tab/>
      </w:r>
      <w:r w:rsidRPr="00A67CE0">
        <w:rPr>
          <w:sz w:val="16"/>
          <w:szCs w:val="16"/>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62" w:rsidRPr="00FF35B7" w:rsidRDefault="00516D62">
    <w:pPr>
      <w:pStyle w:val="Header"/>
    </w:pPr>
    <w:r>
      <w:t>ECE/TRANS/WP.15/AC.2/2020/23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62" w:rsidRPr="00FF35B7" w:rsidRDefault="00516D62" w:rsidP="00FF35B7">
    <w:pPr>
      <w:pStyle w:val="Header"/>
      <w:jc w:val="right"/>
    </w:pPr>
    <w:r>
      <w:t>ECE/TRANS/WP.15/AC.2/2020/23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62" w:rsidRPr="00812252" w:rsidRDefault="00516D62" w:rsidP="00072B97">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6"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8"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num>
  <w:num w:numId="2">
    <w:abstractNumId w:val="9"/>
  </w:num>
  <w:num w:numId="3">
    <w:abstractNumId w:val="8"/>
  </w:num>
  <w:num w:numId="4">
    <w:abstractNumId w:val="13"/>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9"/>
  </w:num>
  <w:num w:numId="11">
    <w:abstractNumId w:val="0"/>
  </w:num>
  <w:num w:numId="12">
    <w:abstractNumId w:val="12"/>
  </w:num>
  <w:num w:numId="13">
    <w:abstractNumId w:val="4"/>
  </w:num>
  <w:num w:numId="14">
    <w:abstractNumId w:val="1"/>
  </w:num>
  <w:num w:numId="15">
    <w:abstractNumId w:val="16"/>
  </w:num>
  <w:num w:numId="16">
    <w:abstractNumId w:val="10"/>
  </w:num>
  <w:num w:numId="17">
    <w:abstractNumId w:val="5"/>
  </w:num>
  <w:num w:numId="18">
    <w:abstractNumId w:val="11"/>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6" w:nlCheck="1" w:checkStyle="1"/>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F35B7"/>
    <w:rsid w:val="000029D1"/>
    <w:rsid w:val="00004AA3"/>
    <w:rsid w:val="000050AB"/>
    <w:rsid w:val="00005F78"/>
    <w:rsid w:val="00006264"/>
    <w:rsid w:val="00006F41"/>
    <w:rsid w:val="00016AC5"/>
    <w:rsid w:val="000200D8"/>
    <w:rsid w:val="00021428"/>
    <w:rsid w:val="000243E2"/>
    <w:rsid w:val="0002513E"/>
    <w:rsid w:val="000561D8"/>
    <w:rsid w:val="00060F3F"/>
    <w:rsid w:val="00070363"/>
    <w:rsid w:val="000706F2"/>
    <w:rsid w:val="00072B97"/>
    <w:rsid w:val="00072E7B"/>
    <w:rsid w:val="00073282"/>
    <w:rsid w:val="00075B3E"/>
    <w:rsid w:val="00076867"/>
    <w:rsid w:val="00080BAA"/>
    <w:rsid w:val="000814B8"/>
    <w:rsid w:val="00085AC5"/>
    <w:rsid w:val="00086498"/>
    <w:rsid w:val="00087C00"/>
    <w:rsid w:val="00087DC7"/>
    <w:rsid w:val="00091FA8"/>
    <w:rsid w:val="000A165A"/>
    <w:rsid w:val="000B1500"/>
    <w:rsid w:val="000B3711"/>
    <w:rsid w:val="000C1236"/>
    <w:rsid w:val="000C14F2"/>
    <w:rsid w:val="000C4837"/>
    <w:rsid w:val="000D04D4"/>
    <w:rsid w:val="000D1C38"/>
    <w:rsid w:val="000D6BE3"/>
    <w:rsid w:val="000F0288"/>
    <w:rsid w:val="000F078B"/>
    <w:rsid w:val="000F41F2"/>
    <w:rsid w:val="000F6720"/>
    <w:rsid w:val="0010178E"/>
    <w:rsid w:val="001058C2"/>
    <w:rsid w:val="00111B8A"/>
    <w:rsid w:val="00114A09"/>
    <w:rsid w:val="00116131"/>
    <w:rsid w:val="00116C5D"/>
    <w:rsid w:val="001218B6"/>
    <w:rsid w:val="00125D33"/>
    <w:rsid w:val="00132A26"/>
    <w:rsid w:val="00132B02"/>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84C2C"/>
    <w:rsid w:val="00186EAB"/>
    <w:rsid w:val="00186FAC"/>
    <w:rsid w:val="00187094"/>
    <w:rsid w:val="001914AA"/>
    <w:rsid w:val="001928AE"/>
    <w:rsid w:val="00192EEB"/>
    <w:rsid w:val="00196C06"/>
    <w:rsid w:val="00197D39"/>
    <w:rsid w:val="001A0DAD"/>
    <w:rsid w:val="001A0EB0"/>
    <w:rsid w:val="001A20FB"/>
    <w:rsid w:val="001A24A2"/>
    <w:rsid w:val="001A3B50"/>
    <w:rsid w:val="001A6248"/>
    <w:rsid w:val="001A6331"/>
    <w:rsid w:val="001A6D78"/>
    <w:rsid w:val="001B0F1C"/>
    <w:rsid w:val="001B16A3"/>
    <w:rsid w:val="001B4377"/>
    <w:rsid w:val="001B6CC7"/>
    <w:rsid w:val="001C1BC3"/>
    <w:rsid w:val="001C441B"/>
    <w:rsid w:val="001C6399"/>
    <w:rsid w:val="001D44B7"/>
    <w:rsid w:val="001D7F8A"/>
    <w:rsid w:val="001E0706"/>
    <w:rsid w:val="001E23A0"/>
    <w:rsid w:val="001E3FEB"/>
    <w:rsid w:val="001E4A02"/>
    <w:rsid w:val="001E52BC"/>
    <w:rsid w:val="001E56E1"/>
    <w:rsid w:val="001E68C9"/>
    <w:rsid w:val="001F0E00"/>
    <w:rsid w:val="001F5C8B"/>
    <w:rsid w:val="001F734F"/>
    <w:rsid w:val="001F7C97"/>
    <w:rsid w:val="002008A2"/>
    <w:rsid w:val="0020480B"/>
    <w:rsid w:val="00204AE3"/>
    <w:rsid w:val="00214BCF"/>
    <w:rsid w:val="002156CB"/>
    <w:rsid w:val="002162B0"/>
    <w:rsid w:val="00216BB6"/>
    <w:rsid w:val="002175D8"/>
    <w:rsid w:val="00220B3D"/>
    <w:rsid w:val="0022565D"/>
    <w:rsid w:val="00225A8C"/>
    <w:rsid w:val="002321A2"/>
    <w:rsid w:val="002324D3"/>
    <w:rsid w:val="00232606"/>
    <w:rsid w:val="0023370B"/>
    <w:rsid w:val="002342EA"/>
    <w:rsid w:val="00240009"/>
    <w:rsid w:val="0024433C"/>
    <w:rsid w:val="00244ABE"/>
    <w:rsid w:val="00255383"/>
    <w:rsid w:val="002603FC"/>
    <w:rsid w:val="002606C3"/>
    <w:rsid w:val="0026266E"/>
    <w:rsid w:val="00262E2F"/>
    <w:rsid w:val="00263A61"/>
    <w:rsid w:val="00265514"/>
    <w:rsid w:val="002659F1"/>
    <w:rsid w:val="0027239F"/>
    <w:rsid w:val="00285CBD"/>
    <w:rsid w:val="0028695B"/>
    <w:rsid w:val="00286D40"/>
    <w:rsid w:val="0028758A"/>
    <w:rsid w:val="00287E79"/>
    <w:rsid w:val="00290141"/>
    <w:rsid w:val="002928F9"/>
    <w:rsid w:val="002A20A1"/>
    <w:rsid w:val="002A2D9B"/>
    <w:rsid w:val="002A2FE6"/>
    <w:rsid w:val="002A4B9C"/>
    <w:rsid w:val="002A54EF"/>
    <w:rsid w:val="002A5D07"/>
    <w:rsid w:val="002B2336"/>
    <w:rsid w:val="002B2E8A"/>
    <w:rsid w:val="002C052F"/>
    <w:rsid w:val="002C7357"/>
    <w:rsid w:val="002D1EAC"/>
    <w:rsid w:val="002D2632"/>
    <w:rsid w:val="002D378C"/>
    <w:rsid w:val="002D3E3C"/>
    <w:rsid w:val="002D4F04"/>
    <w:rsid w:val="002D5CD0"/>
    <w:rsid w:val="002E6E05"/>
    <w:rsid w:val="002F085E"/>
    <w:rsid w:val="002F28AA"/>
    <w:rsid w:val="002F3DB5"/>
    <w:rsid w:val="002F42AA"/>
    <w:rsid w:val="002F77A8"/>
    <w:rsid w:val="003016B7"/>
    <w:rsid w:val="0030563C"/>
    <w:rsid w:val="00306094"/>
    <w:rsid w:val="003101CB"/>
    <w:rsid w:val="0031373C"/>
    <w:rsid w:val="00314A3A"/>
    <w:rsid w:val="00316738"/>
    <w:rsid w:val="003178D6"/>
    <w:rsid w:val="0032624D"/>
    <w:rsid w:val="00327F6F"/>
    <w:rsid w:val="00335CBD"/>
    <w:rsid w:val="00342D08"/>
    <w:rsid w:val="00344934"/>
    <w:rsid w:val="0034591A"/>
    <w:rsid w:val="003515AA"/>
    <w:rsid w:val="003521CF"/>
    <w:rsid w:val="0035298C"/>
    <w:rsid w:val="00353080"/>
    <w:rsid w:val="00354E88"/>
    <w:rsid w:val="00355D89"/>
    <w:rsid w:val="003567B8"/>
    <w:rsid w:val="00357F03"/>
    <w:rsid w:val="0036162F"/>
    <w:rsid w:val="00361EEE"/>
    <w:rsid w:val="00364005"/>
    <w:rsid w:val="0037022A"/>
    <w:rsid w:val="003714FD"/>
    <w:rsid w:val="00374106"/>
    <w:rsid w:val="00375009"/>
    <w:rsid w:val="0037666B"/>
    <w:rsid w:val="003778F9"/>
    <w:rsid w:val="00384A47"/>
    <w:rsid w:val="003906EA"/>
    <w:rsid w:val="00391150"/>
    <w:rsid w:val="003976D5"/>
    <w:rsid w:val="003A687B"/>
    <w:rsid w:val="003A73E3"/>
    <w:rsid w:val="003B47D4"/>
    <w:rsid w:val="003B6D8B"/>
    <w:rsid w:val="003B798C"/>
    <w:rsid w:val="003C1B8A"/>
    <w:rsid w:val="003C1F8C"/>
    <w:rsid w:val="003C38A4"/>
    <w:rsid w:val="003C542F"/>
    <w:rsid w:val="003C7858"/>
    <w:rsid w:val="003D0F48"/>
    <w:rsid w:val="003D3BED"/>
    <w:rsid w:val="003D6AA4"/>
    <w:rsid w:val="003D6C68"/>
    <w:rsid w:val="003E0086"/>
    <w:rsid w:val="003E36B5"/>
    <w:rsid w:val="003E4741"/>
    <w:rsid w:val="003E4C75"/>
    <w:rsid w:val="003E6028"/>
    <w:rsid w:val="003E6A9A"/>
    <w:rsid w:val="003F0288"/>
    <w:rsid w:val="003F03A4"/>
    <w:rsid w:val="003F2235"/>
    <w:rsid w:val="003F5056"/>
    <w:rsid w:val="003F59CB"/>
    <w:rsid w:val="003F5B56"/>
    <w:rsid w:val="004003B4"/>
    <w:rsid w:val="0040504E"/>
    <w:rsid w:val="004069B1"/>
    <w:rsid w:val="00410B90"/>
    <w:rsid w:val="00410EC7"/>
    <w:rsid w:val="0041180C"/>
    <w:rsid w:val="00414A63"/>
    <w:rsid w:val="00414B06"/>
    <w:rsid w:val="004159D0"/>
    <w:rsid w:val="004215B9"/>
    <w:rsid w:val="004215F5"/>
    <w:rsid w:val="00421B88"/>
    <w:rsid w:val="00421F7A"/>
    <w:rsid w:val="004254FA"/>
    <w:rsid w:val="004337F4"/>
    <w:rsid w:val="004419B9"/>
    <w:rsid w:val="00447B06"/>
    <w:rsid w:val="004504D2"/>
    <w:rsid w:val="00451DF4"/>
    <w:rsid w:val="00452EF4"/>
    <w:rsid w:val="00455BEF"/>
    <w:rsid w:val="0045744A"/>
    <w:rsid w:val="00460BCF"/>
    <w:rsid w:val="0046126F"/>
    <w:rsid w:val="00461407"/>
    <w:rsid w:val="00462D41"/>
    <w:rsid w:val="00464701"/>
    <w:rsid w:val="0046700E"/>
    <w:rsid w:val="00470FED"/>
    <w:rsid w:val="00473CEE"/>
    <w:rsid w:val="00473FFF"/>
    <w:rsid w:val="00482AF2"/>
    <w:rsid w:val="004858C0"/>
    <w:rsid w:val="00486D67"/>
    <w:rsid w:val="004902BF"/>
    <w:rsid w:val="00496768"/>
    <w:rsid w:val="004979FC"/>
    <w:rsid w:val="004A022A"/>
    <w:rsid w:val="004A05F2"/>
    <w:rsid w:val="004A0F69"/>
    <w:rsid w:val="004A14F3"/>
    <w:rsid w:val="004B25E5"/>
    <w:rsid w:val="004B3167"/>
    <w:rsid w:val="004B41A4"/>
    <w:rsid w:val="004B5C14"/>
    <w:rsid w:val="004C121C"/>
    <w:rsid w:val="004C1C06"/>
    <w:rsid w:val="004C5EF2"/>
    <w:rsid w:val="004C65CA"/>
    <w:rsid w:val="004C70B6"/>
    <w:rsid w:val="004D1152"/>
    <w:rsid w:val="004D7A27"/>
    <w:rsid w:val="004E5C5F"/>
    <w:rsid w:val="004F1E8B"/>
    <w:rsid w:val="004F4841"/>
    <w:rsid w:val="00500D1F"/>
    <w:rsid w:val="0050270B"/>
    <w:rsid w:val="00503A7E"/>
    <w:rsid w:val="005045B2"/>
    <w:rsid w:val="005064DA"/>
    <w:rsid w:val="00507CA8"/>
    <w:rsid w:val="00511E62"/>
    <w:rsid w:val="00512CCD"/>
    <w:rsid w:val="00516D62"/>
    <w:rsid w:val="00516F19"/>
    <w:rsid w:val="0051749E"/>
    <w:rsid w:val="0052051F"/>
    <w:rsid w:val="005228BD"/>
    <w:rsid w:val="0052372C"/>
    <w:rsid w:val="00524945"/>
    <w:rsid w:val="005260C9"/>
    <w:rsid w:val="00526746"/>
    <w:rsid w:val="00530783"/>
    <w:rsid w:val="00536F4A"/>
    <w:rsid w:val="00540A42"/>
    <w:rsid w:val="00543D5E"/>
    <w:rsid w:val="00547B62"/>
    <w:rsid w:val="00553856"/>
    <w:rsid w:val="00554392"/>
    <w:rsid w:val="00554F93"/>
    <w:rsid w:val="00555DEB"/>
    <w:rsid w:val="00560063"/>
    <w:rsid w:val="0056104D"/>
    <w:rsid w:val="005612F9"/>
    <w:rsid w:val="00565907"/>
    <w:rsid w:val="00571923"/>
    <w:rsid w:val="00571F41"/>
    <w:rsid w:val="005759BC"/>
    <w:rsid w:val="00577ED9"/>
    <w:rsid w:val="0058132F"/>
    <w:rsid w:val="00583629"/>
    <w:rsid w:val="00585388"/>
    <w:rsid w:val="00585B3C"/>
    <w:rsid w:val="005860E1"/>
    <w:rsid w:val="00591788"/>
    <w:rsid w:val="005917F0"/>
    <w:rsid w:val="00594CC0"/>
    <w:rsid w:val="00595819"/>
    <w:rsid w:val="00597A79"/>
    <w:rsid w:val="005A0E08"/>
    <w:rsid w:val="005A21B5"/>
    <w:rsid w:val="005A28FC"/>
    <w:rsid w:val="005A32BE"/>
    <w:rsid w:val="005A52D5"/>
    <w:rsid w:val="005A72D5"/>
    <w:rsid w:val="005B4781"/>
    <w:rsid w:val="005B478B"/>
    <w:rsid w:val="005B49E9"/>
    <w:rsid w:val="005C1E71"/>
    <w:rsid w:val="005C78BA"/>
    <w:rsid w:val="005C7EDD"/>
    <w:rsid w:val="005D14A8"/>
    <w:rsid w:val="005D31C5"/>
    <w:rsid w:val="005D366E"/>
    <w:rsid w:val="005D5308"/>
    <w:rsid w:val="005E4486"/>
    <w:rsid w:val="005E5D1F"/>
    <w:rsid w:val="005E7BD3"/>
    <w:rsid w:val="005E7DDC"/>
    <w:rsid w:val="005F13AB"/>
    <w:rsid w:val="005F4E6F"/>
    <w:rsid w:val="005F7655"/>
    <w:rsid w:val="00603122"/>
    <w:rsid w:val="00610DD9"/>
    <w:rsid w:val="00610FC4"/>
    <w:rsid w:val="00611D43"/>
    <w:rsid w:val="00612D48"/>
    <w:rsid w:val="0061335E"/>
    <w:rsid w:val="006139D0"/>
    <w:rsid w:val="00616B45"/>
    <w:rsid w:val="006201FD"/>
    <w:rsid w:val="00620B60"/>
    <w:rsid w:val="00620C59"/>
    <w:rsid w:val="006217AF"/>
    <w:rsid w:val="0062689F"/>
    <w:rsid w:val="00630D9B"/>
    <w:rsid w:val="00631953"/>
    <w:rsid w:val="00632885"/>
    <w:rsid w:val="0063441B"/>
    <w:rsid w:val="00637361"/>
    <w:rsid w:val="00641080"/>
    <w:rsid w:val="006432EB"/>
    <w:rsid w:val="006439EC"/>
    <w:rsid w:val="00646142"/>
    <w:rsid w:val="006471B7"/>
    <w:rsid w:val="006528E6"/>
    <w:rsid w:val="00654B2D"/>
    <w:rsid w:val="00657D7C"/>
    <w:rsid w:val="006646BC"/>
    <w:rsid w:val="00667902"/>
    <w:rsid w:val="006679FB"/>
    <w:rsid w:val="00667E38"/>
    <w:rsid w:val="00671C86"/>
    <w:rsid w:val="00676CB4"/>
    <w:rsid w:val="0068446C"/>
    <w:rsid w:val="00684D16"/>
    <w:rsid w:val="006924C3"/>
    <w:rsid w:val="00693D1B"/>
    <w:rsid w:val="00695276"/>
    <w:rsid w:val="00695AA0"/>
    <w:rsid w:val="006978FA"/>
    <w:rsid w:val="006A0096"/>
    <w:rsid w:val="006A0CE3"/>
    <w:rsid w:val="006A1BE3"/>
    <w:rsid w:val="006A1C0A"/>
    <w:rsid w:val="006A314D"/>
    <w:rsid w:val="006A6437"/>
    <w:rsid w:val="006B2877"/>
    <w:rsid w:val="006B4590"/>
    <w:rsid w:val="006C06A3"/>
    <w:rsid w:val="006C307E"/>
    <w:rsid w:val="006C340C"/>
    <w:rsid w:val="006D2CE6"/>
    <w:rsid w:val="006D445C"/>
    <w:rsid w:val="006F0B9F"/>
    <w:rsid w:val="006F5E97"/>
    <w:rsid w:val="006F6155"/>
    <w:rsid w:val="00700FED"/>
    <w:rsid w:val="0070347C"/>
    <w:rsid w:val="0070373F"/>
    <w:rsid w:val="00703DCC"/>
    <w:rsid w:val="007062E3"/>
    <w:rsid w:val="00706B12"/>
    <w:rsid w:val="00706F7C"/>
    <w:rsid w:val="007075CD"/>
    <w:rsid w:val="007113E4"/>
    <w:rsid w:val="007176C1"/>
    <w:rsid w:val="00722738"/>
    <w:rsid w:val="00722C49"/>
    <w:rsid w:val="0072313A"/>
    <w:rsid w:val="00730CFA"/>
    <w:rsid w:val="00732101"/>
    <w:rsid w:val="0073448C"/>
    <w:rsid w:val="00736366"/>
    <w:rsid w:val="00737A39"/>
    <w:rsid w:val="007420D5"/>
    <w:rsid w:val="0074245A"/>
    <w:rsid w:val="00746154"/>
    <w:rsid w:val="00746F81"/>
    <w:rsid w:val="007534B4"/>
    <w:rsid w:val="00753744"/>
    <w:rsid w:val="00753DB4"/>
    <w:rsid w:val="00754218"/>
    <w:rsid w:val="007555AD"/>
    <w:rsid w:val="00761105"/>
    <w:rsid w:val="00761EE8"/>
    <w:rsid w:val="00763AB0"/>
    <w:rsid w:val="00765AC9"/>
    <w:rsid w:val="00771312"/>
    <w:rsid w:val="00772CBA"/>
    <w:rsid w:val="00775B3B"/>
    <w:rsid w:val="0077663B"/>
    <w:rsid w:val="00780D2A"/>
    <w:rsid w:val="00791025"/>
    <w:rsid w:val="00793009"/>
    <w:rsid w:val="007931DC"/>
    <w:rsid w:val="0079445A"/>
    <w:rsid w:val="007A0606"/>
    <w:rsid w:val="007A064D"/>
    <w:rsid w:val="007A2A1D"/>
    <w:rsid w:val="007A36B5"/>
    <w:rsid w:val="007A3E79"/>
    <w:rsid w:val="007A616E"/>
    <w:rsid w:val="007B22B9"/>
    <w:rsid w:val="007B5A92"/>
    <w:rsid w:val="007B5EC0"/>
    <w:rsid w:val="007B62F4"/>
    <w:rsid w:val="007C678A"/>
    <w:rsid w:val="007D0603"/>
    <w:rsid w:val="007D42AD"/>
    <w:rsid w:val="007D4BBF"/>
    <w:rsid w:val="007D6400"/>
    <w:rsid w:val="007D65C2"/>
    <w:rsid w:val="007D6CFA"/>
    <w:rsid w:val="007D71DA"/>
    <w:rsid w:val="007D7488"/>
    <w:rsid w:val="007E0744"/>
    <w:rsid w:val="007E323C"/>
    <w:rsid w:val="007E3EEB"/>
    <w:rsid w:val="007F41E4"/>
    <w:rsid w:val="007F55CB"/>
    <w:rsid w:val="007F62A9"/>
    <w:rsid w:val="007F7E4E"/>
    <w:rsid w:val="00803EFF"/>
    <w:rsid w:val="0080443B"/>
    <w:rsid w:val="00806818"/>
    <w:rsid w:val="00807C6F"/>
    <w:rsid w:val="00812252"/>
    <w:rsid w:val="008148F4"/>
    <w:rsid w:val="008270E7"/>
    <w:rsid w:val="00830168"/>
    <w:rsid w:val="00836A3C"/>
    <w:rsid w:val="008444E4"/>
    <w:rsid w:val="00844750"/>
    <w:rsid w:val="00844C40"/>
    <w:rsid w:val="00845C20"/>
    <w:rsid w:val="00845C7A"/>
    <w:rsid w:val="00846692"/>
    <w:rsid w:val="00850374"/>
    <w:rsid w:val="00850A60"/>
    <w:rsid w:val="00851BA3"/>
    <w:rsid w:val="008521AB"/>
    <w:rsid w:val="00856BF5"/>
    <w:rsid w:val="0085770B"/>
    <w:rsid w:val="008577B0"/>
    <w:rsid w:val="00857DAA"/>
    <w:rsid w:val="0086151F"/>
    <w:rsid w:val="0086254F"/>
    <w:rsid w:val="00866D64"/>
    <w:rsid w:val="00867522"/>
    <w:rsid w:val="00872CCB"/>
    <w:rsid w:val="0087537E"/>
    <w:rsid w:val="008851A3"/>
    <w:rsid w:val="0089108F"/>
    <w:rsid w:val="008935F5"/>
    <w:rsid w:val="008950B5"/>
    <w:rsid w:val="008961E6"/>
    <w:rsid w:val="0089765D"/>
    <w:rsid w:val="008978F4"/>
    <w:rsid w:val="00897E85"/>
    <w:rsid w:val="008A2D2F"/>
    <w:rsid w:val="008A56E7"/>
    <w:rsid w:val="008B16A2"/>
    <w:rsid w:val="008B1ECE"/>
    <w:rsid w:val="008B44C4"/>
    <w:rsid w:val="008B7736"/>
    <w:rsid w:val="008C05E8"/>
    <w:rsid w:val="008C5E17"/>
    <w:rsid w:val="008C6783"/>
    <w:rsid w:val="008D1BD9"/>
    <w:rsid w:val="008D1DE1"/>
    <w:rsid w:val="008D2D01"/>
    <w:rsid w:val="008D3718"/>
    <w:rsid w:val="008D7987"/>
    <w:rsid w:val="008E1085"/>
    <w:rsid w:val="008E1156"/>
    <w:rsid w:val="008E12DE"/>
    <w:rsid w:val="008E3896"/>
    <w:rsid w:val="008E517B"/>
    <w:rsid w:val="008E5CB6"/>
    <w:rsid w:val="008E7FAE"/>
    <w:rsid w:val="00900319"/>
    <w:rsid w:val="00901775"/>
    <w:rsid w:val="00902691"/>
    <w:rsid w:val="00902AEA"/>
    <w:rsid w:val="00905D07"/>
    <w:rsid w:val="00911ACA"/>
    <w:rsid w:val="00911BF7"/>
    <w:rsid w:val="009158FA"/>
    <w:rsid w:val="00920159"/>
    <w:rsid w:val="00920F10"/>
    <w:rsid w:val="00922127"/>
    <w:rsid w:val="00931472"/>
    <w:rsid w:val="00931BEB"/>
    <w:rsid w:val="00933E22"/>
    <w:rsid w:val="009360D3"/>
    <w:rsid w:val="009367B7"/>
    <w:rsid w:val="00942D8D"/>
    <w:rsid w:val="009434EC"/>
    <w:rsid w:val="0094723C"/>
    <w:rsid w:val="00951BBA"/>
    <w:rsid w:val="009556EA"/>
    <w:rsid w:val="00957766"/>
    <w:rsid w:val="0095797A"/>
    <w:rsid w:val="00960B6C"/>
    <w:rsid w:val="009610A9"/>
    <w:rsid w:val="00965D2A"/>
    <w:rsid w:val="0096688F"/>
    <w:rsid w:val="009668E0"/>
    <w:rsid w:val="009706A4"/>
    <w:rsid w:val="00970717"/>
    <w:rsid w:val="009716FC"/>
    <w:rsid w:val="00972698"/>
    <w:rsid w:val="00973CDA"/>
    <w:rsid w:val="00977EC8"/>
    <w:rsid w:val="00980BCB"/>
    <w:rsid w:val="0098254C"/>
    <w:rsid w:val="00982E55"/>
    <w:rsid w:val="00982FCF"/>
    <w:rsid w:val="00983114"/>
    <w:rsid w:val="00991E5D"/>
    <w:rsid w:val="00992897"/>
    <w:rsid w:val="00992F22"/>
    <w:rsid w:val="00993A3A"/>
    <w:rsid w:val="009956B8"/>
    <w:rsid w:val="009A071F"/>
    <w:rsid w:val="009A4438"/>
    <w:rsid w:val="009A5312"/>
    <w:rsid w:val="009A5C2F"/>
    <w:rsid w:val="009A73D5"/>
    <w:rsid w:val="009B2786"/>
    <w:rsid w:val="009B614C"/>
    <w:rsid w:val="009B6CF8"/>
    <w:rsid w:val="009C023B"/>
    <w:rsid w:val="009C1F96"/>
    <w:rsid w:val="009C3871"/>
    <w:rsid w:val="009C74D5"/>
    <w:rsid w:val="009D0AF1"/>
    <w:rsid w:val="009D0C02"/>
    <w:rsid w:val="009D320C"/>
    <w:rsid w:val="009D3A8C"/>
    <w:rsid w:val="009E26BC"/>
    <w:rsid w:val="009E2DAC"/>
    <w:rsid w:val="009E38EF"/>
    <w:rsid w:val="009E41A7"/>
    <w:rsid w:val="009E7956"/>
    <w:rsid w:val="009E79B0"/>
    <w:rsid w:val="009E7F13"/>
    <w:rsid w:val="009F1284"/>
    <w:rsid w:val="009F4509"/>
    <w:rsid w:val="009F7FA2"/>
    <w:rsid w:val="00A0278B"/>
    <w:rsid w:val="00A02824"/>
    <w:rsid w:val="00A041B2"/>
    <w:rsid w:val="00A074FC"/>
    <w:rsid w:val="00A07845"/>
    <w:rsid w:val="00A078E2"/>
    <w:rsid w:val="00A1534D"/>
    <w:rsid w:val="00A21DAE"/>
    <w:rsid w:val="00A23ED2"/>
    <w:rsid w:val="00A2492E"/>
    <w:rsid w:val="00A26B56"/>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60C38"/>
    <w:rsid w:val="00A62417"/>
    <w:rsid w:val="00A70D54"/>
    <w:rsid w:val="00A72211"/>
    <w:rsid w:val="00A7254B"/>
    <w:rsid w:val="00A75024"/>
    <w:rsid w:val="00A76E67"/>
    <w:rsid w:val="00A815F3"/>
    <w:rsid w:val="00A91546"/>
    <w:rsid w:val="00A95411"/>
    <w:rsid w:val="00A96D45"/>
    <w:rsid w:val="00A9724C"/>
    <w:rsid w:val="00A97522"/>
    <w:rsid w:val="00AA44A9"/>
    <w:rsid w:val="00AA68C5"/>
    <w:rsid w:val="00AB0E52"/>
    <w:rsid w:val="00AB547F"/>
    <w:rsid w:val="00AC211C"/>
    <w:rsid w:val="00AC67A1"/>
    <w:rsid w:val="00AC6EC7"/>
    <w:rsid w:val="00AC7977"/>
    <w:rsid w:val="00AD020C"/>
    <w:rsid w:val="00AD051F"/>
    <w:rsid w:val="00AD102D"/>
    <w:rsid w:val="00AD3A60"/>
    <w:rsid w:val="00AD5DEF"/>
    <w:rsid w:val="00AE2D3B"/>
    <w:rsid w:val="00AE352C"/>
    <w:rsid w:val="00AF7202"/>
    <w:rsid w:val="00B00829"/>
    <w:rsid w:val="00B0583F"/>
    <w:rsid w:val="00B07702"/>
    <w:rsid w:val="00B10104"/>
    <w:rsid w:val="00B15353"/>
    <w:rsid w:val="00B15587"/>
    <w:rsid w:val="00B226FD"/>
    <w:rsid w:val="00B232A7"/>
    <w:rsid w:val="00B24C5A"/>
    <w:rsid w:val="00B26115"/>
    <w:rsid w:val="00B32E2D"/>
    <w:rsid w:val="00B357DD"/>
    <w:rsid w:val="00B36C1B"/>
    <w:rsid w:val="00B40C3F"/>
    <w:rsid w:val="00B45986"/>
    <w:rsid w:val="00B46AB9"/>
    <w:rsid w:val="00B51150"/>
    <w:rsid w:val="00B550D2"/>
    <w:rsid w:val="00B56BF1"/>
    <w:rsid w:val="00B57E96"/>
    <w:rsid w:val="00B61990"/>
    <w:rsid w:val="00B65E66"/>
    <w:rsid w:val="00B662C4"/>
    <w:rsid w:val="00B662DE"/>
    <w:rsid w:val="00B66988"/>
    <w:rsid w:val="00B7080F"/>
    <w:rsid w:val="00B734E9"/>
    <w:rsid w:val="00B76AAA"/>
    <w:rsid w:val="00B819DA"/>
    <w:rsid w:val="00B82976"/>
    <w:rsid w:val="00B848CA"/>
    <w:rsid w:val="00B865C8"/>
    <w:rsid w:val="00B91C88"/>
    <w:rsid w:val="00B92085"/>
    <w:rsid w:val="00B94FC3"/>
    <w:rsid w:val="00B95B90"/>
    <w:rsid w:val="00B97ECE"/>
    <w:rsid w:val="00BA3214"/>
    <w:rsid w:val="00BA639E"/>
    <w:rsid w:val="00BB5049"/>
    <w:rsid w:val="00BC0C23"/>
    <w:rsid w:val="00BD056C"/>
    <w:rsid w:val="00BD149D"/>
    <w:rsid w:val="00BD3F6A"/>
    <w:rsid w:val="00BD454A"/>
    <w:rsid w:val="00BD5208"/>
    <w:rsid w:val="00BD5558"/>
    <w:rsid w:val="00BE49FA"/>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15CF0"/>
    <w:rsid w:val="00C24FAE"/>
    <w:rsid w:val="00C261F8"/>
    <w:rsid w:val="00C30C3C"/>
    <w:rsid w:val="00C32229"/>
    <w:rsid w:val="00C327E6"/>
    <w:rsid w:val="00C33100"/>
    <w:rsid w:val="00C333AE"/>
    <w:rsid w:val="00C33CC2"/>
    <w:rsid w:val="00C35261"/>
    <w:rsid w:val="00C359EF"/>
    <w:rsid w:val="00C35BA7"/>
    <w:rsid w:val="00C37652"/>
    <w:rsid w:val="00C447E6"/>
    <w:rsid w:val="00C506B1"/>
    <w:rsid w:val="00C51F12"/>
    <w:rsid w:val="00C63378"/>
    <w:rsid w:val="00C64110"/>
    <w:rsid w:val="00C6748A"/>
    <w:rsid w:val="00C677CA"/>
    <w:rsid w:val="00C7390D"/>
    <w:rsid w:val="00C77339"/>
    <w:rsid w:val="00C8061B"/>
    <w:rsid w:val="00C81FB2"/>
    <w:rsid w:val="00C840B8"/>
    <w:rsid w:val="00C86FCB"/>
    <w:rsid w:val="00C90A26"/>
    <w:rsid w:val="00C90BCE"/>
    <w:rsid w:val="00C9100D"/>
    <w:rsid w:val="00C911FE"/>
    <w:rsid w:val="00C936FB"/>
    <w:rsid w:val="00C952B5"/>
    <w:rsid w:val="00CA0680"/>
    <w:rsid w:val="00CA0FA5"/>
    <w:rsid w:val="00CA761A"/>
    <w:rsid w:val="00CB056B"/>
    <w:rsid w:val="00CB7CDD"/>
    <w:rsid w:val="00CC4C6E"/>
    <w:rsid w:val="00CC7578"/>
    <w:rsid w:val="00CD1138"/>
    <w:rsid w:val="00CD142F"/>
    <w:rsid w:val="00CD1A71"/>
    <w:rsid w:val="00CD1A91"/>
    <w:rsid w:val="00CD1FBB"/>
    <w:rsid w:val="00CD2641"/>
    <w:rsid w:val="00CE0AD8"/>
    <w:rsid w:val="00CE0BE3"/>
    <w:rsid w:val="00CE1820"/>
    <w:rsid w:val="00CE410C"/>
    <w:rsid w:val="00CE423F"/>
    <w:rsid w:val="00CE49A7"/>
    <w:rsid w:val="00CE4E90"/>
    <w:rsid w:val="00CE5D3F"/>
    <w:rsid w:val="00CF3E49"/>
    <w:rsid w:val="00CF3F0B"/>
    <w:rsid w:val="00CF441F"/>
    <w:rsid w:val="00CF6852"/>
    <w:rsid w:val="00D016B5"/>
    <w:rsid w:val="00D034F1"/>
    <w:rsid w:val="00D111D2"/>
    <w:rsid w:val="00D17B51"/>
    <w:rsid w:val="00D21E76"/>
    <w:rsid w:val="00D221E8"/>
    <w:rsid w:val="00D226B0"/>
    <w:rsid w:val="00D27D5E"/>
    <w:rsid w:val="00D305FA"/>
    <w:rsid w:val="00D312E0"/>
    <w:rsid w:val="00D33FED"/>
    <w:rsid w:val="00D353A3"/>
    <w:rsid w:val="00D35474"/>
    <w:rsid w:val="00D41E38"/>
    <w:rsid w:val="00D421D5"/>
    <w:rsid w:val="00D45FE8"/>
    <w:rsid w:val="00D46107"/>
    <w:rsid w:val="00D52C2D"/>
    <w:rsid w:val="00D53F01"/>
    <w:rsid w:val="00D60F02"/>
    <w:rsid w:val="00D6216C"/>
    <w:rsid w:val="00D6244B"/>
    <w:rsid w:val="00D6735F"/>
    <w:rsid w:val="00D72E30"/>
    <w:rsid w:val="00D74AB5"/>
    <w:rsid w:val="00D852C7"/>
    <w:rsid w:val="00D85D80"/>
    <w:rsid w:val="00D87061"/>
    <w:rsid w:val="00D87E73"/>
    <w:rsid w:val="00D95F3C"/>
    <w:rsid w:val="00D966F5"/>
    <w:rsid w:val="00D97698"/>
    <w:rsid w:val="00D97E91"/>
    <w:rsid w:val="00DA2DF0"/>
    <w:rsid w:val="00DA6CFE"/>
    <w:rsid w:val="00DA6EAC"/>
    <w:rsid w:val="00DA77EF"/>
    <w:rsid w:val="00DB4351"/>
    <w:rsid w:val="00DB6A9B"/>
    <w:rsid w:val="00DB7740"/>
    <w:rsid w:val="00DB7B5E"/>
    <w:rsid w:val="00DD1250"/>
    <w:rsid w:val="00DD2442"/>
    <w:rsid w:val="00DD3001"/>
    <w:rsid w:val="00DD36E6"/>
    <w:rsid w:val="00DD5BD4"/>
    <w:rsid w:val="00DD7499"/>
    <w:rsid w:val="00DE1D7B"/>
    <w:rsid w:val="00DE1F72"/>
    <w:rsid w:val="00DE3D18"/>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3149C"/>
    <w:rsid w:val="00E324C0"/>
    <w:rsid w:val="00E3532A"/>
    <w:rsid w:val="00E43447"/>
    <w:rsid w:val="00E443A7"/>
    <w:rsid w:val="00E60F18"/>
    <w:rsid w:val="00E64052"/>
    <w:rsid w:val="00E65F32"/>
    <w:rsid w:val="00E70B2E"/>
    <w:rsid w:val="00E70E38"/>
    <w:rsid w:val="00E71C07"/>
    <w:rsid w:val="00E7557C"/>
    <w:rsid w:val="00E81BFF"/>
    <w:rsid w:val="00E81E94"/>
    <w:rsid w:val="00E82607"/>
    <w:rsid w:val="00E84D05"/>
    <w:rsid w:val="00E93B06"/>
    <w:rsid w:val="00E93FDF"/>
    <w:rsid w:val="00E96036"/>
    <w:rsid w:val="00E97647"/>
    <w:rsid w:val="00EA0411"/>
    <w:rsid w:val="00EA151B"/>
    <w:rsid w:val="00EB56E1"/>
    <w:rsid w:val="00EB5F0C"/>
    <w:rsid w:val="00EC22AC"/>
    <w:rsid w:val="00EC3C7A"/>
    <w:rsid w:val="00EC5AFA"/>
    <w:rsid w:val="00EC70C8"/>
    <w:rsid w:val="00ED33CD"/>
    <w:rsid w:val="00ED3A2F"/>
    <w:rsid w:val="00EE0243"/>
    <w:rsid w:val="00EE09DD"/>
    <w:rsid w:val="00EE2281"/>
    <w:rsid w:val="00EE34B1"/>
    <w:rsid w:val="00EF486A"/>
    <w:rsid w:val="00EF4D90"/>
    <w:rsid w:val="00EF52B3"/>
    <w:rsid w:val="00F12C72"/>
    <w:rsid w:val="00F12F57"/>
    <w:rsid w:val="00F15029"/>
    <w:rsid w:val="00F169B6"/>
    <w:rsid w:val="00F224AF"/>
    <w:rsid w:val="00F25563"/>
    <w:rsid w:val="00F26011"/>
    <w:rsid w:val="00F26F19"/>
    <w:rsid w:val="00F27C60"/>
    <w:rsid w:val="00F3492A"/>
    <w:rsid w:val="00F40079"/>
    <w:rsid w:val="00F411F3"/>
    <w:rsid w:val="00F443E1"/>
    <w:rsid w:val="00F4615A"/>
    <w:rsid w:val="00F477B6"/>
    <w:rsid w:val="00F50C27"/>
    <w:rsid w:val="00F53F4D"/>
    <w:rsid w:val="00F54844"/>
    <w:rsid w:val="00F606B3"/>
    <w:rsid w:val="00F67E8B"/>
    <w:rsid w:val="00F711FD"/>
    <w:rsid w:val="00F8202D"/>
    <w:rsid w:val="00F857A4"/>
    <w:rsid w:val="00F859C9"/>
    <w:rsid w:val="00F8604F"/>
    <w:rsid w:val="00F94377"/>
    <w:rsid w:val="00FA4265"/>
    <w:rsid w:val="00FA5A79"/>
    <w:rsid w:val="00FB018B"/>
    <w:rsid w:val="00FB04F3"/>
    <w:rsid w:val="00FB0637"/>
    <w:rsid w:val="00FB0BFE"/>
    <w:rsid w:val="00FB4C51"/>
    <w:rsid w:val="00FB54EF"/>
    <w:rsid w:val="00FB5C69"/>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4B09EC59"/>
  <w15:docId w15:val="{01D48A8C-68A2-49F4-873E-E82AEF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CD2641"/>
    <w:pPr>
      <w:keepNext/>
      <w:keepLines/>
      <w:numPr>
        <w:numId w:val="13"/>
      </w:numPr>
      <w:spacing w:after="0" w:line="240" w:lineRule="auto"/>
      <w:ind w:right="0"/>
      <w:jc w:val="left"/>
      <w:outlineLvl w:val="0"/>
    </w:pPr>
  </w:style>
  <w:style w:type="paragraph" w:styleId="Heading2">
    <w:name w:val="heading 2"/>
    <w:basedOn w:val="Normal"/>
    <w:next w:val="Normal"/>
    <w:link w:val="Heading2Char"/>
    <w:qFormat/>
    <w:rsid w:val="00CD2641"/>
    <w:pPr>
      <w:numPr>
        <w:ilvl w:val="1"/>
        <w:numId w:val="13"/>
      </w:numPr>
      <w:outlineLvl w:val="1"/>
    </w:pPr>
  </w:style>
  <w:style w:type="paragraph" w:styleId="Heading3">
    <w:name w:val="heading 3"/>
    <w:basedOn w:val="Normal"/>
    <w:next w:val="Normal"/>
    <w:link w:val="Heading3Char"/>
    <w:qFormat/>
    <w:rsid w:val="00CD2641"/>
    <w:pPr>
      <w:numPr>
        <w:ilvl w:val="2"/>
        <w:numId w:val="13"/>
      </w:numPr>
      <w:outlineLvl w:val="2"/>
    </w:pPr>
  </w:style>
  <w:style w:type="paragraph" w:styleId="Heading4">
    <w:name w:val="heading 4"/>
    <w:basedOn w:val="Normal"/>
    <w:next w:val="Normal"/>
    <w:link w:val="Heading4Char"/>
    <w:qFormat/>
    <w:rsid w:val="00CD2641"/>
    <w:pPr>
      <w:numPr>
        <w:ilvl w:val="3"/>
        <w:numId w:val="13"/>
      </w:numPr>
      <w:outlineLvl w:val="3"/>
    </w:pPr>
  </w:style>
  <w:style w:type="paragraph" w:styleId="Heading5">
    <w:name w:val="heading 5"/>
    <w:basedOn w:val="Normal"/>
    <w:next w:val="Normal"/>
    <w:link w:val="Heading5Char"/>
    <w:qFormat/>
    <w:rsid w:val="00CD2641"/>
    <w:pPr>
      <w:numPr>
        <w:ilvl w:val="4"/>
        <w:numId w:val="13"/>
      </w:numPr>
      <w:outlineLvl w:val="4"/>
    </w:pPr>
  </w:style>
  <w:style w:type="paragraph" w:styleId="Heading6">
    <w:name w:val="heading 6"/>
    <w:basedOn w:val="Normal"/>
    <w:next w:val="Normal"/>
    <w:link w:val="Heading6Char"/>
    <w:qFormat/>
    <w:rsid w:val="00CD2641"/>
    <w:pPr>
      <w:numPr>
        <w:ilvl w:val="5"/>
        <w:numId w:val="13"/>
      </w:numPr>
      <w:outlineLvl w:val="5"/>
    </w:pPr>
  </w:style>
  <w:style w:type="paragraph" w:styleId="Heading7">
    <w:name w:val="heading 7"/>
    <w:basedOn w:val="Normal"/>
    <w:next w:val="Normal"/>
    <w:link w:val="Heading7Char"/>
    <w:qFormat/>
    <w:rsid w:val="00CD2641"/>
    <w:pPr>
      <w:numPr>
        <w:ilvl w:val="6"/>
        <w:numId w:val="13"/>
      </w:numPr>
      <w:outlineLvl w:val="6"/>
    </w:pPr>
  </w:style>
  <w:style w:type="paragraph" w:styleId="Heading8">
    <w:name w:val="heading 8"/>
    <w:basedOn w:val="Normal"/>
    <w:next w:val="Normal"/>
    <w:link w:val="Heading8Char"/>
    <w:qFormat/>
    <w:rsid w:val="00CD2641"/>
    <w:pPr>
      <w:numPr>
        <w:ilvl w:val="7"/>
        <w:numId w:val="13"/>
      </w:numPr>
      <w:outlineLvl w:val="7"/>
    </w:pPr>
  </w:style>
  <w:style w:type="paragraph" w:styleId="Heading9">
    <w:name w:val="heading 9"/>
    <w:basedOn w:val="Normal"/>
    <w:next w:val="Normal"/>
    <w:link w:val="Heading9Char"/>
    <w:qFormat/>
    <w:rsid w:val="00CD2641"/>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4_GR"/>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qFormat/>
    <w:rsid w:val="00CD2641"/>
    <w:rPr>
      <w:rFonts w:ascii="Times New Roman" w:hAnsi="Times New Roman"/>
      <w:sz w:val="18"/>
      <w:vertAlign w:val="superscript"/>
      <w:lang w:val="fr-CH"/>
    </w:rPr>
  </w:style>
  <w:style w:type="paragraph" w:styleId="Header">
    <w:name w:val="header"/>
    <w:aliases w:val="6_G"/>
    <w:basedOn w:val="Normal"/>
    <w:next w:val="Normal"/>
    <w:link w:val="HeaderChar"/>
    <w:qFormat/>
    <w:rsid w:val="00CD2641"/>
    <w:pPr>
      <w:pBdr>
        <w:bottom w:val="single" w:sz="4" w:space="4" w:color="auto"/>
      </w:pBdr>
      <w:spacing w:line="240" w:lineRule="auto"/>
    </w:pPr>
    <w:rPr>
      <w:b/>
      <w:sz w:val="18"/>
    </w:rPr>
  </w:style>
  <w:style w:type="paragraph" w:styleId="FootnoteText">
    <w:name w:val="footnote text"/>
    <w:aliases w:val="5_G,5_GR"/>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D2641"/>
  </w:style>
  <w:style w:type="character" w:styleId="PageNumber">
    <w:name w:val="page number"/>
    <w:aliases w:val="7_G"/>
    <w:basedOn w:val="DefaultParagraphFont"/>
    <w:qFormat/>
    <w:rsid w:val="00CD2641"/>
    <w:rPr>
      <w:rFonts w:ascii="Times New Roman" w:hAnsi="Times New Roman"/>
      <w:b/>
      <w:sz w:val="18"/>
      <w:lang w:val="fr-CH"/>
    </w:rPr>
  </w:style>
  <w:style w:type="paragraph" w:styleId="Footer">
    <w:name w:val="footer"/>
    <w:aliases w:val="3_G"/>
    <w:basedOn w:val="Normal"/>
    <w:next w:val="Normal"/>
    <w:link w:val="FooterChar"/>
    <w:qFormat/>
    <w:rsid w:val="00CD2641"/>
    <w:pPr>
      <w:spacing w:line="240" w:lineRule="auto"/>
    </w:pPr>
    <w:rPr>
      <w:sz w:val="16"/>
    </w:rPr>
  </w:style>
  <w:style w:type="character" w:styleId="Hyperlink">
    <w:name w:val="Hyperlink"/>
    <w:basedOn w:val="DefaultParagraphFont"/>
    <w:rsid w:val="00CD2641"/>
    <w:rPr>
      <w:color w:val="auto"/>
      <w:u w:val="none"/>
    </w:rPr>
  </w:style>
  <w:style w:type="character" w:styleId="FollowedHyperlink">
    <w:name w:val="FollowedHyperlink"/>
    <w:basedOn w:val="DefaultParagraphFont"/>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rsid w:val="00196C06"/>
    <w:rPr>
      <w:lang w:val="fr-CH" w:eastAsia="en-US"/>
    </w:rPr>
  </w:style>
  <w:style w:type="character" w:customStyle="1" w:styleId="Heading2Char">
    <w:name w:val="Heading 2 Char"/>
    <w:basedOn w:val="DefaultParagraphFont"/>
    <w:link w:val="Heading2"/>
    <w:rsid w:val="00196C06"/>
    <w:rPr>
      <w:lang w:val="fr-CH" w:eastAsia="en-US"/>
    </w:rPr>
  </w:style>
  <w:style w:type="character" w:customStyle="1" w:styleId="Heading3Char">
    <w:name w:val="Heading 3 Char"/>
    <w:basedOn w:val="DefaultParagraphFont"/>
    <w:link w:val="Heading3"/>
    <w:rsid w:val="00196C06"/>
    <w:rPr>
      <w:lang w:val="fr-CH" w:eastAsia="en-US"/>
    </w:rPr>
  </w:style>
  <w:style w:type="character" w:customStyle="1" w:styleId="Heading4Char">
    <w:name w:val="Heading 4 Char"/>
    <w:basedOn w:val="DefaultParagraphFont"/>
    <w:link w:val="Heading4"/>
    <w:rsid w:val="00196C06"/>
    <w:rPr>
      <w:lang w:val="fr-CH" w:eastAsia="en-US"/>
    </w:rPr>
  </w:style>
  <w:style w:type="character" w:customStyle="1" w:styleId="Heading5Char">
    <w:name w:val="Heading 5 Char"/>
    <w:basedOn w:val="DefaultParagraphFont"/>
    <w:link w:val="Heading5"/>
    <w:rsid w:val="00196C06"/>
    <w:rPr>
      <w:lang w:val="fr-CH" w:eastAsia="en-US"/>
    </w:rPr>
  </w:style>
  <w:style w:type="character" w:customStyle="1" w:styleId="Heading6Char">
    <w:name w:val="Heading 6 Char"/>
    <w:basedOn w:val="DefaultParagraphFont"/>
    <w:link w:val="Heading6"/>
    <w:rsid w:val="00196C06"/>
    <w:rPr>
      <w:lang w:val="fr-CH" w:eastAsia="en-US"/>
    </w:rPr>
  </w:style>
  <w:style w:type="character" w:customStyle="1" w:styleId="Heading7Char">
    <w:name w:val="Heading 7 Char"/>
    <w:basedOn w:val="DefaultParagraphFont"/>
    <w:link w:val="Heading7"/>
    <w:rsid w:val="00196C06"/>
    <w:rPr>
      <w:lang w:val="fr-CH" w:eastAsia="en-US"/>
    </w:rPr>
  </w:style>
  <w:style w:type="character" w:customStyle="1" w:styleId="Heading8Char">
    <w:name w:val="Heading 8 Char"/>
    <w:basedOn w:val="DefaultParagraphFont"/>
    <w:link w:val="Heading8"/>
    <w:rsid w:val="00196C06"/>
    <w:rPr>
      <w:lang w:val="fr-CH" w:eastAsia="en-US"/>
    </w:rPr>
  </w:style>
  <w:style w:type="character" w:customStyle="1" w:styleId="Heading9Char">
    <w:name w:val="Heading 9 Char"/>
    <w:basedOn w:val="DefaultParagraphFont"/>
    <w:link w:val="Heading9"/>
    <w:rsid w:val="00196C06"/>
    <w:rPr>
      <w:lang w:val="fr-CH" w:eastAsia="en-US"/>
    </w:rPr>
  </w:style>
  <w:style w:type="character" w:customStyle="1" w:styleId="HeaderChar">
    <w:name w:val="Header Char"/>
    <w:aliases w:val="6_G Char"/>
    <w:basedOn w:val="DefaultParagraphFont"/>
    <w:link w:val="Header"/>
    <w:rsid w:val="00196C06"/>
    <w:rPr>
      <w:b/>
      <w:sz w:val="18"/>
      <w:lang w:val="fr-CH" w:eastAsia="en-US"/>
    </w:rPr>
  </w:style>
  <w:style w:type="character" w:customStyle="1" w:styleId="FootnoteTextChar">
    <w:name w:val="Footnote Text Char"/>
    <w:aliases w:val="5_G Char,5_GR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uiPriority w:val="99"/>
    <w:rsid w:val="00196C06"/>
  </w:style>
  <w:style w:type="character" w:customStyle="1" w:styleId="CommentTextChar">
    <w:name w:val="Comment Text Char"/>
    <w:basedOn w:val="DefaultParagraphFont"/>
    <w:link w:val="CommentText"/>
    <w:uiPriority w:val="99"/>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uiPriority w:val="99"/>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unhideWhenUsed/>
    <w:rsid w:val="00DE6605"/>
    <w:pPr>
      <w:spacing w:after="120"/>
      <w:ind w:left="360"/>
    </w:pPr>
    <w:rPr>
      <w:sz w:val="16"/>
      <w:szCs w:val="16"/>
    </w:rPr>
  </w:style>
  <w:style w:type="character" w:customStyle="1" w:styleId="BodyTextIndent3Char">
    <w:name w:val="Body Text Indent 3 Char"/>
    <w:basedOn w:val="DefaultParagraphFont"/>
    <w:link w:val="BodyTextIndent3"/>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HTMLPreformatted">
    <w:name w:val="HTML Preformatted"/>
    <w:basedOn w:val="Normal"/>
    <w:link w:val="HTMLPreformattedChar"/>
    <w:uiPriority w:val="99"/>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6A0096"/>
    <w:rPr>
      <w:rFonts w:ascii="Courier New" w:hAnsi="Courier New" w:cs="Courier New"/>
    </w:rPr>
  </w:style>
  <w:style w:type="paragraph" w:styleId="PlainText">
    <w:name w:val="Plain Text"/>
    <w:basedOn w:val="Normal"/>
    <w:link w:val="PlainTextChar"/>
    <w:rsid w:val="002F42AA"/>
    <w:rPr>
      <w:rFonts w:cs="Courier New"/>
      <w:lang w:val="en-GB"/>
    </w:rPr>
  </w:style>
  <w:style w:type="character" w:customStyle="1" w:styleId="PlainTextChar">
    <w:name w:val="Plain Text Char"/>
    <w:basedOn w:val="DefaultParagraphFont"/>
    <w:link w:val="PlainText"/>
    <w:rsid w:val="002F42AA"/>
    <w:rPr>
      <w:rFonts w:cs="Courier New"/>
      <w:lang w:eastAsia="en-US"/>
    </w:rPr>
  </w:style>
  <w:style w:type="paragraph" w:styleId="BodyText">
    <w:name w:val="Body Text"/>
    <w:basedOn w:val="Normal"/>
    <w:next w:val="Normal"/>
    <w:link w:val="BodyTextChar"/>
    <w:rsid w:val="002F42AA"/>
    <w:rPr>
      <w:lang w:val="en-GB"/>
    </w:rPr>
  </w:style>
  <w:style w:type="character" w:customStyle="1" w:styleId="BodyTextChar">
    <w:name w:val="Body Text Char"/>
    <w:basedOn w:val="DefaultParagraphFont"/>
    <w:link w:val="BodyText"/>
    <w:rsid w:val="002F42AA"/>
    <w:rPr>
      <w:lang w:eastAsia="en-US"/>
    </w:rPr>
  </w:style>
  <w:style w:type="paragraph" w:styleId="BlockText">
    <w:name w:val="Block Text"/>
    <w:basedOn w:val="Normal"/>
    <w:rsid w:val="002F42AA"/>
    <w:pPr>
      <w:ind w:left="1440" w:right="1440"/>
    </w:pPr>
    <w:rPr>
      <w:lang w:val="en-GB"/>
    </w:rPr>
  </w:style>
  <w:style w:type="character" w:styleId="LineNumber">
    <w:name w:val="line number"/>
    <w:basedOn w:val="DefaultParagraphFont"/>
    <w:rsid w:val="002F42AA"/>
    <w:rPr>
      <w:sz w:val="14"/>
    </w:rPr>
  </w:style>
  <w:style w:type="numbering" w:styleId="111111">
    <w:name w:val="Outline List 2"/>
    <w:basedOn w:val="NoList"/>
    <w:semiHidden/>
    <w:rsid w:val="002F42AA"/>
    <w:pPr>
      <w:numPr>
        <w:numId w:val="12"/>
      </w:numPr>
    </w:pPr>
  </w:style>
  <w:style w:type="numbering" w:styleId="1ai">
    <w:name w:val="Outline List 1"/>
    <w:basedOn w:val="NoList"/>
    <w:semiHidden/>
    <w:rsid w:val="002F42AA"/>
    <w:pPr>
      <w:numPr>
        <w:numId w:val="13"/>
      </w:numPr>
    </w:pPr>
  </w:style>
  <w:style w:type="numbering" w:styleId="ArticleSection">
    <w:name w:val="Outline List 3"/>
    <w:basedOn w:val="NoList"/>
    <w:semiHidden/>
    <w:rsid w:val="002F42AA"/>
    <w:pPr>
      <w:numPr>
        <w:numId w:val="14"/>
      </w:numPr>
    </w:pPr>
  </w:style>
  <w:style w:type="paragraph" w:styleId="BodyText2">
    <w:name w:val="Body Text 2"/>
    <w:basedOn w:val="Normal"/>
    <w:link w:val="BodyText2Char"/>
    <w:rsid w:val="002F42AA"/>
    <w:pPr>
      <w:spacing w:after="120" w:line="480" w:lineRule="auto"/>
    </w:pPr>
    <w:rPr>
      <w:lang w:val="en-GB"/>
    </w:rPr>
  </w:style>
  <w:style w:type="character" w:customStyle="1" w:styleId="BodyText2Char">
    <w:name w:val="Body Text 2 Char"/>
    <w:basedOn w:val="DefaultParagraphFont"/>
    <w:link w:val="BodyText2"/>
    <w:rsid w:val="002F42AA"/>
    <w:rPr>
      <w:lang w:eastAsia="en-US"/>
    </w:rPr>
  </w:style>
  <w:style w:type="paragraph" w:styleId="BodyText3">
    <w:name w:val="Body Text 3"/>
    <w:basedOn w:val="Normal"/>
    <w:link w:val="BodyText3Char"/>
    <w:rsid w:val="002F42AA"/>
    <w:pPr>
      <w:spacing w:after="120"/>
    </w:pPr>
    <w:rPr>
      <w:sz w:val="16"/>
      <w:szCs w:val="16"/>
      <w:lang w:val="en-GB"/>
    </w:rPr>
  </w:style>
  <w:style w:type="character" w:customStyle="1" w:styleId="BodyText3Char">
    <w:name w:val="Body Text 3 Char"/>
    <w:basedOn w:val="DefaultParagraphFont"/>
    <w:link w:val="BodyText3"/>
    <w:rsid w:val="002F42AA"/>
    <w:rPr>
      <w:sz w:val="16"/>
      <w:szCs w:val="16"/>
      <w:lang w:eastAsia="en-US"/>
    </w:rPr>
  </w:style>
  <w:style w:type="paragraph" w:styleId="BodyTextFirstIndent">
    <w:name w:val="Body Text First Indent"/>
    <w:basedOn w:val="BodyText"/>
    <w:link w:val="BodyTextFirstIndentChar"/>
    <w:rsid w:val="002F42AA"/>
    <w:pPr>
      <w:spacing w:after="120"/>
      <w:ind w:firstLine="210"/>
    </w:pPr>
  </w:style>
  <w:style w:type="character" w:customStyle="1" w:styleId="BodyTextFirstIndentChar">
    <w:name w:val="Body Text First Indent Char"/>
    <w:basedOn w:val="BodyTextChar"/>
    <w:link w:val="BodyTextFirstIndent"/>
    <w:rsid w:val="002F42AA"/>
    <w:rPr>
      <w:lang w:eastAsia="en-US"/>
    </w:rPr>
  </w:style>
  <w:style w:type="paragraph" w:styleId="BodyTextFirstIndent2">
    <w:name w:val="Body Text First Indent 2"/>
    <w:basedOn w:val="BodyTextIndent"/>
    <w:link w:val="BodyTextFirstIndent2Char"/>
    <w:rsid w:val="002F42AA"/>
    <w:pPr>
      <w:ind w:firstLine="210"/>
    </w:pPr>
  </w:style>
  <w:style w:type="character" w:customStyle="1" w:styleId="BodyTextFirstIndent2Char">
    <w:name w:val="Body Text First Indent 2 Char"/>
    <w:basedOn w:val="BodyTextIndentChar"/>
    <w:link w:val="BodyTextFirstIndent2"/>
    <w:rsid w:val="002F42AA"/>
    <w:rPr>
      <w:lang w:eastAsia="en-US"/>
    </w:rPr>
  </w:style>
  <w:style w:type="paragraph" w:styleId="BodyTextIndent2">
    <w:name w:val="Body Text Indent 2"/>
    <w:basedOn w:val="Normal"/>
    <w:link w:val="BodyTextIndent2Char"/>
    <w:rsid w:val="002F42AA"/>
    <w:pPr>
      <w:spacing w:after="120" w:line="480" w:lineRule="auto"/>
      <w:ind w:left="283"/>
    </w:pPr>
    <w:rPr>
      <w:lang w:val="en-GB"/>
    </w:rPr>
  </w:style>
  <w:style w:type="character" w:customStyle="1" w:styleId="BodyTextIndent2Char">
    <w:name w:val="Body Text Indent 2 Char"/>
    <w:basedOn w:val="DefaultParagraphFont"/>
    <w:link w:val="BodyTextIndent2"/>
    <w:rsid w:val="002F42AA"/>
    <w:rPr>
      <w:lang w:eastAsia="en-US"/>
    </w:rPr>
  </w:style>
  <w:style w:type="paragraph" w:styleId="Closing">
    <w:name w:val="Closing"/>
    <w:basedOn w:val="Normal"/>
    <w:link w:val="ClosingChar"/>
    <w:rsid w:val="002F42AA"/>
    <w:pPr>
      <w:ind w:left="4252"/>
    </w:pPr>
    <w:rPr>
      <w:lang w:val="en-GB"/>
    </w:rPr>
  </w:style>
  <w:style w:type="character" w:customStyle="1" w:styleId="ClosingChar">
    <w:name w:val="Closing Char"/>
    <w:basedOn w:val="DefaultParagraphFont"/>
    <w:link w:val="Closing"/>
    <w:rsid w:val="002F42AA"/>
    <w:rPr>
      <w:lang w:eastAsia="en-US"/>
    </w:rPr>
  </w:style>
  <w:style w:type="paragraph" w:styleId="Date">
    <w:name w:val="Date"/>
    <w:basedOn w:val="Normal"/>
    <w:next w:val="Normal"/>
    <w:link w:val="DateChar"/>
    <w:rsid w:val="002F42AA"/>
    <w:rPr>
      <w:lang w:val="en-GB"/>
    </w:rPr>
  </w:style>
  <w:style w:type="character" w:customStyle="1" w:styleId="DateChar">
    <w:name w:val="Date Char"/>
    <w:basedOn w:val="DefaultParagraphFont"/>
    <w:link w:val="Date"/>
    <w:rsid w:val="002F42AA"/>
    <w:rPr>
      <w:lang w:eastAsia="en-US"/>
    </w:rPr>
  </w:style>
  <w:style w:type="paragraph" w:styleId="E-mailSignature">
    <w:name w:val="E-mail Signature"/>
    <w:basedOn w:val="Normal"/>
    <w:link w:val="E-mailSignatureChar"/>
    <w:rsid w:val="002F42AA"/>
    <w:rPr>
      <w:lang w:val="en-GB"/>
    </w:rPr>
  </w:style>
  <w:style w:type="character" w:customStyle="1" w:styleId="E-mailSignatureChar">
    <w:name w:val="E-mail Signature Char"/>
    <w:basedOn w:val="DefaultParagraphFont"/>
    <w:link w:val="E-mailSignature"/>
    <w:rsid w:val="002F42AA"/>
    <w:rPr>
      <w:lang w:eastAsia="en-US"/>
    </w:rPr>
  </w:style>
  <w:style w:type="character" w:styleId="Emphasis">
    <w:name w:val="Emphasis"/>
    <w:basedOn w:val="DefaultParagraphFont"/>
    <w:qFormat/>
    <w:rsid w:val="002F42AA"/>
    <w:rPr>
      <w:i/>
      <w:iCs/>
    </w:rPr>
  </w:style>
  <w:style w:type="paragraph" w:styleId="EnvelopeReturn">
    <w:name w:val="envelope return"/>
    <w:basedOn w:val="Normal"/>
    <w:rsid w:val="002F42AA"/>
    <w:rPr>
      <w:rFonts w:ascii="Arial" w:hAnsi="Arial" w:cs="Arial"/>
      <w:lang w:val="en-GB"/>
    </w:rPr>
  </w:style>
  <w:style w:type="character" w:styleId="HTMLAcronym">
    <w:name w:val="HTML Acronym"/>
    <w:basedOn w:val="DefaultParagraphFont"/>
    <w:rsid w:val="002F42AA"/>
  </w:style>
  <w:style w:type="paragraph" w:styleId="HTMLAddress">
    <w:name w:val="HTML Address"/>
    <w:basedOn w:val="Normal"/>
    <w:link w:val="HTMLAddressChar"/>
    <w:rsid w:val="002F42AA"/>
    <w:rPr>
      <w:i/>
      <w:iCs/>
      <w:lang w:val="en-GB"/>
    </w:rPr>
  </w:style>
  <w:style w:type="character" w:customStyle="1" w:styleId="HTMLAddressChar">
    <w:name w:val="HTML Address Char"/>
    <w:basedOn w:val="DefaultParagraphFont"/>
    <w:link w:val="HTMLAddress"/>
    <w:rsid w:val="002F42AA"/>
    <w:rPr>
      <w:i/>
      <w:iCs/>
      <w:lang w:eastAsia="en-US"/>
    </w:rPr>
  </w:style>
  <w:style w:type="character" w:styleId="HTMLCite">
    <w:name w:val="HTML Cite"/>
    <w:basedOn w:val="DefaultParagraphFont"/>
    <w:rsid w:val="002F42AA"/>
    <w:rPr>
      <w:i/>
      <w:iCs/>
    </w:rPr>
  </w:style>
  <w:style w:type="character" w:styleId="HTMLCode">
    <w:name w:val="HTML Code"/>
    <w:basedOn w:val="DefaultParagraphFont"/>
    <w:rsid w:val="002F42AA"/>
    <w:rPr>
      <w:rFonts w:ascii="Courier New" w:hAnsi="Courier New" w:cs="Courier New"/>
      <w:sz w:val="20"/>
      <w:szCs w:val="20"/>
    </w:rPr>
  </w:style>
  <w:style w:type="character" w:styleId="HTMLDefinition">
    <w:name w:val="HTML Definition"/>
    <w:basedOn w:val="DefaultParagraphFont"/>
    <w:rsid w:val="002F42AA"/>
    <w:rPr>
      <w:i/>
      <w:iCs/>
    </w:rPr>
  </w:style>
  <w:style w:type="character" w:styleId="HTMLKeyboard">
    <w:name w:val="HTML Keyboard"/>
    <w:basedOn w:val="DefaultParagraphFont"/>
    <w:rsid w:val="002F42AA"/>
    <w:rPr>
      <w:rFonts w:ascii="Courier New" w:hAnsi="Courier New" w:cs="Courier New"/>
      <w:sz w:val="20"/>
      <w:szCs w:val="20"/>
    </w:rPr>
  </w:style>
  <w:style w:type="character" w:styleId="HTMLSample">
    <w:name w:val="HTML Sample"/>
    <w:basedOn w:val="DefaultParagraphFont"/>
    <w:rsid w:val="002F42AA"/>
    <w:rPr>
      <w:rFonts w:ascii="Courier New" w:hAnsi="Courier New" w:cs="Courier New"/>
    </w:rPr>
  </w:style>
  <w:style w:type="character" w:styleId="HTMLTypewriter">
    <w:name w:val="HTML Typewriter"/>
    <w:basedOn w:val="DefaultParagraphFont"/>
    <w:rsid w:val="002F42AA"/>
    <w:rPr>
      <w:rFonts w:ascii="Courier New" w:hAnsi="Courier New" w:cs="Courier New"/>
      <w:sz w:val="20"/>
      <w:szCs w:val="20"/>
    </w:rPr>
  </w:style>
  <w:style w:type="character" w:styleId="HTMLVariable">
    <w:name w:val="HTML Variable"/>
    <w:basedOn w:val="DefaultParagraphFont"/>
    <w:rsid w:val="002F42AA"/>
    <w:rPr>
      <w:i/>
      <w:iCs/>
    </w:rPr>
  </w:style>
  <w:style w:type="paragraph" w:styleId="List">
    <w:name w:val="List"/>
    <w:basedOn w:val="Normal"/>
    <w:rsid w:val="002F42AA"/>
    <w:pPr>
      <w:ind w:left="283" w:hanging="283"/>
    </w:pPr>
    <w:rPr>
      <w:lang w:val="en-GB"/>
    </w:rPr>
  </w:style>
  <w:style w:type="paragraph" w:styleId="List2">
    <w:name w:val="List 2"/>
    <w:basedOn w:val="Normal"/>
    <w:rsid w:val="002F42AA"/>
    <w:pPr>
      <w:ind w:left="566" w:hanging="283"/>
    </w:pPr>
    <w:rPr>
      <w:lang w:val="en-GB"/>
    </w:rPr>
  </w:style>
  <w:style w:type="paragraph" w:styleId="List3">
    <w:name w:val="List 3"/>
    <w:basedOn w:val="Normal"/>
    <w:rsid w:val="002F42AA"/>
    <w:pPr>
      <w:ind w:left="849" w:hanging="283"/>
    </w:pPr>
    <w:rPr>
      <w:lang w:val="en-GB"/>
    </w:rPr>
  </w:style>
  <w:style w:type="paragraph" w:styleId="List4">
    <w:name w:val="List 4"/>
    <w:basedOn w:val="Normal"/>
    <w:rsid w:val="002F42AA"/>
    <w:pPr>
      <w:ind w:left="1132" w:hanging="283"/>
    </w:pPr>
    <w:rPr>
      <w:lang w:val="en-GB"/>
    </w:rPr>
  </w:style>
  <w:style w:type="paragraph" w:styleId="List5">
    <w:name w:val="List 5"/>
    <w:basedOn w:val="Normal"/>
    <w:rsid w:val="002F42AA"/>
    <w:pPr>
      <w:ind w:left="1415" w:hanging="283"/>
    </w:pPr>
    <w:rPr>
      <w:lang w:val="en-GB"/>
    </w:rPr>
  </w:style>
  <w:style w:type="paragraph" w:styleId="ListBullet">
    <w:name w:val="List Bullet"/>
    <w:basedOn w:val="Normal"/>
    <w:rsid w:val="002F42AA"/>
    <w:pPr>
      <w:tabs>
        <w:tab w:val="num" w:pos="360"/>
      </w:tabs>
      <w:ind w:left="360" w:hanging="360"/>
    </w:pPr>
    <w:rPr>
      <w:lang w:val="en-GB"/>
    </w:rPr>
  </w:style>
  <w:style w:type="paragraph" w:styleId="ListBullet2">
    <w:name w:val="List Bullet 2"/>
    <w:basedOn w:val="Normal"/>
    <w:rsid w:val="002F42AA"/>
    <w:pPr>
      <w:tabs>
        <w:tab w:val="num" w:pos="643"/>
      </w:tabs>
      <w:ind w:left="643" w:hanging="360"/>
    </w:pPr>
    <w:rPr>
      <w:lang w:val="en-GB"/>
    </w:rPr>
  </w:style>
  <w:style w:type="paragraph" w:styleId="ListBullet3">
    <w:name w:val="List Bullet 3"/>
    <w:basedOn w:val="Normal"/>
    <w:rsid w:val="002F42AA"/>
    <w:pPr>
      <w:tabs>
        <w:tab w:val="num" w:pos="926"/>
      </w:tabs>
      <w:ind w:left="926" w:hanging="360"/>
    </w:pPr>
    <w:rPr>
      <w:lang w:val="en-GB"/>
    </w:rPr>
  </w:style>
  <w:style w:type="paragraph" w:styleId="ListBullet4">
    <w:name w:val="List Bullet 4"/>
    <w:basedOn w:val="Normal"/>
    <w:rsid w:val="002F42AA"/>
    <w:pPr>
      <w:tabs>
        <w:tab w:val="num" w:pos="1209"/>
      </w:tabs>
      <w:ind w:left="1209" w:hanging="360"/>
    </w:pPr>
    <w:rPr>
      <w:lang w:val="en-GB"/>
    </w:rPr>
  </w:style>
  <w:style w:type="paragraph" w:styleId="ListBullet5">
    <w:name w:val="List Bullet 5"/>
    <w:basedOn w:val="Normal"/>
    <w:rsid w:val="002F42AA"/>
    <w:pPr>
      <w:tabs>
        <w:tab w:val="num" w:pos="1492"/>
      </w:tabs>
      <w:ind w:left="1492" w:hanging="360"/>
    </w:pPr>
    <w:rPr>
      <w:lang w:val="en-GB"/>
    </w:rPr>
  </w:style>
  <w:style w:type="paragraph" w:styleId="ListContinue">
    <w:name w:val="List Continue"/>
    <w:basedOn w:val="Normal"/>
    <w:rsid w:val="002F42AA"/>
    <w:pPr>
      <w:spacing w:after="120"/>
      <w:ind w:left="283"/>
    </w:pPr>
    <w:rPr>
      <w:lang w:val="en-GB"/>
    </w:rPr>
  </w:style>
  <w:style w:type="paragraph" w:styleId="ListContinue2">
    <w:name w:val="List Continue 2"/>
    <w:basedOn w:val="Normal"/>
    <w:rsid w:val="002F42AA"/>
    <w:pPr>
      <w:spacing w:after="120"/>
      <w:ind w:left="566"/>
    </w:pPr>
    <w:rPr>
      <w:lang w:val="en-GB"/>
    </w:rPr>
  </w:style>
  <w:style w:type="paragraph" w:styleId="ListContinue3">
    <w:name w:val="List Continue 3"/>
    <w:basedOn w:val="Normal"/>
    <w:rsid w:val="002F42AA"/>
    <w:pPr>
      <w:spacing w:after="120"/>
      <w:ind w:left="849"/>
    </w:pPr>
    <w:rPr>
      <w:lang w:val="en-GB"/>
    </w:rPr>
  </w:style>
  <w:style w:type="paragraph" w:styleId="ListContinue4">
    <w:name w:val="List Continue 4"/>
    <w:basedOn w:val="Normal"/>
    <w:rsid w:val="002F42AA"/>
    <w:pPr>
      <w:spacing w:after="120"/>
      <w:ind w:left="1132"/>
    </w:pPr>
    <w:rPr>
      <w:lang w:val="en-GB"/>
    </w:rPr>
  </w:style>
  <w:style w:type="paragraph" w:styleId="ListContinue5">
    <w:name w:val="List Continue 5"/>
    <w:basedOn w:val="Normal"/>
    <w:rsid w:val="002F42AA"/>
    <w:pPr>
      <w:spacing w:after="120"/>
      <w:ind w:left="1415"/>
    </w:pPr>
    <w:rPr>
      <w:lang w:val="en-GB"/>
    </w:rPr>
  </w:style>
  <w:style w:type="paragraph" w:styleId="ListNumber">
    <w:name w:val="List Number"/>
    <w:basedOn w:val="Normal"/>
    <w:rsid w:val="002F42AA"/>
    <w:pPr>
      <w:tabs>
        <w:tab w:val="num" w:pos="360"/>
      </w:tabs>
      <w:ind w:left="360" w:hanging="360"/>
    </w:pPr>
    <w:rPr>
      <w:lang w:val="en-GB"/>
    </w:rPr>
  </w:style>
  <w:style w:type="paragraph" w:styleId="ListNumber2">
    <w:name w:val="List Number 2"/>
    <w:basedOn w:val="Normal"/>
    <w:rsid w:val="002F42AA"/>
    <w:pPr>
      <w:tabs>
        <w:tab w:val="num" w:pos="643"/>
      </w:tabs>
      <w:ind w:left="643" w:hanging="360"/>
    </w:pPr>
    <w:rPr>
      <w:lang w:val="en-GB"/>
    </w:rPr>
  </w:style>
  <w:style w:type="paragraph" w:styleId="ListNumber3">
    <w:name w:val="List Number 3"/>
    <w:basedOn w:val="Normal"/>
    <w:rsid w:val="002F42AA"/>
    <w:pPr>
      <w:tabs>
        <w:tab w:val="num" w:pos="926"/>
      </w:tabs>
      <w:ind w:left="926" w:hanging="360"/>
    </w:pPr>
    <w:rPr>
      <w:lang w:val="en-GB"/>
    </w:rPr>
  </w:style>
  <w:style w:type="paragraph" w:styleId="ListNumber4">
    <w:name w:val="List Number 4"/>
    <w:basedOn w:val="Normal"/>
    <w:rsid w:val="002F42AA"/>
    <w:pPr>
      <w:tabs>
        <w:tab w:val="num" w:pos="1209"/>
      </w:tabs>
      <w:ind w:left="1209" w:hanging="360"/>
    </w:pPr>
    <w:rPr>
      <w:lang w:val="en-GB"/>
    </w:rPr>
  </w:style>
  <w:style w:type="paragraph" w:styleId="ListNumber5">
    <w:name w:val="List Number 5"/>
    <w:basedOn w:val="Normal"/>
    <w:rsid w:val="002F42AA"/>
    <w:pPr>
      <w:tabs>
        <w:tab w:val="num" w:pos="1492"/>
      </w:tabs>
      <w:ind w:left="1492" w:hanging="360"/>
    </w:pPr>
    <w:rPr>
      <w:lang w:val="en-GB"/>
    </w:rPr>
  </w:style>
  <w:style w:type="paragraph" w:styleId="MessageHeader">
    <w:name w:val="Message Header"/>
    <w:basedOn w:val="Normal"/>
    <w:link w:val="MessageHeaderChar"/>
    <w:rsid w:val="002F42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2F42AA"/>
    <w:rPr>
      <w:rFonts w:ascii="Arial" w:hAnsi="Arial" w:cs="Arial"/>
      <w:sz w:val="24"/>
      <w:szCs w:val="24"/>
      <w:shd w:val="pct20" w:color="auto" w:fill="auto"/>
      <w:lang w:eastAsia="en-US"/>
    </w:rPr>
  </w:style>
  <w:style w:type="paragraph" w:styleId="NormalIndent">
    <w:name w:val="Normal Indent"/>
    <w:basedOn w:val="Normal"/>
    <w:rsid w:val="002F42AA"/>
    <w:pPr>
      <w:ind w:left="567"/>
    </w:pPr>
    <w:rPr>
      <w:lang w:val="en-GB"/>
    </w:rPr>
  </w:style>
  <w:style w:type="paragraph" w:styleId="NoteHeading">
    <w:name w:val="Note Heading"/>
    <w:basedOn w:val="Normal"/>
    <w:next w:val="Normal"/>
    <w:link w:val="NoteHeadingChar"/>
    <w:rsid w:val="002F42AA"/>
    <w:rPr>
      <w:lang w:val="en-GB"/>
    </w:rPr>
  </w:style>
  <w:style w:type="character" w:customStyle="1" w:styleId="NoteHeadingChar">
    <w:name w:val="Note Heading Char"/>
    <w:basedOn w:val="DefaultParagraphFont"/>
    <w:link w:val="NoteHeading"/>
    <w:rsid w:val="002F42AA"/>
    <w:rPr>
      <w:lang w:eastAsia="en-US"/>
    </w:rPr>
  </w:style>
  <w:style w:type="paragraph" w:styleId="Salutation">
    <w:name w:val="Salutation"/>
    <w:basedOn w:val="Normal"/>
    <w:next w:val="Normal"/>
    <w:link w:val="SalutationChar"/>
    <w:rsid w:val="002F42AA"/>
    <w:rPr>
      <w:lang w:val="en-GB"/>
    </w:rPr>
  </w:style>
  <w:style w:type="character" w:customStyle="1" w:styleId="SalutationChar">
    <w:name w:val="Salutation Char"/>
    <w:basedOn w:val="DefaultParagraphFont"/>
    <w:link w:val="Salutation"/>
    <w:rsid w:val="002F42AA"/>
    <w:rPr>
      <w:lang w:eastAsia="en-US"/>
    </w:rPr>
  </w:style>
  <w:style w:type="paragraph" w:styleId="Signature">
    <w:name w:val="Signature"/>
    <w:basedOn w:val="Normal"/>
    <w:link w:val="SignatureChar"/>
    <w:rsid w:val="002F42AA"/>
    <w:pPr>
      <w:ind w:left="4252"/>
    </w:pPr>
    <w:rPr>
      <w:lang w:val="en-GB"/>
    </w:rPr>
  </w:style>
  <w:style w:type="character" w:customStyle="1" w:styleId="SignatureChar">
    <w:name w:val="Signature Char"/>
    <w:basedOn w:val="DefaultParagraphFont"/>
    <w:link w:val="Signature"/>
    <w:rsid w:val="002F42AA"/>
    <w:rPr>
      <w:lang w:eastAsia="en-US"/>
    </w:rPr>
  </w:style>
  <w:style w:type="paragraph" w:styleId="Subtitle">
    <w:name w:val="Subtitle"/>
    <w:basedOn w:val="Normal"/>
    <w:link w:val="SubtitleChar"/>
    <w:qFormat/>
    <w:rsid w:val="002F42AA"/>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2F42AA"/>
    <w:rPr>
      <w:rFonts w:ascii="Arial" w:hAnsi="Arial" w:cs="Arial"/>
      <w:sz w:val="24"/>
      <w:szCs w:val="24"/>
      <w:lang w:eastAsia="en-US"/>
    </w:rPr>
  </w:style>
  <w:style w:type="table" w:styleId="Table3Deffects1">
    <w:name w:val="Table 3D effects 1"/>
    <w:basedOn w:val="TableNormal"/>
    <w:semiHidden/>
    <w:rsid w:val="002F42A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42A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42A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42A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42A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42A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42A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42A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42A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42A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42A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42A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42A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42A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42A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2F42A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42A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42A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42A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42A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42A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42A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42A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42A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42A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42A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42A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F42A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42A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42A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42A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F42A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F42AA"/>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F42AA"/>
    <w:rPr>
      <w:rFonts w:ascii="Arial" w:hAnsi="Arial" w:cs="Arial"/>
      <w:b/>
      <w:bCs/>
      <w:kern w:val="28"/>
      <w:sz w:val="32"/>
      <w:szCs w:val="32"/>
      <w:lang w:eastAsia="en-US"/>
    </w:rPr>
  </w:style>
  <w:style w:type="paragraph" w:styleId="EnvelopeAddress">
    <w:name w:val="envelope address"/>
    <w:basedOn w:val="Normal"/>
    <w:rsid w:val="002F42AA"/>
    <w:pPr>
      <w:framePr w:w="7920" w:h="1980" w:hRule="exact" w:hSpace="180" w:wrap="auto" w:hAnchor="page" w:xAlign="center" w:yAlign="bottom"/>
      <w:ind w:left="2880"/>
    </w:pPr>
    <w:rPr>
      <w:rFonts w:ascii="Arial" w:hAnsi="Arial" w:cs="Arial"/>
      <w:sz w:val="24"/>
      <w:szCs w:val="24"/>
      <w:lang w:val="en-GB"/>
    </w:rPr>
  </w:style>
  <w:style w:type="paragraph" w:customStyle="1" w:styleId="p1">
    <w:name w:val="p1"/>
    <w:basedOn w:val="Normal"/>
    <w:rsid w:val="002F42AA"/>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2F42AA"/>
  </w:style>
  <w:style w:type="paragraph" w:styleId="NoSpacing">
    <w:name w:val="No Spacing"/>
    <w:uiPriority w:val="1"/>
    <w:qFormat/>
    <w:rsid w:val="002F42AA"/>
    <w:rPr>
      <w:rFonts w:eastAsia="Calibri"/>
      <w:color w:val="000000"/>
      <w:sz w:val="24"/>
      <w:szCs w:val="24"/>
      <w:lang w:val="en-US" w:eastAsia="en-US"/>
    </w:rPr>
  </w:style>
  <w:style w:type="paragraph" w:customStyle="1" w:styleId="TableParagraph">
    <w:name w:val="Table Paragraph"/>
    <w:basedOn w:val="Normal"/>
    <w:uiPriority w:val="1"/>
    <w:qFormat/>
    <w:rsid w:val="002F42AA"/>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2F42AA"/>
    <w:rPr>
      <w:lang w:val="en-GB"/>
    </w:rPr>
  </w:style>
  <w:style w:type="paragraph" w:customStyle="1" w:styleId="Style1">
    <w:name w:val="Style1"/>
    <w:basedOn w:val="Normal"/>
    <w:rsid w:val="002F42AA"/>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2F42A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2F42AA"/>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2F42AA"/>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2F42AA"/>
  </w:style>
  <w:style w:type="paragraph" w:customStyle="1" w:styleId="Points">
    <w:name w:val="Points"/>
    <w:basedOn w:val="BodyText"/>
    <w:rsid w:val="002F42AA"/>
    <w:pPr>
      <w:numPr>
        <w:numId w:val="1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2F42AA"/>
    <w:pPr>
      <w:tabs>
        <w:tab w:val="num" w:pos="570"/>
      </w:tabs>
      <w:spacing w:before="60" w:after="60" w:line="280" w:lineRule="exact"/>
      <w:ind w:left="570" w:hanging="570"/>
    </w:pPr>
  </w:style>
  <w:style w:type="paragraph" w:customStyle="1" w:styleId="Tablecaption">
    <w:name w:val="Table caption"/>
    <w:basedOn w:val="BodyText"/>
    <w:rsid w:val="002F42AA"/>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2F42AA"/>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2F42AA"/>
    <w:rPr>
      <w:rFonts w:ascii="Arial" w:eastAsia="Calibri" w:hAnsi="Arial" w:cs="Arial"/>
      <w:lang w:val="en-AU" w:eastAsia="en-AU"/>
    </w:rPr>
  </w:style>
  <w:style w:type="paragraph" w:customStyle="1" w:styleId="DocList">
    <w:name w:val="DocList"/>
    <w:basedOn w:val="SingleTxtG"/>
    <w:rsid w:val="002F42AA"/>
    <w:pPr>
      <w:spacing w:after="240"/>
      <w:ind w:left="3701" w:right="1138" w:hanging="2002"/>
      <w:jc w:val="left"/>
    </w:pPr>
    <w:rPr>
      <w:i/>
      <w:lang w:val="en-US"/>
    </w:rPr>
  </w:style>
  <w:style w:type="paragraph" w:customStyle="1" w:styleId="Body1">
    <w:name w:val="Body 1"/>
    <w:rsid w:val="002F42AA"/>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2F42AA"/>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2F42AA"/>
    <w:rPr>
      <w:color w:val="605E5C"/>
      <w:shd w:val="clear" w:color="auto" w:fill="E1DFDD"/>
    </w:rPr>
  </w:style>
  <w:style w:type="table" w:customStyle="1" w:styleId="TableGrid10">
    <w:name w:val="Table Grid1"/>
    <w:basedOn w:val="TableNormal"/>
    <w:next w:val="TableGrid"/>
    <w:uiPriority w:val="39"/>
    <w:rsid w:val="002F42AA"/>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F42AA"/>
    <w:pPr>
      <w:spacing w:after="200" w:line="240" w:lineRule="auto"/>
    </w:pPr>
    <w:rPr>
      <w:i/>
      <w:iCs/>
      <w:color w:val="1F497D" w:themeColor="text2"/>
      <w:sz w:val="18"/>
      <w:szCs w:val="18"/>
      <w:lang w:val="en-US"/>
    </w:rPr>
  </w:style>
  <w:style w:type="paragraph" w:customStyle="1" w:styleId="Rom2">
    <w:name w:val="Rom2"/>
    <w:basedOn w:val="SingleTxtG"/>
    <w:semiHidden/>
    <w:rsid w:val="002F42AA"/>
    <w:pPr>
      <w:numPr>
        <w:numId w:val="22"/>
      </w:numPr>
      <w:tabs>
        <w:tab w:val="clear" w:pos="2160"/>
      </w:tabs>
      <w:ind w:left="2835" w:hanging="397"/>
    </w:pPr>
    <w:rPr>
      <w:lang w:eastAsia="fr-FR"/>
    </w:rPr>
  </w:style>
  <w:style w:type="character" w:styleId="UnresolvedMention">
    <w:name w:val="Unresolved Mention"/>
    <w:basedOn w:val="DefaultParagraphFont"/>
    <w:uiPriority w:val="99"/>
    <w:semiHidden/>
    <w:unhideWhenUsed/>
    <w:rsid w:val="002F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20978038">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CDDE-FFB0-45FC-B062-09F0ADAD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5151</TotalTime>
  <Pages>22</Pages>
  <Words>8555</Words>
  <Characters>42952</Characters>
  <Application>Microsoft Office Word</Application>
  <DocSecurity>0</DocSecurity>
  <Lines>998</Lines>
  <Paragraphs>592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50915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Marie-Claude Collet</cp:lastModifiedBy>
  <cp:revision>87</cp:revision>
  <cp:lastPrinted>2019-11-18T13:13:00Z</cp:lastPrinted>
  <dcterms:created xsi:type="dcterms:W3CDTF">2017-11-07T10:00:00Z</dcterms:created>
  <dcterms:modified xsi:type="dcterms:W3CDTF">2019-11-18T13:15:00Z</dcterms:modified>
</cp:coreProperties>
</file>