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E59FE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E82030" w14:textId="77777777" w:rsidR="002D5AAC" w:rsidRDefault="002D5AAC" w:rsidP="006645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27C9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7A3F93" w14:textId="77777777" w:rsidR="002D5AAC" w:rsidRDefault="00664588" w:rsidP="00664588">
            <w:pPr>
              <w:jc w:val="right"/>
            </w:pPr>
            <w:r w:rsidRPr="00664588">
              <w:rPr>
                <w:sz w:val="40"/>
              </w:rPr>
              <w:t>ECE</w:t>
            </w:r>
            <w:r>
              <w:t>/TRANS/WP.15/AC.2/2020/17</w:t>
            </w:r>
          </w:p>
        </w:tc>
      </w:tr>
      <w:tr w:rsidR="002D5AAC" w14:paraId="07A5CC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342E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68F65B" wp14:editId="69BFC46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F8CA9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808E79" w14:textId="77777777" w:rsidR="002D5AAC" w:rsidRDefault="006645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E6715B" w14:textId="77777777" w:rsidR="00664588" w:rsidRDefault="00664588" w:rsidP="006645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679768C7" w14:textId="77777777" w:rsidR="00664588" w:rsidRDefault="00664588" w:rsidP="006645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9B8764" w14:textId="77777777" w:rsidR="00664588" w:rsidRPr="008D53B6" w:rsidRDefault="00664588" w:rsidP="006645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AE2377" w14:textId="77777777" w:rsidR="0066458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93945F" w14:textId="77777777" w:rsidR="00664588" w:rsidRPr="00664588" w:rsidRDefault="00664588" w:rsidP="00664588">
      <w:pPr>
        <w:spacing w:before="120"/>
        <w:rPr>
          <w:sz w:val="28"/>
          <w:szCs w:val="28"/>
        </w:rPr>
      </w:pPr>
      <w:r w:rsidRPr="00664588">
        <w:rPr>
          <w:sz w:val="28"/>
          <w:szCs w:val="28"/>
        </w:rPr>
        <w:t>Комитет по внутреннему транспорту</w:t>
      </w:r>
    </w:p>
    <w:p w14:paraId="2DB0025D" w14:textId="77777777" w:rsidR="00664588" w:rsidRPr="00664588" w:rsidRDefault="00664588" w:rsidP="00664588">
      <w:pPr>
        <w:spacing w:before="120"/>
        <w:rPr>
          <w:b/>
          <w:sz w:val="24"/>
          <w:szCs w:val="24"/>
        </w:rPr>
      </w:pPr>
      <w:r w:rsidRPr="00664588">
        <w:rPr>
          <w:b/>
          <w:sz w:val="24"/>
          <w:szCs w:val="24"/>
        </w:rPr>
        <w:t>Рабочая группа по перевозкам опасных грузов</w:t>
      </w:r>
    </w:p>
    <w:p w14:paraId="54577B62" w14:textId="77777777" w:rsidR="00664588" w:rsidRPr="00664588" w:rsidRDefault="00664588" w:rsidP="00664588">
      <w:pPr>
        <w:spacing w:before="120"/>
        <w:rPr>
          <w:b/>
        </w:rPr>
      </w:pPr>
      <w:r w:rsidRPr="00664588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664588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664588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664588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664588">
        <w:rPr>
          <w:b/>
        </w:rPr>
        <w:t>(Комитет по вопросам безопасности ВОПОГ)</w:t>
      </w:r>
    </w:p>
    <w:p w14:paraId="3B253106" w14:textId="77777777" w:rsidR="00664588" w:rsidRPr="00664588" w:rsidRDefault="00664588" w:rsidP="00664588">
      <w:pPr>
        <w:spacing w:before="120"/>
        <w:rPr>
          <w:b/>
        </w:rPr>
      </w:pPr>
      <w:r w:rsidRPr="00664588">
        <w:rPr>
          <w:b/>
        </w:rPr>
        <w:t>Тридцать шестая сессия</w:t>
      </w:r>
    </w:p>
    <w:p w14:paraId="1CD68587" w14:textId="77777777" w:rsidR="00664588" w:rsidRDefault="00664588" w:rsidP="00664588">
      <w:r>
        <w:t>Женева, 27–31 января 2020 года</w:t>
      </w:r>
    </w:p>
    <w:p w14:paraId="6CCD576B" w14:textId="77777777" w:rsidR="00664588" w:rsidRDefault="00664588" w:rsidP="00664588">
      <w:r>
        <w:t>Пункт 5 b) предварительной повестки дня</w:t>
      </w:r>
    </w:p>
    <w:p w14:paraId="1C9F99BC" w14:textId="77777777" w:rsidR="00664588" w:rsidRPr="00664588" w:rsidRDefault="00664588" w:rsidP="00664588">
      <w:pPr>
        <w:rPr>
          <w:b/>
        </w:rPr>
      </w:pPr>
      <w:r w:rsidRPr="00664588">
        <w:rPr>
          <w:b/>
        </w:rPr>
        <w:t xml:space="preserve">Предложения о внесении поправок в Правила, </w:t>
      </w:r>
      <w:r>
        <w:rPr>
          <w:b/>
        </w:rPr>
        <w:br/>
      </w:r>
      <w:r w:rsidRPr="00664588">
        <w:rPr>
          <w:b/>
        </w:rPr>
        <w:t>прилагаемые к ВОПОГ: другие предложения</w:t>
      </w:r>
    </w:p>
    <w:p w14:paraId="31D9907F" w14:textId="77777777" w:rsidR="00664588" w:rsidRDefault="00664588" w:rsidP="00664588">
      <w:pPr>
        <w:pStyle w:val="HChG"/>
      </w:pPr>
      <w:r>
        <w:tab/>
      </w:r>
      <w:r>
        <w:tab/>
        <w:t>Исправления в ВОПОГ 2019 года</w:t>
      </w:r>
    </w:p>
    <w:p w14:paraId="028931C1" w14:textId="77777777" w:rsidR="00664588" w:rsidRDefault="00664588" w:rsidP="00664588">
      <w:pPr>
        <w:pStyle w:val="H1G"/>
      </w:pPr>
      <w:r>
        <w:tab/>
      </w:r>
      <w:r>
        <w:tab/>
        <w:t>Передано Рекомендованными классификационными обществами ВОПОГ</w:t>
      </w:r>
      <w:r w:rsidRPr="004E24A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E24A1">
        <w:rPr>
          <w:b w:val="0"/>
          <w:sz w:val="20"/>
        </w:rPr>
        <w:t xml:space="preserve"> </w:t>
      </w:r>
      <w:r w:rsidRPr="004E24A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64588" w:rsidRPr="00664588" w14:paraId="7E251E7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44675E1" w14:textId="77777777" w:rsidR="00664588" w:rsidRPr="00664588" w:rsidRDefault="00664588" w:rsidP="009F1EFD">
            <w:pPr>
              <w:tabs>
                <w:tab w:val="left" w:pos="255"/>
              </w:tabs>
              <w:spacing w:before="240" w:after="120"/>
              <w:ind w:right="142"/>
              <w:rPr>
                <w:rFonts w:cs="Times New Roman"/>
                <w:sz w:val="24"/>
              </w:rPr>
            </w:pPr>
            <w:r w:rsidRPr="00664588">
              <w:rPr>
                <w:rFonts w:cs="Times New Roman"/>
              </w:rPr>
              <w:tab/>
            </w:r>
            <w:r w:rsidRPr="0066458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64588" w:rsidRPr="00664588" w14:paraId="15FED75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0FABE0" w14:textId="77777777" w:rsidR="00664588" w:rsidRPr="00664588" w:rsidRDefault="00664588" w:rsidP="009F1EFD">
            <w:pPr>
              <w:tabs>
                <w:tab w:val="left" w:pos="255"/>
              </w:tabs>
              <w:spacing w:before="120" w:after="120"/>
              <w:ind w:right="142"/>
              <w:rPr>
                <w:rFonts w:eastAsia="Times New Roman" w:cs="Times New Roman"/>
                <w:szCs w:val="20"/>
              </w:rPr>
            </w:pPr>
            <w:r w:rsidRPr="00664588">
              <w:rPr>
                <w:rFonts w:eastAsia="Times New Roman" w:cs="Times New Roman"/>
                <w:szCs w:val="20"/>
              </w:rPr>
              <w:tab/>
            </w:r>
            <w:r w:rsidRPr="00664588">
              <w:rPr>
                <w:rFonts w:cs="Times New Roman"/>
                <w:b/>
                <w:szCs w:val="20"/>
              </w:rPr>
              <w:t>Справочные</w:t>
            </w:r>
            <w:r w:rsidRPr="00664588">
              <w:rPr>
                <w:rFonts w:eastAsia="Times New Roman" w:cs="Times New Roman"/>
                <w:b/>
                <w:szCs w:val="20"/>
              </w:rPr>
              <w:t xml:space="preserve"> документы</w:t>
            </w:r>
            <w:r w:rsidRPr="00664588">
              <w:rPr>
                <w:rFonts w:eastAsia="Times New Roman" w:cs="Times New Roman"/>
                <w:szCs w:val="20"/>
              </w:rPr>
              <w:t>:</w:t>
            </w:r>
            <w:r w:rsidRPr="00664588">
              <w:rPr>
                <w:rFonts w:eastAsia="Times New Roman" w:cs="Times New Roman"/>
                <w:szCs w:val="20"/>
              </w:rPr>
              <w:tab/>
            </w:r>
            <w:r w:rsidR="00A327A3" w:rsidRPr="00664588">
              <w:rPr>
                <w:rFonts w:eastAsia="Times New Roman" w:cs="Times New Roman"/>
                <w:szCs w:val="20"/>
              </w:rPr>
              <w:t xml:space="preserve">неофициальные </w:t>
            </w:r>
            <w:r w:rsidRPr="00664588">
              <w:rPr>
                <w:rFonts w:eastAsia="Times New Roman" w:cs="Times New Roman"/>
                <w:szCs w:val="20"/>
              </w:rPr>
              <w:t xml:space="preserve">документы INF.6 (Франция) и INF.13 </w:t>
            </w:r>
            <w:r>
              <w:rPr>
                <w:rFonts w:eastAsia="Times New Roman" w:cs="Times New Roman"/>
                <w:szCs w:val="20"/>
              </w:rPr>
              <w:br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 w:rsidRPr="00664588">
              <w:rPr>
                <w:rFonts w:eastAsia="Times New Roman" w:cs="Times New Roman"/>
                <w:szCs w:val="20"/>
              </w:rPr>
              <w:t xml:space="preserve">(Рекомендованные классификационные общества ВОПОГ), </w:t>
            </w:r>
            <w:r>
              <w:rPr>
                <w:rFonts w:eastAsia="Times New Roman" w:cs="Times New Roman"/>
                <w:szCs w:val="20"/>
              </w:rPr>
              <w:br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>
              <w:rPr>
                <w:rFonts w:eastAsia="Times New Roman" w:cs="Times New Roman"/>
                <w:szCs w:val="20"/>
              </w:rPr>
              <w:tab/>
            </w:r>
            <w:r w:rsidRPr="00664588">
              <w:rPr>
                <w:rFonts w:eastAsia="Times New Roman" w:cs="Times New Roman"/>
                <w:szCs w:val="20"/>
              </w:rPr>
              <w:t>представленные на тридцать пятой сессии;</w:t>
            </w:r>
          </w:p>
          <w:p w14:paraId="0141A3FE" w14:textId="77777777" w:rsidR="00664588" w:rsidRPr="00664588" w:rsidRDefault="00664588" w:rsidP="00E9191A">
            <w:pPr>
              <w:pStyle w:val="SingleTxtG"/>
              <w:ind w:left="2835" w:right="144"/>
            </w:pPr>
            <w:r w:rsidRPr="00664588">
              <w:t>ECE/TRANS/WP.15/AC.2/72, пункт 36</w:t>
            </w:r>
          </w:p>
          <w:p w14:paraId="4E3D053D" w14:textId="77777777" w:rsidR="00664588" w:rsidRPr="00664588" w:rsidRDefault="004E24A1" w:rsidP="00E9191A">
            <w:pPr>
              <w:pStyle w:val="SingleTxtG"/>
              <w:ind w:left="2835" w:right="144"/>
              <w:jc w:val="left"/>
            </w:pPr>
            <w:r>
              <w:t>«</w:t>
            </w:r>
            <w:r w:rsidR="00664588" w:rsidRPr="00664588">
              <w:t xml:space="preserve">36. Комитет по вопросам безопасности рассмотрел неофициальный документ INF.13 и принял к сведению ряд замечаний, касающихся главным образом принципов включения соответствующих переходных положений. </w:t>
            </w:r>
            <w:r w:rsidR="00E9191A">
              <w:br/>
            </w:r>
            <w:r w:rsidR="00664588" w:rsidRPr="00664588">
              <w:t>К Рекомендованным классификационным обществам ВОПОГ был обращен настоятельный призыв своевременно подготовить официальный документ для рассмотрения Комитетом на его предстоящей сессии</w:t>
            </w:r>
            <w:r>
              <w:t>»</w:t>
            </w:r>
            <w:r w:rsidR="00664588">
              <w:t>.</w:t>
            </w:r>
          </w:p>
        </w:tc>
      </w:tr>
      <w:tr w:rsidR="00664588" w:rsidRPr="00664588" w14:paraId="7CF7C9F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C9721C7" w14:textId="77777777" w:rsidR="00664588" w:rsidRPr="00664588" w:rsidRDefault="00664588" w:rsidP="00E9191A">
            <w:pPr>
              <w:ind w:right="144"/>
              <w:rPr>
                <w:rFonts w:cs="Times New Roman"/>
              </w:rPr>
            </w:pPr>
          </w:p>
        </w:tc>
      </w:tr>
    </w:tbl>
    <w:p w14:paraId="490B5674" w14:textId="77777777" w:rsidR="00664588" w:rsidRDefault="00664588" w:rsidP="00664588">
      <w:pPr>
        <w:pStyle w:val="HChG"/>
      </w:pPr>
      <w:r>
        <w:lastRenderedPageBreak/>
        <w:tab/>
      </w:r>
      <w:r>
        <w:tab/>
        <w:t>Введение</w:t>
      </w:r>
    </w:p>
    <w:p w14:paraId="53007EA0" w14:textId="77777777" w:rsidR="00664588" w:rsidRDefault="00664588" w:rsidP="008F2CF9">
      <w:pPr>
        <w:pStyle w:val="SingleTxtG"/>
      </w:pPr>
      <w:r>
        <w:t>1.</w:t>
      </w:r>
      <w:r>
        <w:tab/>
        <w:t xml:space="preserve">На семнадцатом совещании неофициальной группы Рекомендованных классификационных обществ ВОПОГ в марте 2019 года обсуждался вопрос о том, что некоторые требования ВОПОГ 2019 года в отношении толкаемых составах с танкерами, перевозящими опасные грузы, представляются неверными или не имеющими смысла для судов, входящих в такой состав. Было указано, что следует обсудить следующие подчеркнутые пункты: </w:t>
      </w:r>
      <w:proofErr w:type="gramStart"/>
      <w:r>
        <w:t>...</w:t>
      </w:r>
      <w:r w:rsidR="0090533F">
        <w:t xml:space="preserve"> </w:t>
      </w:r>
      <w:r>
        <w:t>,</w:t>
      </w:r>
      <w:proofErr w:type="gramEnd"/>
      <w:r>
        <w:t xml:space="preserve"> 9.3.3.0.1, </w:t>
      </w:r>
      <w:r w:rsidRPr="0090533F">
        <w:rPr>
          <w:u w:val="single"/>
        </w:rPr>
        <w:t>9.3.3.0.3 d)</w:t>
      </w:r>
      <w:r>
        <w:t xml:space="preserve">, 9.3.3.0.5, 9.3.3.10.1, </w:t>
      </w:r>
      <w:r w:rsidRPr="0090533F">
        <w:rPr>
          <w:u w:val="single"/>
        </w:rPr>
        <w:t>9.3.3.10.2</w:t>
      </w:r>
      <w:r>
        <w:t>, 9.3.3.10.5, ...</w:t>
      </w:r>
    </w:p>
    <w:p w14:paraId="55069BD6" w14:textId="18DDBA23" w:rsidR="00664588" w:rsidRDefault="00664588" w:rsidP="008F2CF9">
      <w:pPr>
        <w:pStyle w:val="SingleTxtG"/>
      </w:pPr>
      <w:r>
        <w:t>2.</w:t>
      </w:r>
      <w:r>
        <w:tab/>
        <w:t xml:space="preserve">Далее классификационные общества пришли к выводу о наличии некоторых проблем с переходными положениями пункта </w:t>
      </w:r>
      <w:r w:rsidR="00A20532">
        <w:t>1.6.7.2.2.2 в отношении пунктов</w:t>
      </w:r>
      <w:r w:rsidR="00A20532">
        <w:rPr>
          <w:lang w:val="en-US"/>
        </w:rPr>
        <w:t> </w:t>
      </w:r>
      <w:r>
        <w:t>7.2.2.19.3 и 7.2.2.19.4 применительно к толкаемым составам с танкерами.</w:t>
      </w:r>
    </w:p>
    <w:p w14:paraId="7995472A" w14:textId="77777777" w:rsidR="00664588" w:rsidRDefault="00664588" w:rsidP="008F2CF9">
      <w:pPr>
        <w:pStyle w:val="SingleTxtG"/>
      </w:pPr>
      <w:r>
        <w:t>3.</w:t>
      </w:r>
      <w:r>
        <w:tab/>
        <w:t>Неофициальная группа представила неофициальный документ INF.13 тридцать пятой сессии для первоначального обсуждения вопроса о дальнейшем рассмотрении этих пунктов. По итогам обсуждения, состоявшегося на тридцать пятой сессии Комитета по вопросам безопасности ВОПОГ, классификационные общества представили нижеследующие предложения.</w:t>
      </w:r>
    </w:p>
    <w:p w14:paraId="6ED82212" w14:textId="77777777" w:rsidR="00664588" w:rsidRDefault="008F2CF9" w:rsidP="008F2CF9">
      <w:pPr>
        <w:pStyle w:val="HChG"/>
      </w:pPr>
      <w:r>
        <w:tab/>
      </w:r>
      <w:r w:rsidR="00664588">
        <w:t>I.</w:t>
      </w:r>
      <w:r w:rsidR="00664588">
        <w:tab/>
      </w:r>
      <w:r w:rsidR="00664588">
        <w:tab/>
        <w:t>Толкаемые составы и счаленные группы (танкеры) – пункт 7.2.2.19.3 ВОПОГ</w:t>
      </w:r>
    </w:p>
    <w:p w14:paraId="74A00AA4" w14:textId="77777777" w:rsidR="00664588" w:rsidRDefault="00664588" w:rsidP="008F2CF9">
      <w:pPr>
        <w:pStyle w:val="SingleTxtG"/>
      </w:pPr>
      <w:r>
        <w:t>4.</w:t>
      </w:r>
      <w:r>
        <w:tab/>
        <w:t>Требуемого пункта 9.3.3.0.3 d), упомянутого в пункте 7.2.2.19.3, в ВОПОГ 2019</w:t>
      </w:r>
      <w:r w:rsidR="0090533F">
        <w:t> </w:t>
      </w:r>
      <w:r>
        <w:t>года уже нет.</w:t>
      </w:r>
    </w:p>
    <w:p w14:paraId="3AC52A64" w14:textId="77777777" w:rsidR="00664588" w:rsidRDefault="00664588" w:rsidP="008F2CF9">
      <w:pPr>
        <w:pStyle w:val="H1G"/>
      </w:pPr>
      <w:r>
        <w:tab/>
      </w:r>
      <w:r>
        <w:tab/>
        <w:t>Предложение</w:t>
      </w:r>
    </w:p>
    <w:p w14:paraId="38F81F10" w14:textId="77777777" w:rsidR="00664588" w:rsidRDefault="00664588" w:rsidP="008F2CF9">
      <w:pPr>
        <w:pStyle w:val="SingleTxtG"/>
      </w:pPr>
      <w:r>
        <w:t>5.</w:t>
      </w:r>
      <w:r>
        <w:tab/>
        <w:t xml:space="preserve">Изменить ссылку в пункте 7.2.2.19.3 на </w:t>
      </w:r>
      <w:r w:rsidR="004E24A1">
        <w:t>«</w:t>
      </w:r>
      <w:r>
        <w:t>9.3.3.0.3 – последний абзац</w:t>
      </w:r>
      <w:r w:rsidR="004E24A1">
        <w:t>»</w:t>
      </w:r>
      <w:r>
        <w:t xml:space="preserve"> в следующем издании ВОПОГ, поскольку этот абзац имеет то же содержание, что и пункт 9.3.3.0.3 d) в издании ВОПОГ 2017 года.</w:t>
      </w:r>
    </w:p>
    <w:p w14:paraId="21CC6F66" w14:textId="77777777" w:rsidR="00664588" w:rsidRDefault="00664588" w:rsidP="008F2CF9">
      <w:pPr>
        <w:pStyle w:val="H1G"/>
      </w:pPr>
      <w:r>
        <w:tab/>
      </w:r>
      <w:r>
        <w:tab/>
        <w:t>Последствия и осуществимость</w:t>
      </w:r>
    </w:p>
    <w:p w14:paraId="3ADA5394" w14:textId="77777777" w:rsidR="00664588" w:rsidRDefault="00664588" w:rsidP="008F2CF9">
      <w:pPr>
        <w:pStyle w:val="SingleTxtG"/>
      </w:pPr>
      <w:r>
        <w:t>6.</w:t>
      </w:r>
      <w:r>
        <w:tab/>
        <w:t>Комитет по вопросам безопасности мог бы обсудить вопрос о том, как поступить с этой явно формальной ошибкой, пока не вступило в силу новое издание ВОПОГ.</w:t>
      </w:r>
    </w:p>
    <w:p w14:paraId="64C51F18" w14:textId="77777777" w:rsidR="00664588" w:rsidRDefault="008F2CF9" w:rsidP="008F2CF9">
      <w:pPr>
        <w:pStyle w:val="HChG"/>
      </w:pPr>
      <w:r>
        <w:tab/>
      </w:r>
      <w:r w:rsidR="00664588">
        <w:t>II.</w:t>
      </w:r>
      <w:r w:rsidR="00664588">
        <w:tab/>
      </w:r>
      <w:r w:rsidR="00664588">
        <w:tab/>
        <w:t>Толкаемые составы и счаленные группы (танкеры) – пункт 7.2.2.19.3 ВОПОГ</w:t>
      </w:r>
    </w:p>
    <w:p w14:paraId="7946BCBF" w14:textId="77777777" w:rsidR="00664588" w:rsidRDefault="00664588" w:rsidP="008F2CF9">
      <w:pPr>
        <w:pStyle w:val="SingleTxtG"/>
      </w:pPr>
      <w:r>
        <w:t>7.</w:t>
      </w:r>
      <w:r>
        <w:tab/>
        <w:t>Предписания пункта 9.3.3.10.2, упомянутого в пункте 7.2.2.19.3, не применяются к судам, используемым для обеспечения движения, например буксирам-толкачам, поскольку этот пункт касается установки защитного комингса на высоте внешних переборок грузовых танков, а обычно такой комингс, требуемый в соответствии с пунктом 9.3.3.10.2, не может быть установлен на буксире-толкаче. На</w:t>
      </w:r>
      <w:r w:rsidR="0090533F">
        <w:t> </w:t>
      </w:r>
      <w:r>
        <w:t>таких судах отсутствуют переборки грузовых танков, и установка комингса не имеет смысла, поскольку жидкости не могут попасть непосредственно на палубу этого судна.</w:t>
      </w:r>
    </w:p>
    <w:p w14:paraId="29C3F435" w14:textId="77777777" w:rsidR="00664588" w:rsidRDefault="00664588" w:rsidP="008F2CF9">
      <w:pPr>
        <w:pStyle w:val="SingleTxtG"/>
      </w:pPr>
      <w:r>
        <w:t>8.</w:t>
      </w:r>
      <w:r>
        <w:tab/>
        <w:t>В пункте 9.3.3.10.2 ВОПОГ 2017 года регулируется высота комингсов отверстий за пределами грузового пространства:</w:t>
      </w:r>
    </w:p>
    <w:p w14:paraId="5D7C62CE" w14:textId="77777777" w:rsidR="00664588" w:rsidRDefault="004E24A1" w:rsidP="008F2CF9">
      <w:pPr>
        <w:pStyle w:val="SingleTxtG"/>
      </w:pPr>
      <w:r>
        <w:t>«</w:t>
      </w:r>
      <w:r w:rsidR="00664588">
        <w:t xml:space="preserve">За пределами грузового пространства нижняя кромка дверных проемов в боковой стенке надстроек должна находиться на высоте не менее 0,50 м над уровнем палубы, а комингсы входных люков </w:t>
      </w:r>
      <w:proofErr w:type="spellStart"/>
      <w:r w:rsidR="00664588">
        <w:t>подпалубных</w:t>
      </w:r>
      <w:proofErr w:type="spellEnd"/>
      <w:r w:rsidR="00664588">
        <w:t xml:space="preserve"> помещений – на высоте не менее 0,50 м над уровнем палубы.</w:t>
      </w:r>
    </w:p>
    <w:p w14:paraId="07E7529B" w14:textId="77777777" w:rsidR="00664588" w:rsidRDefault="00664588" w:rsidP="008F2CF9">
      <w:pPr>
        <w:pStyle w:val="SingleTxtG"/>
      </w:pPr>
      <w:r>
        <w:lastRenderedPageBreak/>
        <w:t>Это требование может не выполняться при условии, что стенка надстроек, обращенная в сторону грузового пространства, тянется от одного борта к другому и имеет двери, высота комингсов которых составляет не менее 0,50 м над уровнем палубы. Высота этой стенки должна быть не менее 2,00 м. В этом случае нижние кромки дверных проемов в боковой стенке надстроек, а также комингсы входных люков, расположенных позади этой стенки, должны находиться на высоте не менее 0,10 м над уровнем палубы. Однако комингсы дверей и входных люков машинного отделения должны находиться на высоте не менее 0,50 м</w:t>
      </w:r>
      <w:r w:rsidR="004E24A1">
        <w:t>»</w:t>
      </w:r>
      <w:r>
        <w:t>.</w:t>
      </w:r>
    </w:p>
    <w:p w14:paraId="5058A8A6" w14:textId="77777777" w:rsidR="00664588" w:rsidRDefault="00664588" w:rsidP="008F2CF9">
      <w:pPr>
        <w:pStyle w:val="SingleTxtG"/>
      </w:pPr>
      <w:r>
        <w:t>9.</w:t>
      </w:r>
      <w:r>
        <w:tab/>
        <w:t>Аналогичного пункта в ВОПОГ 2019 года не существует, однако вышеупомянутые требования частично содержатся в пункте 9.3.3.10.4 ВОПОГ 2019</w:t>
      </w:r>
      <w:r w:rsidR="004E24A1">
        <w:t> </w:t>
      </w:r>
      <w:r>
        <w:t>года:</w:t>
      </w:r>
    </w:p>
    <w:p w14:paraId="744AC5D0" w14:textId="77777777" w:rsidR="00664588" w:rsidRDefault="004E24A1" w:rsidP="008F2CF9">
      <w:pPr>
        <w:pStyle w:val="SingleTxtG"/>
      </w:pPr>
      <w:r>
        <w:t>«</w:t>
      </w:r>
      <w:r w:rsidR="00664588">
        <w:t xml:space="preserve">На палубе нижние кромки дверных проемов в боковых стенках надстроек и комингсы входных люков и вентиляционных отверстий </w:t>
      </w:r>
      <w:proofErr w:type="spellStart"/>
      <w:r w:rsidR="00664588">
        <w:t>подпалубных</w:t>
      </w:r>
      <w:proofErr w:type="spellEnd"/>
      <w:r w:rsidR="00664588">
        <w:t xml:space="preserve"> помещений должны находиться на высоте не менее 0,50 м над уровнем палубы. Это предписание не применяется к входным люкам </w:t>
      </w:r>
      <w:proofErr w:type="spellStart"/>
      <w:r w:rsidR="00664588">
        <w:t>междубортовых</w:t>
      </w:r>
      <w:proofErr w:type="spellEnd"/>
      <w:r w:rsidR="00664588">
        <w:t xml:space="preserve"> и междудонных пространств</w:t>
      </w:r>
      <w:r>
        <w:t>»</w:t>
      </w:r>
      <w:r w:rsidR="00664588">
        <w:t>.</w:t>
      </w:r>
    </w:p>
    <w:p w14:paraId="7393B0C6" w14:textId="77777777" w:rsidR="00664588" w:rsidRDefault="00664588" w:rsidP="008F2CF9">
      <w:pPr>
        <w:pStyle w:val="H1G"/>
      </w:pPr>
      <w:r>
        <w:tab/>
      </w:r>
      <w:r>
        <w:tab/>
        <w:t>Предложение</w:t>
      </w:r>
    </w:p>
    <w:p w14:paraId="03F191A5" w14:textId="77777777" w:rsidR="00664588" w:rsidRDefault="00664588" w:rsidP="008F2CF9">
      <w:pPr>
        <w:pStyle w:val="SingleTxtG"/>
      </w:pPr>
      <w:r>
        <w:t>10.</w:t>
      </w:r>
      <w:r>
        <w:tab/>
        <w:t>Заменить ссылку на пункт 9.3.3.10.2 ссылкой на пункт 9.3.3.10.4 в пункте</w:t>
      </w:r>
      <w:r w:rsidR="004E24A1">
        <w:t> </w:t>
      </w:r>
      <w:r>
        <w:t>7.2.2.19.3 в следующем издании ВОПОГ.</w:t>
      </w:r>
    </w:p>
    <w:p w14:paraId="656D2834" w14:textId="77777777" w:rsidR="00664588" w:rsidRDefault="00664588" w:rsidP="008F2CF9">
      <w:pPr>
        <w:pStyle w:val="H1G"/>
      </w:pPr>
      <w:r>
        <w:tab/>
      </w:r>
      <w:r>
        <w:tab/>
        <w:t>Последствия и осуществимость</w:t>
      </w:r>
    </w:p>
    <w:p w14:paraId="27AC34C0" w14:textId="77777777" w:rsidR="00664588" w:rsidRDefault="00664588" w:rsidP="008F2CF9">
      <w:pPr>
        <w:pStyle w:val="SingleTxtG"/>
      </w:pPr>
      <w:r>
        <w:t>11.</w:t>
      </w:r>
      <w:r>
        <w:tab/>
        <w:t>Комитет по вопросам безопасности мог бы обсудить вопрос о том, как поступить с этой ссылкой, пока не вступило в силу новое издание ВОПОГ.</w:t>
      </w:r>
    </w:p>
    <w:p w14:paraId="147065C5" w14:textId="77777777" w:rsidR="00664588" w:rsidRDefault="00664588" w:rsidP="008F2CF9">
      <w:pPr>
        <w:pStyle w:val="SingleTxtG"/>
      </w:pPr>
      <w:r>
        <w:t>12.</w:t>
      </w:r>
      <w:r>
        <w:tab/>
        <w:t xml:space="preserve">Разрешается ли игнорировать это требование при освидетельствовании для возобновления свидетельства ВОПОГ и включать в свидетельство о годности к плаванию указание на то, что этот пункт неприменим к судну? </w:t>
      </w:r>
    </w:p>
    <w:p w14:paraId="36FCFD00" w14:textId="77777777" w:rsidR="00664588" w:rsidRDefault="008F2CF9" w:rsidP="008F2CF9">
      <w:pPr>
        <w:pStyle w:val="HChG"/>
      </w:pPr>
      <w:r>
        <w:tab/>
      </w:r>
      <w:r w:rsidR="00664588">
        <w:t>III.</w:t>
      </w:r>
      <w:r w:rsidR="00664588">
        <w:tab/>
      </w:r>
      <w:r w:rsidR="00664588">
        <w:tab/>
        <w:t>Переходные положения для пункта 7.2.2.19.3</w:t>
      </w:r>
    </w:p>
    <w:p w14:paraId="2282B8F3" w14:textId="77777777" w:rsidR="00664588" w:rsidRDefault="00664588" w:rsidP="008F2CF9">
      <w:pPr>
        <w:pStyle w:val="SingleTxtG"/>
      </w:pPr>
      <w:r>
        <w:t>13.</w:t>
      </w:r>
      <w:r>
        <w:tab/>
        <w:t xml:space="preserve">Переходное положение для пункта 7.2.2.19.4 </w:t>
      </w:r>
      <w:r w:rsidR="004E24A1">
        <w:t>«</w:t>
      </w:r>
      <w:r>
        <w:t>Суда толкаемого состава, для которых требуется взрывозащита</w:t>
      </w:r>
      <w:r w:rsidR="004E24A1">
        <w:t>»</w:t>
      </w:r>
      <w:r>
        <w:t xml:space="preserve"> содержит также переходные положения для судов, используемых для обеспечения движения, и представляется, что содержание этого переходного положения, очевидно, относится к пункту 7.2.2.19.3, в котором содержатся требования для судов, используемых для обеспечения движения.</w:t>
      </w:r>
    </w:p>
    <w:p w14:paraId="0BFE14DA" w14:textId="77777777" w:rsidR="00664588" w:rsidRDefault="00664588" w:rsidP="008F2CF9">
      <w:pPr>
        <w:pStyle w:val="SingleTxtG"/>
      </w:pPr>
      <w:r>
        <w:t>14.</w:t>
      </w:r>
      <w:r>
        <w:tab/>
        <w:t>В связи с вышеупомянутыми предложениями необходимо адаптировать переходные положения пунктов 9.3.3.0.3 d) и 9.3.3.10.2.</w:t>
      </w:r>
    </w:p>
    <w:p w14:paraId="2D72A91E" w14:textId="77777777" w:rsidR="00664588" w:rsidRDefault="00664588" w:rsidP="008F2CF9">
      <w:pPr>
        <w:pStyle w:val="H1G"/>
      </w:pPr>
      <w:r>
        <w:tab/>
      </w:r>
      <w:r>
        <w:tab/>
        <w:t>Предложение</w:t>
      </w:r>
    </w:p>
    <w:p w14:paraId="22CEA709" w14:textId="77777777" w:rsidR="00664588" w:rsidRDefault="00664588" w:rsidP="008F2CF9">
      <w:pPr>
        <w:pStyle w:val="SingleTxtG"/>
      </w:pPr>
      <w:r>
        <w:t>15.</w:t>
      </w:r>
      <w:r>
        <w:tab/>
        <w:t>Адаптировать таблицу переходных положений в пункте 7.2.2.19.3 следующим образом:</w:t>
      </w:r>
    </w:p>
    <w:tbl>
      <w:tblPr>
        <w:tblStyle w:val="TableNormal1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932"/>
        <w:gridCol w:w="2825"/>
        <w:gridCol w:w="5877"/>
      </w:tblGrid>
      <w:tr w:rsidR="008F2CF9" w:rsidRPr="007268C5" w14:paraId="757A4321" w14:textId="77777777" w:rsidTr="00A20532">
        <w:trPr>
          <w:trHeight w:hRule="exact" w:val="6584"/>
          <w:jc w:val="center"/>
        </w:trPr>
        <w:tc>
          <w:tcPr>
            <w:tcW w:w="932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6CEAD484" w14:textId="77777777" w:rsidR="008F2CF9" w:rsidRPr="00BB2195" w:rsidRDefault="008F2CF9" w:rsidP="00E9191A">
            <w:pPr>
              <w:pStyle w:val="TableParagraph"/>
              <w:spacing w:before="57"/>
              <w:ind w:left="115" w:right="144"/>
              <w:rPr>
                <w:rFonts w:ascii="Times New Roman" w:hAnsi="Times New Roman"/>
                <w:color w:val="5D5D5E"/>
                <w:sz w:val="20"/>
                <w:szCs w:val="20"/>
              </w:rPr>
            </w:pPr>
            <w:r w:rsidRPr="00BB2195">
              <w:rPr>
                <w:rFonts w:ascii="Times New Roman" w:hAnsi="Times New Roman"/>
                <w:sz w:val="20"/>
                <w:szCs w:val="20"/>
              </w:rPr>
              <w:lastRenderedPageBreak/>
              <w:t>7.2.2.19.3</w:t>
            </w:r>
          </w:p>
        </w:tc>
        <w:tc>
          <w:tcPr>
            <w:tcW w:w="2825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07E7BA67" w14:textId="77777777" w:rsidR="008F2CF9" w:rsidRPr="008F2CF9" w:rsidRDefault="008F2CF9" w:rsidP="00E9191A">
            <w:pPr>
              <w:pStyle w:val="TableParagraph"/>
              <w:spacing w:before="57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spellEnd"/>
          </w:p>
          <w:p w14:paraId="5FE6AB00" w14:textId="77777777" w:rsidR="008F2CF9" w:rsidRPr="008F2CF9" w:rsidRDefault="008F2CF9" w:rsidP="00E9191A">
            <w:pPr>
              <w:pStyle w:val="TableParagraph"/>
              <w:spacing w:before="57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новым</w:t>
            </w:r>
            <w:proofErr w:type="spellEnd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 w:cs="Times New Roman"/>
                <w:sz w:val="20"/>
                <w:szCs w:val="20"/>
              </w:rPr>
              <w:t>положениям</w:t>
            </w:r>
            <w:proofErr w:type="spellEnd"/>
          </w:p>
          <w:p w14:paraId="2F3B17F0" w14:textId="77777777" w:rsidR="008F2CF9" w:rsidRPr="008F2CF9" w:rsidRDefault="008F2CF9" w:rsidP="00E9191A">
            <w:pPr>
              <w:pStyle w:val="TableParagraph"/>
              <w:spacing w:before="57"/>
              <w:ind w:left="144" w:right="8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Положения</w:t>
            </w:r>
            <w:proofErr w:type="spellEnd"/>
            <w:r w:rsidRPr="008F2CF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пунктов</w:t>
            </w:r>
            <w:proofErr w:type="spellEnd"/>
            <w:r w:rsidRPr="008F2CF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9.3.3.12.4, 9.3.3.51 и 9.3.3.52.1–9.3.3.52.8</w:t>
            </w:r>
          </w:p>
        </w:tc>
        <w:tc>
          <w:tcPr>
            <w:tcW w:w="587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09120C1C" w14:textId="77777777" w:rsidR="00E9191A" w:rsidRDefault="008F2CF9" w:rsidP="00E9191A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CF9">
              <w:rPr>
                <w:rFonts w:ascii="Times New Roman" w:hAnsi="Times New Roman"/>
                <w:sz w:val="20"/>
                <w:szCs w:val="20"/>
                <w:lang w:val="ru-RU"/>
              </w:rPr>
              <w:t>Н.З.М. с 1 января 2019 года</w:t>
            </w:r>
          </w:p>
          <w:p w14:paraId="5AA713F2" w14:textId="1CC570FC" w:rsidR="008F2CF9" w:rsidRPr="00BB2195" w:rsidRDefault="008F2CF9" w:rsidP="00E9191A">
            <w:pPr>
              <w:pStyle w:val="TableParagraph"/>
              <w:spacing w:before="57"/>
              <w:ind w:left="144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F9">
              <w:rPr>
                <w:rFonts w:ascii="Times New Roman" w:hAnsi="Times New Roman"/>
                <w:sz w:val="20"/>
                <w:szCs w:val="20"/>
                <w:lang w:val="ru-RU"/>
              </w:rPr>
              <w:t>Возобновление свидетельства о допущении после</w:t>
            </w:r>
            <w:r w:rsidR="00803038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8F2CF9">
              <w:rPr>
                <w:rFonts w:ascii="Times New Roman" w:hAnsi="Times New Roman"/>
                <w:sz w:val="20"/>
                <w:szCs w:val="20"/>
                <w:lang w:val="ru-RU"/>
              </w:rPr>
              <w:t>31 декабря 2034 года</w:t>
            </w:r>
          </w:p>
          <w:p w14:paraId="56B5195B" w14:textId="77777777" w:rsidR="008F2CF9" w:rsidRPr="008F2CF9" w:rsidRDefault="008F2CF9" w:rsidP="00E9191A">
            <w:pPr>
              <w:pStyle w:val="TableParagraph"/>
              <w:spacing w:before="76"/>
              <w:ind w:left="144" w:right="1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этой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даты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борту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судов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применяются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следующие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предписания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C9AAE38" w14:textId="77777777" w:rsidR="008F2CF9" w:rsidRPr="008F2CF9" w:rsidRDefault="008F2CF9" w:rsidP="00E9191A">
            <w:pPr>
              <w:pStyle w:val="TableParagraph"/>
              <w:spacing w:before="76"/>
              <w:ind w:left="144" w:right="1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Суда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ведущие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толкаемый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состав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счаленную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группу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должны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удовлетворять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предписаниям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нижеследующих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разделов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подразделов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пунктов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0533F">
              <w:rPr>
                <w:rFonts w:ascii="Times New Roman" w:hAnsi="Times New Roman"/>
                <w:sz w:val="20"/>
                <w:szCs w:val="20"/>
              </w:rPr>
              <w:br/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1.16.1.1, 1.16.1.2,</w:t>
            </w:r>
            <w:r w:rsidR="00BD2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1.16.1.3,</w:t>
            </w:r>
            <w:r w:rsidR="00BD2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7.2.2.5,</w:t>
            </w:r>
            <w:r w:rsidR="00BD2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8.1.4,</w:t>
            </w:r>
            <w:r w:rsidR="00BD2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8.1.5,</w:t>
            </w:r>
            <w:r w:rsidR="00905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 xml:space="preserve">8.1.6.1, 8.1.6.3, 8.1.7, 9.3.3.0.1, </w:t>
            </w:r>
            <w:r w:rsidR="0090533F" w:rsidRPr="00BB2195">
              <w:rPr>
                <w:rFonts w:ascii="Times New Roman" w:hAnsi="Times New Roman"/>
                <w:strike/>
                <w:sz w:val="20"/>
                <w:szCs w:val="20"/>
              </w:rPr>
              <w:t>9.3.3.0.3 (d),</w:t>
            </w:r>
            <w:r w:rsidR="0090533F" w:rsidRPr="003C07AC">
              <w:rPr>
                <w:rFonts w:ascii="Times New Roman" w:hAnsi="Times New Roman"/>
                <w:sz w:val="20"/>
                <w:szCs w:val="20"/>
                <w:u w:val="single"/>
              </w:rPr>
              <w:t xml:space="preserve">9.3.3.0.3 </w:t>
            </w:r>
            <w:proofErr w:type="spellStart"/>
            <w:r w:rsidRPr="00E9191A">
              <w:rPr>
                <w:rFonts w:ascii="Times New Roman" w:hAnsi="Times New Roman"/>
                <w:sz w:val="20"/>
                <w:szCs w:val="20"/>
                <w:u w:val="single"/>
              </w:rPr>
              <w:t>последний</w:t>
            </w:r>
            <w:proofErr w:type="spellEnd"/>
            <w:r w:rsidRPr="00E9191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191A">
              <w:rPr>
                <w:rFonts w:ascii="Times New Roman" w:hAnsi="Times New Roman"/>
                <w:sz w:val="20"/>
                <w:szCs w:val="20"/>
                <w:u w:val="single"/>
              </w:rPr>
              <w:t>абзац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 xml:space="preserve">9.3.3.0.5, 9.3.3.10.1, </w:t>
            </w:r>
            <w:r w:rsidR="0090533F" w:rsidRPr="00BB2195">
              <w:rPr>
                <w:rFonts w:ascii="Times New Roman" w:hAnsi="Times New Roman"/>
                <w:strike/>
                <w:sz w:val="20"/>
                <w:szCs w:val="20"/>
              </w:rPr>
              <w:t>9.3.3.10.2,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33F" w:rsidRPr="00F90577">
              <w:rPr>
                <w:rFonts w:ascii="Times New Roman" w:hAnsi="Times New Roman"/>
                <w:sz w:val="20"/>
                <w:szCs w:val="20"/>
                <w:u w:val="single"/>
              </w:rPr>
              <w:t>9.3.3.10.4,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 xml:space="preserve"> 9.3.3.12.4 a)</w:t>
            </w:r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рулевой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рубки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9.3.3.12.4 b),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времени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срабатывания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9.3.3.12.4 c), 9.3.3.12.6, 9.3.3.16, 9.3.3.17.1</w:t>
            </w:r>
            <w:r w:rsidR="0090533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>9.3.3.17.4, 9.3.3.31.1</w:t>
            </w:r>
            <w:r w:rsidR="0090533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="0090533F" w:rsidRPr="00BB2195">
              <w:rPr>
                <w:rFonts w:ascii="Times New Roman" w:hAnsi="Times New Roman"/>
                <w:sz w:val="20"/>
                <w:szCs w:val="20"/>
              </w:rPr>
              <w:t xml:space="preserve">9.3.3.31.5, 9.3.3.32.2, 9.3.3.34.1, 9.3.3.34.2, 9.3.3.40.1 </w:t>
            </w:r>
            <w:r w:rsidRPr="008F2C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однако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достаточно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одного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пожарного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балластного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насоса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), 9.3.3.40.2, 9.3.3.41, 9.3.3.50.1 c), 9.3.3.50.2, 9.3.3.51, 9.3.3.52.6, 9.3.3.52.7, 9.3.3.52.8, 9.3.3.56.5, 9.3.3.71 и 9.3.3.74,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крайней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мере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одном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судне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толкаемого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состава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счаленной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перевозятся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опасные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грузы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1A8557" w14:textId="77777777" w:rsidR="008F2CF9" w:rsidRPr="007268C5" w:rsidRDefault="008F2CF9" w:rsidP="00E9191A">
            <w:pPr>
              <w:pStyle w:val="TableParagraph"/>
              <w:spacing w:before="76" w:line="252" w:lineRule="auto"/>
              <w:ind w:left="144" w:right="144" w:hanging="15"/>
              <w:rPr>
                <w:rFonts w:ascii="Times New Roman"/>
                <w:color w:val="5D5D5E"/>
                <w:w w:val="105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Суда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ведущие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только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танкеры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открытого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типа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N,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обязаны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удовлетворять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предписаниям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пунктов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9.3.3.10.1, 9.3.3.10.2 и 9.3.3.12.6.</w:t>
            </w:r>
            <w:r w:rsidR="00E91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Данные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отступления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должны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указываться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свидетельстве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допущении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временном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свидетельстве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допущении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следующим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образом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24A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Разрешенные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отступления</w:t>
            </w:r>
            <w:proofErr w:type="spellEnd"/>
            <w:r w:rsidR="004E24A1">
              <w:rPr>
                <w:rFonts w:ascii="Times New Roman" w:hAnsi="Times New Roman"/>
                <w:sz w:val="20"/>
                <w:szCs w:val="20"/>
              </w:rPr>
              <w:t>»</w:t>
            </w:r>
            <w:r w:rsidRPr="008F2C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24A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Отступление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пунктов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9.3.3.10.1, 9.3.3.10.2 и 9.3.3.12.6;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судно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может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вести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только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танкеры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открытого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типа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4E24A1">
              <w:rPr>
                <w:rFonts w:ascii="Times New Roman" w:hAnsi="Times New Roman"/>
                <w:sz w:val="20"/>
                <w:szCs w:val="20"/>
              </w:rPr>
              <w:t>»</w:t>
            </w:r>
            <w:r w:rsidRPr="008F2C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E6E31BC" w14:textId="77777777" w:rsidR="00664588" w:rsidRDefault="00664588" w:rsidP="008F2CF9">
      <w:pPr>
        <w:pStyle w:val="HChG"/>
      </w:pPr>
      <w:r>
        <w:t>IV.</w:t>
      </w:r>
      <w:r>
        <w:tab/>
      </w:r>
      <w:r>
        <w:tab/>
        <w:t>Переходные положения для пункта 7.2.2.19.4</w:t>
      </w:r>
    </w:p>
    <w:p w14:paraId="1476F71B" w14:textId="77777777" w:rsidR="00664588" w:rsidRDefault="00664588" w:rsidP="008F2CF9">
      <w:pPr>
        <w:pStyle w:val="SingleTxtG"/>
      </w:pPr>
      <w:r>
        <w:t>16.</w:t>
      </w:r>
      <w:r>
        <w:tab/>
        <w:t>Вторая часть переходных положений для пункта 7.2.2.19.4 была перенесена в пункт 7.2.2.19.3 и должна быть адаптирована.</w:t>
      </w:r>
    </w:p>
    <w:p w14:paraId="32F27963" w14:textId="77777777" w:rsidR="00664588" w:rsidRDefault="00664588" w:rsidP="008F2CF9">
      <w:pPr>
        <w:pStyle w:val="H1G"/>
      </w:pPr>
      <w:r>
        <w:tab/>
      </w:r>
      <w:r>
        <w:tab/>
        <w:t>Предложение</w:t>
      </w:r>
    </w:p>
    <w:p w14:paraId="1B2795BF" w14:textId="2BCCEA14" w:rsidR="00664588" w:rsidRDefault="00664588" w:rsidP="008F2CF9">
      <w:pPr>
        <w:pStyle w:val="SingleTxtG"/>
      </w:pPr>
      <w:r>
        <w:t>17.</w:t>
      </w:r>
      <w:r>
        <w:tab/>
        <w:t>Адаптировать таблицу переходных положений для пункта 7.2.2.19.</w:t>
      </w:r>
      <w:r w:rsidR="00A20532">
        <w:rPr>
          <w:lang w:val="en-US"/>
        </w:rPr>
        <w:t>4</w:t>
      </w:r>
      <w:r>
        <w:t xml:space="preserve"> следующим образом:</w:t>
      </w:r>
    </w:p>
    <w:tbl>
      <w:tblPr>
        <w:tblStyle w:val="TableNormal1"/>
        <w:tblW w:w="9562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2410"/>
        <w:gridCol w:w="5971"/>
      </w:tblGrid>
      <w:tr w:rsidR="008F2CF9" w14:paraId="601A91B4" w14:textId="77777777" w:rsidTr="009F1EFD">
        <w:trPr>
          <w:trHeight w:hRule="exact" w:val="6494"/>
          <w:jc w:val="center"/>
        </w:trPr>
        <w:tc>
          <w:tcPr>
            <w:tcW w:w="1181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58A87E80" w14:textId="77777777" w:rsidR="008F2CF9" w:rsidRPr="00637BC1" w:rsidRDefault="008F2CF9" w:rsidP="00845F19">
            <w:pPr>
              <w:pStyle w:val="TableParagraph"/>
              <w:spacing w:before="5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BC1">
              <w:rPr>
                <w:rFonts w:ascii="Times New Roman" w:hAnsi="Times New Roman"/>
                <w:sz w:val="20"/>
                <w:szCs w:val="20"/>
              </w:rPr>
              <w:lastRenderedPageBreak/>
              <w:t>7.2.2.19.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5309E498" w14:textId="77777777" w:rsidR="008F2CF9" w:rsidRPr="006969E8" w:rsidRDefault="008F2CF9" w:rsidP="00845F19">
            <w:pPr>
              <w:pStyle w:val="TableParagraph"/>
              <w:spacing w:before="57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F2C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  <w:t>Суда толкаемого состава, для которых требуется взрывозащита</w:t>
            </w:r>
          </w:p>
        </w:tc>
        <w:tc>
          <w:tcPr>
            <w:tcW w:w="5971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3D936ADE" w14:textId="77777777" w:rsidR="008F2CF9" w:rsidRPr="008F2CF9" w:rsidRDefault="008F2CF9" w:rsidP="008F2CF9">
            <w:pPr>
              <w:pStyle w:val="TableParagraph"/>
              <w:spacing w:before="40" w:after="40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CF9">
              <w:rPr>
                <w:rFonts w:ascii="Times New Roman" w:hAnsi="Times New Roman"/>
                <w:sz w:val="20"/>
                <w:szCs w:val="20"/>
              </w:rPr>
              <w:t xml:space="preserve">Н.З.М. с 1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января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2019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  <w:p w14:paraId="17D04786" w14:textId="63A46ECB" w:rsidR="008F2CF9" w:rsidRPr="006969E8" w:rsidRDefault="008F2CF9" w:rsidP="00803038">
            <w:pPr>
              <w:pStyle w:val="TableParagraph"/>
              <w:spacing w:before="40" w:after="40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Возобновление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допущении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после</w:t>
            </w:r>
            <w:proofErr w:type="spellEnd"/>
            <w:r w:rsidR="00803038">
              <w:rPr>
                <w:rFonts w:ascii="Times New Roman" w:hAnsi="Times New Roman"/>
                <w:sz w:val="20"/>
                <w:szCs w:val="20"/>
              </w:rPr>
              <w:br/>
            </w:r>
            <w:r w:rsidRPr="008F2CF9"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декабря</w:t>
            </w:r>
            <w:proofErr w:type="spellEnd"/>
            <w:r w:rsidRPr="008F2CF9">
              <w:rPr>
                <w:rFonts w:ascii="Times New Roman" w:hAnsi="Times New Roman"/>
                <w:sz w:val="20"/>
                <w:szCs w:val="20"/>
              </w:rPr>
              <w:t xml:space="preserve"> 2034 </w:t>
            </w:r>
            <w:proofErr w:type="spellStart"/>
            <w:r w:rsidRPr="008F2CF9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  <w:p w14:paraId="2C54A152" w14:textId="77777777" w:rsidR="008F2CF9" w:rsidRPr="008F2CF9" w:rsidRDefault="008F2CF9" w:rsidP="008F2CF9">
            <w:pPr>
              <w:pStyle w:val="TableParagraph"/>
              <w:spacing w:before="76"/>
              <w:ind w:left="144" w:right="144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До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этой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даты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на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борту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судов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находящихся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в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эксплуатации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применяются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следующие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предписания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  <w:p w14:paraId="45BD7EC3" w14:textId="71B6C03D" w:rsidR="008F2CF9" w:rsidRDefault="008F2CF9" w:rsidP="008F2CF9">
            <w:pPr>
              <w:pStyle w:val="TableParagraph"/>
              <w:spacing w:before="45"/>
              <w:ind w:left="144" w:right="144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Суда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ведущие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толкаемый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состав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счаленную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группу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должны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удовлетворять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предписаниям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нижеследующих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разделов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подразделов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и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пунктов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="00BD236C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>1.16.1.1, 1.16.1.2, 1.16.1.3, 7.2.2.5, 8.1.4,   8.1.5, 8.1.6.1, 8.1.6.3, 8.1.7, 9.3.3.0.1, 9.3.3.0.3 d), 9.3.3.0.5, 9.3.3.10.1, 9.3.3.10.2, 9.3.3.12.4 a)</w:t>
            </w:r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за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исключением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рулевой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рубки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9.3.3.12.4 b),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за</w:t>
            </w:r>
            <w:proofErr w:type="spellEnd"/>
            <w:r w:rsidR="00032238">
              <w:rPr>
                <w:rFonts w:ascii="Times New Roman" w:hAnsi="Times New Roman"/>
                <w:strike/>
                <w:sz w:val="20"/>
                <w:szCs w:val="20"/>
                <w:lang w:val="ru-RU"/>
              </w:rPr>
              <w:t> 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исключением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времени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срабатывания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t90, 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>9.3.3.12.4 c), 9.3.3.12.6, 9.3.3.16, 9.3.3.17.1</w:t>
            </w:r>
            <w:r w:rsidR="00361433">
              <w:rPr>
                <w:rFonts w:ascii="Times New Roman" w:hAnsi="Times New Roman"/>
                <w:strike/>
                <w:sz w:val="20"/>
                <w:szCs w:val="20"/>
                <w:lang w:val="ru-RU"/>
              </w:rPr>
              <w:t>–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>9.3.3.17.4, 9.3.3.31.1</w:t>
            </w:r>
            <w:r w:rsidR="00BD236C">
              <w:rPr>
                <w:rFonts w:ascii="Times New Roman" w:hAnsi="Times New Roman"/>
                <w:strike/>
                <w:sz w:val="20"/>
                <w:szCs w:val="20"/>
                <w:lang w:val="ru-RU"/>
              </w:rPr>
              <w:t>–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>9.3.3.31.5, 9.3.3.32.2, 9.3.3.34.1, 9.3.3.34.2, 9.3.3.40.1</w:t>
            </w:r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(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однако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достаточно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одного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пожарного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балластного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насоса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), 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 xml:space="preserve">9.3.3.40.2, 9.3.3.41, </w:t>
            </w:r>
            <w:r w:rsidR="00BD236C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>9.3.3.50.1</w:t>
            </w:r>
            <w:r w:rsidR="00BD236C">
              <w:rPr>
                <w:rFonts w:ascii="Times New Roman" w:hAnsi="Times New Roman"/>
                <w:strike/>
                <w:sz w:val="20"/>
                <w:szCs w:val="20"/>
                <w:lang w:val="ru-RU"/>
              </w:rPr>
              <w:t xml:space="preserve"> 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 xml:space="preserve">c), 9.3.3.50.2, 9.3.3.51, 9.3.3.52.6, 9.3.3.52.7, 9.3.3.52.8, 9.3.3.56.5, 9.3.3.71 </w:t>
            </w:r>
            <w:r w:rsidR="00BD236C">
              <w:rPr>
                <w:rFonts w:ascii="Times New Roman" w:hAnsi="Times New Roman"/>
                <w:strike/>
                <w:sz w:val="20"/>
                <w:szCs w:val="20"/>
                <w:lang w:val="ru-RU"/>
              </w:rPr>
              <w:t>и</w:t>
            </w:r>
            <w:r w:rsidR="00BD236C" w:rsidRPr="00DF63CD">
              <w:rPr>
                <w:rFonts w:ascii="Times New Roman" w:hAnsi="Times New Roman"/>
                <w:strike/>
                <w:sz w:val="20"/>
                <w:szCs w:val="20"/>
              </w:rPr>
              <w:t xml:space="preserve"> 9.3.3.74</w:t>
            </w:r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если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крайней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мере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на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одном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судне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толкаемого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состава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или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счаленной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группы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перевозятся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опасные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грузы</w:t>
            </w:r>
            <w:proofErr w:type="spellEnd"/>
            <w:r w:rsidRPr="008F2CF9">
              <w:rPr>
                <w:rFonts w:ascii="Times New Roman" w:hAnsi="Times New Roman"/>
                <w:strike/>
                <w:sz w:val="20"/>
                <w:szCs w:val="20"/>
              </w:rPr>
              <w:t>.</w:t>
            </w:r>
          </w:p>
          <w:p w14:paraId="11B4CC9E" w14:textId="77777777" w:rsidR="0090533F" w:rsidRPr="0090533F" w:rsidRDefault="0090533F" w:rsidP="008F2CF9">
            <w:pPr>
              <w:pStyle w:val="TableParagraph"/>
              <w:spacing w:before="45"/>
              <w:ind w:left="144" w:right="144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Суда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,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ведущие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только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танкеры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открытого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типа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N,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не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обязаны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удовлетворять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предписаниям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пунктов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9.3.3.10.1, 9.3.3.10.2 и 9.3.3.12.6.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Данные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отступления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должны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указываться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в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свидетельстве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о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допущении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или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временном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свидетельстве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о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допущении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следующим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образом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: «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Разрешенные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отступления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»: «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Отступление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пунктов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9.3.3.10.1, 9.3.3.10.2 и 9.3.3.12.6;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судно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может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вести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только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танкеры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открытого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>типа</w:t>
            </w:r>
            <w:proofErr w:type="spellEnd"/>
            <w:r w:rsidRPr="0090533F">
              <w:rPr>
                <w:rFonts w:ascii="Times New Roman" w:hAnsi="Times New Roman"/>
                <w:strike/>
                <w:sz w:val="20"/>
                <w:szCs w:val="20"/>
              </w:rPr>
              <w:t xml:space="preserve"> N».</w:t>
            </w:r>
          </w:p>
        </w:tc>
      </w:tr>
    </w:tbl>
    <w:p w14:paraId="76548B17" w14:textId="77777777" w:rsidR="00E12C5F" w:rsidRPr="008F2CF9" w:rsidRDefault="008F2CF9" w:rsidP="008F2C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F2CF9" w:rsidSect="006645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9F75" w14:textId="77777777" w:rsidR="006B2351" w:rsidRPr="00A312BC" w:rsidRDefault="006B2351" w:rsidP="00A312BC"/>
  </w:endnote>
  <w:endnote w:type="continuationSeparator" w:id="0">
    <w:p w14:paraId="6A3B4B27" w14:textId="77777777" w:rsidR="006B2351" w:rsidRPr="00A312BC" w:rsidRDefault="006B23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462D" w14:textId="236BFDDB" w:rsidR="00664588" w:rsidRPr="00664588" w:rsidRDefault="00664588">
    <w:pPr>
      <w:pStyle w:val="Footer"/>
    </w:pPr>
    <w:r w:rsidRPr="00664588">
      <w:rPr>
        <w:b/>
        <w:sz w:val="18"/>
      </w:rPr>
      <w:fldChar w:fldCharType="begin"/>
    </w:r>
    <w:r w:rsidRPr="00664588">
      <w:rPr>
        <w:b/>
        <w:sz w:val="18"/>
      </w:rPr>
      <w:instrText xml:space="preserve"> PAGE  \* MERGEFORMAT </w:instrText>
    </w:r>
    <w:r w:rsidRPr="00664588">
      <w:rPr>
        <w:b/>
        <w:sz w:val="18"/>
      </w:rPr>
      <w:fldChar w:fldCharType="separate"/>
    </w:r>
    <w:r w:rsidR="00AE2215">
      <w:rPr>
        <w:b/>
        <w:noProof/>
        <w:sz w:val="18"/>
      </w:rPr>
      <w:t>4</w:t>
    </w:r>
    <w:r w:rsidRPr="00664588">
      <w:rPr>
        <w:b/>
        <w:sz w:val="18"/>
      </w:rPr>
      <w:fldChar w:fldCharType="end"/>
    </w:r>
    <w:r>
      <w:rPr>
        <w:b/>
        <w:sz w:val="18"/>
      </w:rPr>
      <w:tab/>
    </w:r>
    <w:r>
      <w:t>GE.19-19531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A834" w14:textId="09C2971E" w:rsidR="00664588" w:rsidRPr="00664588" w:rsidRDefault="00664588" w:rsidP="0066458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GE.19-19531</w:t>
    </w:r>
    <w:r>
      <w:tab/>
    </w:r>
    <w:r w:rsidRPr="00664588">
      <w:rPr>
        <w:b/>
        <w:sz w:val="18"/>
      </w:rPr>
      <w:fldChar w:fldCharType="begin"/>
    </w:r>
    <w:r w:rsidRPr="00664588">
      <w:rPr>
        <w:b/>
        <w:sz w:val="18"/>
      </w:rPr>
      <w:instrText xml:space="preserve"> PAGE  \* MERGEFORMAT </w:instrText>
    </w:r>
    <w:r w:rsidRPr="00664588">
      <w:rPr>
        <w:b/>
        <w:sz w:val="18"/>
      </w:rPr>
      <w:fldChar w:fldCharType="separate"/>
    </w:r>
    <w:r w:rsidR="00AE2215">
      <w:rPr>
        <w:b/>
        <w:noProof/>
        <w:sz w:val="18"/>
      </w:rPr>
      <w:t>5</w:t>
    </w:r>
    <w:r w:rsidRPr="006645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6429" w14:textId="77777777" w:rsidR="00042B72" w:rsidRPr="00664588" w:rsidRDefault="00664588" w:rsidP="00664588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404FEEA" wp14:editId="5EB445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19531  (</w:t>
    </w:r>
    <w:proofErr w:type="gramEnd"/>
    <w:r>
      <w:t>R)  131119  141119</w:t>
    </w:r>
    <w:r>
      <w:br/>
    </w:r>
    <w:r w:rsidRPr="00664588">
      <w:rPr>
        <w:rFonts w:ascii="C39T30Lfz" w:hAnsi="C39T30Lfz"/>
        <w:kern w:val="14"/>
        <w:sz w:val="56"/>
      </w:rPr>
      <w:t></w:t>
    </w:r>
    <w:r w:rsidRPr="00664588">
      <w:rPr>
        <w:rFonts w:ascii="C39T30Lfz" w:hAnsi="C39T30Lfz"/>
        <w:kern w:val="14"/>
        <w:sz w:val="56"/>
      </w:rPr>
      <w:t></w:t>
    </w:r>
    <w:r w:rsidRPr="00664588">
      <w:rPr>
        <w:rFonts w:ascii="C39T30Lfz" w:hAnsi="C39T30Lfz"/>
        <w:kern w:val="14"/>
        <w:sz w:val="56"/>
      </w:rPr>
      <w:t></w:t>
    </w:r>
    <w:r w:rsidRPr="00664588">
      <w:rPr>
        <w:rFonts w:ascii="C39T30Lfz" w:hAnsi="C39T30Lfz"/>
        <w:kern w:val="14"/>
        <w:sz w:val="56"/>
      </w:rPr>
      <w:t></w:t>
    </w:r>
    <w:r w:rsidRPr="00664588">
      <w:rPr>
        <w:rFonts w:ascii="C39T30Lfz" w:hAnsi="C39T30Lfz"/>
        <w:kern w:val="14"/>
        <w:sz w:val="56"/>
      </w:rPr>
      <w:t></w:t>
    </w:r>
    <w:r w:rsidRPr="00664588">
      <w:rPr>
        <w:rFonts w:ascii="C39T30Lfz" w:hAnsi="C39T30Lfz"/>
        <w:kern w:val="14"/>
        <w:sz w:val="56"/>
      </w:rPr>
      <w:t></w:t>
    </w:r>
    <w:r w:rsidRPr="00664588">
      <w:rPr>
        <w:rFonts w:ascii="C39T30Lfz" w:hAnsi="C39T30Lfz"/>
        <w:kern w:val="14"/>
        <w:sz w:val="56"/>
      </w:rPr>
      <w:t></w:t>
    </w:r>
    <w:r w:rsidRPr="00664588">
      <w:rPr>
        <w:rFonts w:ascii="C39T30Lfz" w:hAnsi="C39T30Lfz"/>
        <w:kern w:val="14"/>
        <w:sz w:val="56"/>
      </w:rPr>
      <w:t></w:t>
    </w:r>
    <w:r w:rsidRPr="0066458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0CC2E2" wp14:editId="639D57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443C" w14:textId="77777777" w:rsidR="006B2351" w:rsidRPr="001075E9" w:rsidRDefault="006B23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C2502E" w14:textId="77777777" w:rsidR="006B2351" w:rsidRDefault="006B23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2C1BD7" w14:textId="77777777" w:rsidR="00664588" w:rsidRPr="00664588" w:rsidRDefault="00664588">
      <w:pPr>
        <w:pStyle w:val="FootnoteText"/>
        <w:rPr>
          <w:sz w:val="20"/>
        </w:rPr>
      </w:pPr>
      <w:r>
        <w:tab/>
      </w:r>
      <w:r w:rsidRPr="00664588">
        <w:rPr>
          <w:rStyle w:val="FootnoteReference"/>
          <w:sz w:val="20"/>
          <w:vertAlign w:val="baseline"/>
        </w:rPr>
        <w:t>*</w:t>
      </w:r>
      <w:r w:rsidRPr="00664588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CCNR-ZKR/ADN/WP.15/AC.2/2020/17.</w:t>
      </w:r>
    </w:p>
  </w:footnote>
  <w:footnote w:id="2">
    <w:p w14:paraId="0534D748" w14:textId="77777777" w:rsidR="00664588" w:rsidRPr="00664588" w:rsidRDefault="00664588">
      <w:pPr>
        <w:pStyle w:val="FootnoteText"/>
        <w:rPr>
          <w:sz w:val="20"/>
        </w:rPr>
      </w:pPr>
      <w:r>
        <w:tab/>
      </w:r>
      <w:r w:rsidRPr="00664588">
        <w:rPr>
          <w:rStyle w:val="FootnoteReference"/>
          <w:sz w:val="20"/>
          <w:vertAlign w:val="baseline"/>
        </w:rPr>
        <w:t>**</w:t>
      </w:r>
      <w:r w:rsidRPr="00664588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CDB5" w14:textId="0CB8BF00" w:rsidR="00664588" w:rsidRPr="00664588" w:rsidRDefault="005A250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D13A" w14:textId="330067C5" w:rsidR="00664588" w:rsidRPr="00664588" w:rsidRDefault="005A250B" w:rsidP="0066458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51"/>
    <w:rsid w:val="000322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0C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433"/>
    <w:rsid w:val="00381C24"/>
    <w:rsid w:val="00387CD4"/>
    <w:rsid w:val="003958D0"/>
    <w:rsid w:val="003A0D43"/>
    <w:rsid w:val="003A48CE"/>
    <w:rsid w:val="003A510B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24A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50B"/>
    <w:rsid w:val="005D7914"/>
    <w:rsid w:val="005E2B41"/>
    <w:rsid w:val="005F0B42"/>
    <w:rsid w:val="00605123"/>
    <w:rsid w:val="00617A43"/>
    <w:rsid w:val="006345DB"/>
    <w:rsid w:val="00640F49"/>
    <w:rsid w:val="00664588"/>
    <w:rsid w:val="00680D03"/>
    <w:rsid w:val="00681A10"/>
    <w:rsid w:val="006A1ED8"/>
    <w:rsid w:val="006B2351"/>
    <w:rsid w:val="006C2031"/>
    <w:rsid w:val="006D461A"/>
    <w:rsid w:val="006F35EE"/>
    <w:rsid w:val="007021FF"/>
    <w:rsid w:val="00712895"/>
    <w:rsid w:val="00734ACB"/>
    <w:rsid w:val="00757357"/>
    <w:rsid w:val="00792497"/>
    <w:rsid w:val="007979FD"/>
    <w:rsid w:val="0080303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CF9"/>
    <w:rsid w:val="008F7609"/>
    <w:rsid w:val="0090533F"/>
    <w:rsid w:val="00906890"/>
    <w:rsid w:val="00911BE4"/>
    <w:rsid w:val="0092109D"/>
    <w:rsid w:val="00951972"/>
    <w:rsid w:val="009608F3"/>
    <w:rsid w:val="009A24AC"/>
    <w:rsid w:val="009C59D7"/>
    <w:rsid w:val="009C6FE6"/>
    <w:rsid w:val="009D7E7D"/>
    <w:rsid w:val="009F1EFD"/>
    <w:rsid w:val="00A14DA8"/>
    <w:rsid w:val="00A20532"/>
    <w:rsid w:val="00A312BC"/>
    <w:rsid w:val="00A327A3"/>
    <w:rsid w:val="00A84021"/>
    <w:rsid w:val="00A84D35"/>
    <w:rsid w:val="00A917B3"/>
    <w:rsid w:val="00AB4B51"/>
    <w:rsid w:val="00AE2215"/>
    <w:rsid w:val="00B10CC7"/>
    <w:rsid w:val="00B36DF7"/>
    <w:rsid w:val="00B539E7"/>
    <w:rsid w:val="00B62458"/>
    <w:rsid w:val="00BC18B2"/>
    <w:rsid w:val="00BD236C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91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D97C2"/>
  <w15:docId w15:val="{4FEAAF72-99BF-430A-97A1-9AFDF8E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64588"/>
    <w:rPr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8F2C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CF9"/>
    <w:pPr>
      <w:widowControl w:val="0"/>
      <w:suppressAutoHyphens w:val="0"/>
      <w:spacing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ECE/TRANS/WP.15/AC.2/2020/17</vt:lpstr>
      <vt:lpstr>ECE/TRANS/WP.15/AC.2/2020/17</vt:lpstr>
      <vt:lpstr>A/</vt:lpstr>
    </vt:vector>
  </TitlesOfParts>
  <Company>DCM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ECE/TRANS/WP.15/AC.2/2020/17</dc:title>
  <dc:subject/>
  <dc:creator>Tatiana SHARKINA</dc:creator>
  <cp:keywords/>
  <cp:lastModifiedBy>Marie-Claude Collet</cp:lastModifiedBy>
  <cp:revision>3</cp:revision>
  <cp:lastPrinted>2019-12-09T07:32:00Z</cp:lastPrinted>
  <dcterms:created xsi:type="dcterms:W3CDTF">2019-12-09T07:32:00Z</dcterms:created>
  <dcterms:modified xsi:type="dcterms:W3CDTF">2019-12-09T07:33:00Z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