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97BF" w14:textId="16617EA6" w:rsidR="009D26E7" w:rsidRPr="000F61F8" w:rsidRDefault="009D26E7" w:rsidP="008753D6">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F61F8">
        <w:rPr>
          <w:rFonts w:ascii="Arial" w:eastAsia="Arial" w:hAnsi="Arial" w:cs="Arial"/>
          <w:bCs/>
          <w:noProof/>
          <w:szCs w:val="24"/>
        </w:rPr>
        <w:drawing>
          <wp:anchor distT="0" distB="0" distL="114300" distR="114300" simplePos="0" relativeHeight="251659264" behindDoc="0" locked="0" layoutInCell="1" allowOverlap="1" wp14:anchorId="0325D567" wp14:editId="5D7875B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F61F8">
        <w:rPr>
          <w:rFonts w:ascii="Arial" w:eastAsia="Arial" w:hAnsi="Arial" w:cs="Arial"/>
          <w:bCs/>
          <w:szCs w:val="24"/>
          <w:lang w:eastAsia="de-DE"/>
        </w:rPr>
        <w:t>CCNR-ZKR/ADN/WP.15/AC.2/20</w:t>
      </w:r>
      <w:r w:rsidR="002D5664" w:rsidRPr="000F61F8">
        <w:rPr>
          <w:rFonts w:ascii="Arial" w:eastAsia="Arial" w:hAnsi="Arial" w:cs="Arial"/>
          <w:bCs/>
          <w:szCs w:val="24"/>
          <w:lang w:eastAsia="de-DE"/>
        </w:rPr>
        <w:t>20</w:t>
      </w:r>
      <w:r w:rsidRPr="000F61F8">
        <w:rPr>
          <w:rFonts w:ascii="Arial" w:eastAsia="Arial" w:hAnsi="Arial" w:cs="Arial"/>
          <w:bCs/>
          <w:szCs w:val="24"/>
          <w:lang w:eastAsia="de-DE"/>
        </w:rPr>
        <w:t>/</w:t>
      </w:r>
      <w:r w:rsidR="00B940A2" w:rsidRPr="000F61F8">
        <w:rPr>
          <w:rFonts w:ascii="Arial" w:eastAsia="Arial" w:hAnsi="Arial" w:cs="Arial"/>
          <w:bCs/>
          <w:szCs w:val="24"/>
          <w:lang w:eastAsia="de-DE"/>
        </w:rPr>
        <w:t>1</w:t>
      </w:r>
      <w:r w:rsidR="00E13EB8" w:rsidRPr="000F61F8">
        <w:rPr>
          <w:rFonts w:ascii="Arial" w:eastAsia="Arial" w:hAnsi="Arial" w:cs="Arial"/>
          <w:bCs/>
          <w:szCs w:val="24"/>
          <w:lang w:eastAsia="de-DE"/>
        </w:rPr>
        <w:t>7</w:t>
      </w:r>
    </w:p>
    <w:p w14:paraId="18F47C77" w14:textId="77777777" w:rsidR="009D26E7" w:rsidRPr="000F61F8"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F61F8">
        <w:rPr>
          <w:rFonts w:ascii="Arial" w:hAnsi="Arial" w:cs="Arial"/>
          <w:sz w:val="16"/>
          <w:szCs w:val="24"/>
          <w:lang w:eastAsia="de-DE"/>
        </w:rPr>
        <w:t>Allgemeine Verteilung</w:t>
      </w:r>
    </w:p>
    <w:p w14:paraId="7657A14B" w14:textId="7EF5DB60" w:rsidR="009D26E7" w:rsidRPr="000F61F8" w:rsidRDefault="00CD4189"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0F61F8">
        <w:rPr>
          <w:rFonts w:ascii="Arial" w:eastAsia="Arial" w:hAnsi="Arial" w:cs="Arial"/>
          <w:szCs w:val="24"/>
          <w:lang w:eastAsia="de-DE"/>
        </w:rPr>
        <w:t>1</w:t>
      </w:r>
      <w:r w:rsidR="00E13EB8" w:rsidRPr="000F61F8">
        <w:rPr>
          <w:rFonts w:ascii="Arial" w:eastAsia="Arial" w:hAnsi="Arial" w:cs="Arial"/>
          <w:szCs w:val="24"/>
          <w:lang w:eastAsia="de-DE"/>
        </w:rPr>
        <w:t>2</w:t>
      </w:r>
      <w:r w:rsidR="009D26E7" w:rsidRPr="000F61F8">
        <w:rPr>
          <w:rFonts w:ascii="Arial" w:eastAsia="Arial" w:hAnsi="Arial" w:cs="Arial"/>
          <w:szCs w:val="24"/>
          <w:lang w:eastAsia="de-DE"/>
        </w:rPr>
        <w:t xml:space="preserve">. </w:t>
      </w:r>
      <w:r w:rsidR="002D5664" w:rsidRPr="000F61F8">
        <w:rPr>
          <w:rFonts w:ascii="Arial" w:eastAsia="Arial" w:hAnsi="Arial" w:cs="Arial"/>
          <w:szCs w:val="24"/>
          <w:lang w:eastAsia="de-DE"/>
        </w:rPr>
        <w:t>November</w:t>
      </w:r>
      <w:r w:rsidR="009D26E7" w:rsidRPr="000F61F8">
        <w:rPr>
          <w:rFonts w:ascii="Arial" w:eastAsia="Arial" w:hAnsi="Arial" w:cs="Arial"/>
          <w:szCs w:val="24"/>
          <w:lang w:eastAsia="de-DE"/>
        </w:rPr>
        <w:t xml:space="preserve"> 201</w:t>
      </w:r>
      <w:r w:rsidR="00DD51EA" w:rsidRPr="000F61F8">
        <w:rPr>
          <w:rFonts w:ascii="Arial" w:eastAsia="Arial" w:hAnsi="Arial" w:cs="Arial"/>
          <w:szCs w:val="24"/>
          <w:lang w:eastAsia="de-DE"/>
        </w:rPr>
        <w:t>9</w:t>
      </w:r>
    </w:p>
    <w:p w14:paraId="1AD39FB4" w14:textId="731A3FDA" w:rsidR="009D26E7" w:rsidRPr="000F61F8"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0F61F8">
        <w:rPr>
          <w:rFonts w:ascii="Arial" w:eastAsia="Arial" w:hAnsi="Arial" w:cs="Arial"/>
          <w:sz w:val="16"/>
          <w:szCs w:val="24"/>
          <w:lang w:eastAsia="de-DE"/>
        </w:rPr>
        <w:t xml:space="preserve">Or. </w:t>
      </w:r>
      <w:r w:rsidR="002C0F3E" w:rsidRPr="000F61F8">
        <w:rPr>
          <w:rFonts w:ascii="Arial" w:eastAsia="Arial" w:hAnsi="Arial" w:cs="Arial"/>
          <w:sz w:val="16"/>
          <w:szCs w:val="24"/>
          <w:lang w:eastAsia="de-DE"/>
        </w:rPr>
        <w:t>ENGLISCH</w:t>
      </w:r>
    </w:p>
    <w:p w14:paraId="43A26DC5" w14:textId="77777777" w:rsidR="009D26E7" w:rsidRPr="000F61F8"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4959ECF1" w14:textId="77777777" w:rsidR="009D26E7" w:rsidRPr="000F61F8"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19E3B33E" w14:textId="77777777" w:rsidR="008C68B2" w:rsidRPr="000F61F8" w:rsidRDefault="008C68B2" w:rsidP="008C68B2">
      <w:pPr>
        <w:widowControl/>
        <w:tabs>
          <w:tab w:val="left" w:pos="2977"/>
        </w:tabs>
        <w:overflowPunct/>
        <w:autoSpaceDE/>
        <w:autoSpaceDN/>
        <w:adjustRightInd/>
        <w:ind w:left="3960" w:firstLine="0"/>
        <w:textAlignment w:val="auto"/>
        <w:rPr>
          <w:rFonts w:ascii="Arial" w:hAnsi="Arial"/>
          <w:noProof/>
          <w:snapToGrid w:val="0"/>
          <w:sz w:val="16"/>
          <w:szCs w:val="24"/>
        </w:rPr>
      </w:pPr>
      <w:r w:rsidRPr="000F61F8">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0B45FF67" w14:textId="77777777" w:rsidR="002D5664" w:rsidRPr="000F61F8" w:rsidRDefault="002D5664" w:rsidP="002D5664">
      <w:pPr>
        <w:widowControl/>
        <w:tabs>
          <w:tab w:val="left" w:pos="2977"/>
        </w:tabs>
        <w:overflowPunct/>
        <w:autoSpaceDE/>
        <w:adjustRightInd/>
        <w:snapToGrid w:val="0"/>
        <w:ind w:left="3960" w:firstLine="0"/>
        <w:jc w:val="left"/>
        <w:textAlignment w:val="auto"/>
        <w:rPr>
          <w:rFonts w:ascii="Arial" w:hAnsi="Arial"/>
          <w:sz w:val="16"/>
          <w:szCs w:val="24"/>
        </w:rPr>
      </w:pPr>
      <w:r w:rsidRPr="000F61F8">
        <w:rPr>
          <w:rFonts w:ascii="Arial" w:hAnsi="Arial"/>
          <w:sz w:val="16"/>
          <w:szCs w:val="24"/>
        </w:rPr>
        <w:t>(36. Tagung, Genf, 27. - 31. Januar 2020)</w:t>
      </w:r>
    </w:p>
    <w:p w14:paraId="780A9F04" w14:textId="230CDBF9" w:rsidR="0022634C" w:rsidRPr="000F61F8" w:rsidRDefault="0022634C" w:rsidP="0022634C">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F61F8">
        <w:rPr>
          <w:rFonts w:ascii="Arial" w:hAnsi="Arial" w:cs="Arial"/>
          <w:sz w:val="16"/>
          <w:szCs w:val="16"/>
          <w:lang w:eastAsia="en-US"/>
        </w:rPr>
        <w:t xml:space="preserve">Punkt 5 b) </w:t>
      </w:r>
      <w:r w:rsidR="004975E4" w:rsidRPr="000F61F8">
        <w:rPr>
          <w:rFonts w:ascii="Arial" w:hAnsi="Arial" w:cs="Arial"/>
          <w:sz w:val="16"/>
          <w:szCs w:val="16"/>
          <w:lang w:eastAsia="en-US"/>
        </w:rPr>
        <w:t xml:space="preserve">der </w:t>
      </w:r>
      <w:r w:rsidRPr="000F61F8">
        <w:rPr>
          <w:rFonts w:ascii="Arial" w:hAnsi="Arial" w:cs="Arial"/>
          <w:sz w:val="16"/>
          <w:szCs w:val="16"/>
          <w:lang w:eastAsia="en-US"/>
        </w:rPr>
        <w:t>vorläufigen Tagesordnung</w:t>
      </w:r>
    </w:p>
    <w:p w14:paraId="4A8354CA" w14:textId="77777777" w:rsidR="0022634C" w:rsidRPr="000F61F8" w:rsidRDefault="0022634C" w:rsidP="0022634C">
      <w:pPr>
        <w:spacing w:after="120"/>
        <w:ind w:left="3958" w:firstLine="11"/>
        <w:rPr>
          <w:rFonts w:ascii="Arial" w:hAnsi="Arial" w:cs="Arial"/>
          <w:b/>
          <w:sz w:val="16"/>
          <w:szCs w:val="16"/>
          <w:lang w:eastAsia="en-US"/>
        </w:rPr>
      </w:pPr>
      <w:r w:rsidRPr="000F61F8">
        <w:rPr>
          <w:rFonts w:ascii="Arial" w:hAnsi="Arial" w:cs="Arial"/>
          <w:b/>
          <w:sz w:val="16"/>
          <w:szCs w:val="16"/>
          <w:lang w:eastAsia="en-US"/>
        </w:rPr>
        <w:t>Vorschläge für Änderungen der dem ADN beigefügten Verordnung: Weitere Änderungsvorschläge</w:t>
      </w:r>
    </w:p>
    <w:p w14:paraId="45F9B895" w14:textId="3ACDB658" w:rsidR="00E13EB8" w:rsidRPr="000F61F8" w:rsidRDefault="002C0F3E" w:rsidP="00E13EB8">
      <w:pPr>
        <w:pStyle w:val="HChG"/>
        <w:rPr>
          <w:lang w:val="de-DE"/>
        </w:rPr>
      </w:pPr>
      <w:r w:rsidRPr="000F61F8">
        <w:rPr>
          <w:lang w:val="de-DE"/>
        </w:rPr>
        <w:tab/>
      </w:r>
      <w:r w:rsidRPr="000F61F8">
        <w:rPr>
          <w:lang w:val="de-DE"/>
        </w:rPr>
        <w:tab/>
      </w:r>
      <w:r w:rsidR="00E13EB8" w:rsidRPr="000F61F8">
        <w:rPr>
          <w:color w:val="000000"/>
          <w:shd w:val="clear" w:color="auto" w:fill="FFFFFF"/>
          <w:lang w:val="de-DE"/>
        </w:rPr>
        <w:t>Korrekturen zum ADN 2019</w:t>
      </w:r>
    </w:p>
    <w:p w14:paraId="52DAAEED" w14:textId="3F5FADAF" w:rsidR="002D5664" w:rsidRPr="000F61F8" w:rsidRDefault="00EF41A3" w:rsidP="002C0F3E">
      <w:pPr>
        <w:keepNext/>
        <w:keepLines/>
        <w:widowControl/>
        <w:suppressAutoHyphens/>
        <w:overflowPunct/>
        <w:autoSpaceDE/>
        <w:autoSpaceDN/>
        <w:adjustRightInd/>
        <w:spacing w:before="360" w:after="240" w:line="270" w:lineRule="exact"/>
        <w:ind w:right="-2" w:firstLine="0"/>
        <w:jc w:val="left"/>
        <w:textAlignment w:val="auto"/>
        <w:rPr>
          <w:b/>
          <w:bCs/>
          <w:vertAlign w:val="superscript"/>
          <w:lang w:eastAsia="en-US"/>
        </w:rPr>
      </w:pPr>
      <w:r w:rsidRPr="000F61F8">
        <w:rPr>
          <w:b/>
          <w:sz w:val="24"/>
        </w:rPr>
        <w:t xml:space="preserve">Vorgelegt von </w:t>
      </w:r>
      <w:r w:rsidR="002C0F3E" w:rsidRPr="000F61F8">
        <w:rPr>
          <w:b/>
          <w:sz w:val="24"/>
        </w:rPr>
        <w:t xml:space="preserve">den </w:t>
      </w:r>
      <w:r w:rsidR="004975E4" w:rsidRPr="000F61F8">
        <w:rPr>
          <w:b/>
          <w:sz w:val="24"/>
        </w:rPr>
        <w:t>E</w:t>
      </w:r>
      <w:r w:rsidR="002C0F3E" w:rsidRPr="000F61F8">
        <w:rPr>
          <w:b/>
          <w:sz w:val="24"/>
        </w:rPr>
        <w:t>mpfohlenen ADN-Klassifikationsgesellschaften</w:t>
      </w:r>
      <w:r w:rsidRPr="000F61F8">
        <w:rPr>
          <w:b/>
          <w:sz w:val="24"/>
        </w:rPr>
        <w:t xml:space="preserve"> </w:t>
      </w:r>
      <w:r w:rsidR="002D5664" w:rsidRPr="000F61F8">
        <w:rPr>
          <w:bCs/>
          <w:vertAlign w:val="superscript"/>
          <w:lang w:eastAsia="en-US"/>
        </w:rPr>
        <w:footnoteReference w:customMarkFollows="1" w:id="1"/>
        <w:t>*,</w:t>
      </w:r>
      <w:r w:rsidR="002D5664" w:rsidRPr="000F61F8">
        <w:rPr>
          <w:bCs/>
          <w:vertAlign w:val="superscript"/>
          <w:lang w:eastAsia="en-US"/>
        </w:rPr>
        <w:footnoteReference w:customMarkFollows="1" w:id="2"/>
        <w:t>**</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804"/>
      </w:tblGrid>
      <w:tr w:rsidR="00E13EB8" w:rsidRPr="000F61F8" w14:paraId="51EE434B" w14:textId="77777777" w:rsidTr="000900F0">
        <w:trPr>
          <w:jc w:val="center"/>
        </w:trPr>
        <w:tc>
          <w:tcPr>
            <w:tcW w:w="2405" w:type="dxa"/>
            <w:tcBorders>
              <w:top w:val="single" w:sz="4" w:space="0" w:color="auto"/>
            </w:tcBorders>
          </w:tcPr>
          <w:p w14:paraId="4E92E12B" w14:textId="6169E6DA" w:rsidR="00E13EB8" w:rsidRPr="000F61F8" w:rsidRDefault="00E13EB8" w:rsidP="000900F0">
            <w:pPr>
              <w:tabs>
                <w:tab w:val="left" w:pos="284"/>
              </w:tabs>
              <w:spacing w:before="120" w:after="120"/>
            </w:pPr>
            <w:r w:rsidRPr="000F61F8">
              <w:rPr>
                <w:i/>
                <w:sz w:val="24"/>
              </w:rPr>
              <w:t>Zusammenfassung</w:t>
            </w:r>
          </w:p>
        </w:tc>
        <w:tc>
          <w:tcPr>
            <w:tcW w:w="6804" w:type="dxa"/>
            <w:tcBorders>
              <w:top w:val="single" w:sz="4" w:space="0" w:color="auto"/>
            </w:tcBorders>
          </w:tcPr>
          <w:p w14:paraId="73D51E09" w14:textId="77777777" w:rsidR="00E13EB8" w:rsidRPr="000F61F8" w:rsidRDefault="00E13EB8" w:rsidP="000900F0">
            <w:pPr>
              <w:spacing w:before="120" w:after="120"/>
            </w:pPr>
          </w:p>
        </w:tc>
      </w:tr>
      <w:tr w:rsidR="00E13EB8" w:rsidRPr="000F61F8" w14:paraId="1FDAACB9" w14:textId="77777777" w:rsidTr="000900F0">
        <w:trPr>
          <w:trHeight w:val="2168"/>
          <w:jc w:val="center"/>
        </w:trPr>
        <w:tc>
          <w:tcPr>
            <w:tcW w:w="2405" w:type="dxa"/>
            <w:tcBorders>
              <w:bottom w:val="single" w:sz="4" w:space="0" w:color="auto"/>
            </w:tcBorders>
          </w:tcPr>
          <w:p w14:paraId="3C98702F" w14:textId="36CA1DFA" w:rsidR="00E13EB8" w:rsidRPr="000F61F8" w:rsidRDefault="00E13EB8" w:rsidP="000900F0">
            <w:pPr>
              <w:tabs>
                <w:tab w:val="left" w:pos="284"/>
              </w:tabs>
              <w:spacing w:before="120" w:after="120"/>
              <w:rPr>
                <w:b/>
              </w:rPr>
            </w:pPr>
            <w:r w:rsidRPr="000F61F8">
              <w:rPr>
                <w:b/>
              </w:rPr>
              <w:t>Verbundene Dokumente:</w:t>
            </w:r>
          </w:p>
        </w:tc>
        <w:tc>
          <w:tcPr>
            <w:tcW w:w="6804" w:type="dxa"/>
            <w:tcBorders>
              <w:bottom w:val="single" w:sz="4" w:space="0" w:color="auto"/>
            </w:tcBorders>
          </w:tcPr>
          <w:p w14:paraId="3F14900B" w14:textId="3B3FC3E4" w:rsidR="00E13EB8" w:rsidRPr="000F61F8" w:rsidRDefault="00F77B72" w:rsidP="00E13EB8">
            <w:pPr>
              <w:ind w:left="75" w:firstLine="7"/>
            </w:pPr>
            <w:r w:rsidRPr="000F61F8">
              <w:t>Informelle Dokumente</w:t>
            </w:r>
            <w:r w:rsidR="00E13EB8" w:rsidRPr="000F61F8">
              <w:t xml:space="preserve"> INF.6 (</w:t>
            </w:r>
            <w:r w:rsidRPr="000F61F8">
              <w:t>Frankreich</w:t>
            </w:r>
            <w:r w:rsidR="00E13EB8" w:rsidRPr="000F61F8">
              <w:t xml:space="preserve">) </w:t>
            </w:r>
            <w:r w:rsidRPr="000F61F8">
              <w:t>und</w:t>
            </w:r>
            <w:r w:rsidR="00E13EB8" w:rsidRPr="000F61F8">
              <w:t xml:space="preserve"> INF.13 (</w:t>
            </w:r>
            <w:r w:rsidRPr="000F61F8">
              <w:t>Empfohlene ADN-Klassifikationsgesellschaften</w:t>
            </w:r>
            <w:r w:rsidR="00E13EB8" w:rsidRPr="000F61F8">
              <w:t xml:space="preserve">), </w:t>
            </w:r>
            <w:r w:rsidRPr="000F61F8">
              <w:t xml:space="preserve">die </w:t>
            </w:r>
            <w:r w:rsidRPr="000F61F8">
              <w:rPr>
                <w:rFonts w:ascii="inherit" w:hAnsi="inherit"/>
                <w:color w:val="000000"/>
                <w:shd w:val="clear" w:color="auto" w:fill="FFFFFF"/>
              </w:rPr>
              <w:t>in der</w:t>
            </w:r>
            <w:r w:rsidRPr="000F61F8">
              <w:t xml:space="preserve"> fünfunddreißigste</w:t>
            </w:r>
            <w:r w:rsidR="004975E4" w:rsidRPr="000F61F8">
              <w:t>n</w:t>
            </w:r>
            <w:r w:rsidRPr="000F61F8">
              <w:t xml:space="preserve"> Sitzung vorgelegt wurden</w:t>
            </w:r>
            <w:r w:rsidR="00E13EB8" w:rsidRPr="000F61F8">
              <w:t>;</w:t>
            </w:r>
          </w:p>
          <w:p w14:paraId="12E6CF17" w14:textId="77777777" w:rsidR="00E13EB8" w:rsidRPr="000F61F8" w:rsidRDefault="00E13EB8" w:rsidP="00E13EB8">
            <w:pPr>
              <w:ind w:left="75" w:firstLine="7"/>
            </w:pPr>
          </w:p>
          <w:p w14:paraId="3BA357B5" w14:textId="17BDBE2F" w:rsidR="00E13EB8" w:rsidRPr="000F61F8" w:rsidRDefault="00E13EB8" w:rsidP="00E13EB8">
            <w:pPr>
              <w:ind w:left="75" w:firstLine="7"/>
            </w:pPr>
            <w:r w:rsidRPr="000F61F8">
              <w:t>ECE/TRANS/WP.15/AC.2/72, Nr. 36</w:t>
            </w:r>
          </w:p>
          <w:p w14:paraId="3544A5DD" w14:textId="77777777" w:rsidR="00E13EB8" w:rsidRPr="000F61F8" w:rsidRDefault="00F77B72" w:rsidP="00F77B72">
            <w:pPr>
              <w:ind w:left="75" w:firstLine="7"/>
            </w:pPr>
            <w:r w:rsidRPr="000F61F8">
              <w:t>„36.</w:t>
            </w:r>
            <w:r w:rsidRPr="000F61F8">
              <w:tab/>
              <w:t>Der Sicherheitsausschuss prüfte das informelle Dokument INF.13 und nahm eine Reihe von Bemerkungen zur Kenntnis, die sich hauptsächlich auf die Grundsätze der Einführung geeigneter Übergangsvorschriften bezogen. Die Empfohlenen ADN-Klassifikationsgesellschaften wurden aufgefordert, rechtzeitig für die nächste Sitzung ein offizielles Dokument zur Prüfung durch den Ausschuss auszuarbeiten.“.</w:t>
            </w:r>
          </w:p>
          <w:p w14:paraId="3B7558C1" w14:textId="2EC0CB51" w:rsidR="00F77B72" w:rsidRPr="000F61F8" w:rsidRDefault="00F77B72" w:rsidP="00F77B72">
            <w:pPr>
              <w:ind w:left="75" w:firstLine="7"/>
            </w:pPr>
          </w:p>
        </w:tc>
      </w:tr>
    </w:tbl>
    <w:p w14:paraId="4C480B47" w14:textId="3FC13FB7" w:rsidR="0022634C" w:rsidRPr="000F61F8" w:rsidRDefault="0022634C" w:rsidP="0022634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0F61F8">
        <w:rPr>
          <w:b/>
          <w:sz w:val="28"/>
          <w:lang w:eastAsia="en-US"/>
        </w:rPr>
        <w:tab/>
      </w:r>
      <w:r w:rsidRPr="000F61F8">
        <w:rPr>
          <w:b/>
          <w:sz w:val="28"/>
          <w:lang w:eastAsia="en-US"/>
        </w:rPr>
        <w:tab/>
        <w:t>Einleitung</w:t>
      </w:r>
    </w:p>
    <w:p w14:paraId="2A4050B1" w14:textId="6C103B7A" w:rsidR="00F77B72" w:rsidRPr="000F61F8" w:rsidRDefault="00F77B72" w:rsidP="008753D6">
      <w:pPr>
        <w:widowControl/>
        <w:tabs>
          <w:tab w:val="left" w:pos="1701"/>
        </w:tabs>
        <w:suppressAutoHyphens/>
        <w:overflowPunct/>
        <w:autoSpaceDE/>
        <w:autoSpaceDN/>
        <w:adjustRightInd/>
        <w:spacing w:after="120" w:line="240" w:lineRule="atLeast"/>
        <w:ind w:right="1134" w:firstLine="0"/>
        <w:textAlignment w:val="auto"/>
      </w:pPr>
      <w:r w:rsidRPr="000F61F8">
        <w:t>1.</w:t>
      </w:r>
      <w:r w:rsidRPr="000F61F8">
        <w:tab/>
      </w:r>
      <w:r w:rsidR="0093393C" w:rsidRPr="000F61F8">
        <w:t xml:space="preserve">In der siebzehnten Sitzung der Informellen Arbeitsgruppe der Empfohlenen ADN-Klassifikationsgesellschaften im März 2019 wurde darüber diskutiert, dass einige Vorschriften des ADN 2019 für Schubverbände mit einem Tankschiff, das gefährliche Güter befördert, falsch sind oder für Schiffe, die Teil eines Verbands sind, </w:t>
      </w:r>
      <w:r w:rsidR="008753D6" w:rsidRPr="000F61F8">
        <w:t>nicht sinnvoll</w:t>
      </w:r>
      <w:r w:rsidR="0093393C" w:rsidRPr="000F61F8">
        <w:t xml:space="preserve"> erscheinen.</w:t>
      </w:r>
      <w:r w:rsidRPr="000F61F8">
        <w:t xml:space="preserve"> </w:t>
      </w:r>
      <w:r w:rsidR="0093393C" w:rsidRPr="000F61F8">
        <w:t xml:space="preserve">Die unterstrichenen Absätze </w:t>
      </w:r>
      <w:r w:rsidR="00675E1A" w:rsidRPr="000F61F8">
        <w:t>standen</w:t>
      </w:r>
      <w:r w:rsidR="0093393C" w:rsidRPr="000F61F8">
        <w:t xml:space="preserve"> zur Diskussion:</w:t>
      </w:r>
      <w:r w:rsidRPr="000F61F8">
        <w:t xml:space="preserve"> </w:t>
      </w:r>
      <w:r w:rsidR="008B5456" w:rsidRPr="000F61F8">
        <w:rPr>
          <w:lang w:val="en-US"/>
        </w:rPr>
        <w:t xml:space="preserve">…, </w:t>
      </w:r>
      <w:r w:rsidRPr="000F61F8">
        <w:t xml:space="preserve">9.3.3.0.1, </w:t>
      </w:r>
      <w:r w:rsidRPr="000F61F8">
        <w:rPr>
          <w:u w:val="single"/>
        </w:rPr>
        <w:t>9.3.3.0.3 d)</w:t>
      </w:r>
      <w:r w:rsidRPr="000F61F8">
        <w:t xml:space="preserve">, 9.3.3.0.5, 9.3.3.10.1, </w:t>
      </w:r>
      <w:r w:rsidRPr="000F61F8">
        <w:rPr>
          <w:u w:val="single"/>
        </w:rPr>
        <w:t>9.3.3.10.2</w:t>
      </w:r>
      <w:r w:rsidRPr="000F61F8">
        <w:t>, 9.3.3.10.5, …</w:t>
      </w:r>
    </w:p>
    <w:p w14:paraId="00645D1D" w14:textId="27406046" w:rsidR="00F77B72" w:rsidRPr="000F61F8" w:rsidRDefault="00F77B72" w:rsidP="008753D6">
      <w:pPr>
        <w:widowControl/>
        <w:tabs>
          <w:tab w:val="left" w:pos="1701"/>
        </w:tabs>
        <w:suppressAutoHyphens/>
        <w:overflowPunct/>
        <w:autoSpaceDE/>
        <w:autoSpaceDN/>
        <w:adjustRightInd/>
        <w:spacing w:after="120" w:line="240" w:lineRule="atLeast"/>
        <w:ind w:right="1134" w:firstLine="0"/>
        <w:textAlignment w:val="auto"/>
      </w:pPr>
      <w:r w:rsidRPr="000F61F8">
        <w:t>2.</w:t>
      </w:r>
      <w:r w:rsidRPr="000F61F8">
        <w:tab/>
      </w:r>
      <w:r w:rsidR="00F90084" w:rsidRPr="000F61F8">
        <w:t xml:space="preserve">Die Klassifikationsgesellschaften stellten ferner fest, dass einige Probleme mit den Übergangsvorschriften in Absatz 1.6.7.2.2.2 </w:t>
      </w:r>
      <w:r w:rsidR="00467DFE" w:rsidRPr="000F61F8">
        <w:t>zu</w:t>
      </w:r>
      <w:r w:rsidR="00F90084" w:rsidRPr="000F61F8">
        <w:t xml:space="preserve"> de</w:t>
      </w:r>
      <w:r w:rsidR="00467DFE" w:rsidRPr="000F61F8">
        <w:t>n</w:t>
      </w:r>
      <w:r w:rsidR="00F90084" w:rsidRPr="000F61F8">
        <w:t xml:space="preserve"> Absätze</w:t>
      </w:r>
      <w:r w:rsidR="00467DFE" w:rsidRPr="000F61F8">
        <w:t>n</w:t>
      </w:r>
      <w:r w:rsidR="00F90084" w:rsidRPr="000F61F8">
        <w:t xml:space="preserve"> 7.2.2.19.3 und 7.2.2.19.4 für Schubverbände mit Tankschiffen bestehen.</w:t>
      </w:r>
    </w:p>
    <w:p w14:paraId="2554C79A" w14:textId="28DB86FD" w:rsidR="00F77B72" w:rsidRPr="000F61F8" w:rsidRDefault="00F77B72" w:rsidP="008753D6">
      <w:pPr>
        <w:widowControl/>
        <w:tabs>
          <w:tab w:val="left" w:pos="1701"/>
        </w:tabs>
        <w:suppressAutoHyphens/>
        <w:overflowPunct/>
        <w:autoSpaceDE/>
        <w:autoSpaceDN/>
        <w:adjustRightInd/>
        <w:spacing w:after="120" w:line="240" w:lineRule="atLeast"/>
        <w:ind w:right="1134" w:firstLine="0"/>
        <w:textAlignment w:val="auto"/>
      </w:pPr>
      <w:r w:rsidRPr="000F61F8">
        <w:t>3.</w:t>
      </w:r>
      <w:r w:rsidRPr="000F61F8">
        <w:tab/>
      </w:r>
      <w:r w:rsidR="00467DFE" w:rsidRPr="000F61F8">
        <w:t xml:space="preserve">Die </w:t>
      </w:r>
      <w:r w:rsidR="00555FE2" w:rsidRPr="000F61F8">
        <w:t>I</w:t>
      </w:r>
      <w:r w:rsidR="00467DFE" w:rsidRPr="000F61F8">
        <w:t xml:space="preserve">nformelle </w:t>
      </w:r>
      <w:r w:rsidR="00555FE2" w:rsidRPr="000F61F8">
        <w:t>Arbeitsg</w:t>
      </w:r>
      <w:r w:rsidR="00467DFE" w:rsidRPr="000F61F8">
        <w:t xml:space="preserve">ruppe </w:t>
      </w:r>
      <w:r w:rsidR="00555FE2" w:rsidRPr="000F61F8">
        <w:t xml:space="preserve">legte </w:t>
      </w:r>
      <w:r w:rsidR="001B4848" w:rsidRPr="000F61F8">
        <w:t>zwecks</w:t>
      </w:r>
      <w:r w:rsidR="00555FE2" w:rsidRPr="000F61F8">
        <w:t xml:space="preserve"> einer ersten Diskussion über die weitere Behandlung dieser Punkte </w:t>
      </w:r>
      <w:r w:rsidR="00467DFE" w:rsidRPr="000F61F8">
        <w:t xml:space="preserve">das informelle Dokument INF.13 </w:t>
      </w:r>
      <w:r w:rsidR="00555FE2" w:rsidRPr="000F61F8">
        <w:t>zur</w:t>
      </w:r>
      <w:r w:rsidR="00467DFE" w:rsidRPr="000F61F8">
        <w:t xml:space="preserve"> fünfund</w:t>
      </w:r>
      <w:r w:rsidR="004975E4" w:rsidRPr="000F61F8">
        <w:softHyphen/>
      </w:r>
      <w:r w:rsidR="00467DFE" w:rsidRPr="000F61F8">
        <w:t xml:space="preserve">dreißigsten </w:t>
      </w:r>
      <w:r w:rsidR="00555FE2" w:rsidRPr="000F61F8">
        <w:t>Sitzung</w:t>
      </w:r>
      <w:r w:rsidR="00467DFE" w:rsidRPr="000F61F8">
        <w:t xml:space="preserve"> vor.</w:t>
      </w:r>
      <w:r w:rsidRPr="000F61F8">
        <w:t xml:space="preserve"> </w:t>
      </w:r>
      <w:r w:rsidR="001B4848" w:rsidRPr="000F61F8">
        <w:t xml:space="preserve">Als Ergebnis der Diskussion in der </w:t>
      </w:r>
      <w:r w:rsidR="00C04016" w:rsidRPr="000F61F8">
        <w:t>fünfunddreißigsten</w:t>
      </w:r>
      <w:r w:rsidR="001B4848" w:rsidRPr="000F61F8">
        <w:t xml:space="preserve"> Sitzung des ADN-Sicherheitsausschusses legten die Klassifikationsgesellschaften die folgenden Vorschläge vor.</w:t>
      </w:r>
    </w:p>
    <w:p w14:paraId="407A1CEA" w14:textId="3E88F449"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0F61F8">
        <w:rPr>
          <w:b/>
          <w:sz w:val="28"/>
        </w:rPr>
        <w:lastRenderedPageBreak/>
        <w:tab/>
        <w:t>I.</w:t>
      </w:r>
      <w:r w:rsidRPr="000F61F8">
        <w:rPr>
          <w:b/>
          <w:sz w:val="28"/>
        </w:rPr>
        <w:tab/>
      </w:r>
      <w:r w:rsidR="00422230" w:rsidRPr="000F61F8">
        <w:rPr>
          <w:b/>
          <w:sz w:val="28"/>
        </w:rPr>
        <w:t>Schubverbände und gekuppelte</w:t>
      </w:r>
      <w:r w:rsidR="00E008FB" w:rsidRPr="000F61F8">
        <w:rPr>
          <w:b/>
          <w:sz w:val="28"/>
        </w:rPr>
        <w:t xml:space="preserve"> Schiffe</w:t>
      </w:r>
      <w:r w:rsidR="00422230" w:rsidRPr="000F61F8">
        <w:rPr>
          <w:b/>
          <w:sz w:val="28"/>
        </w:rPr>
        <w:t xml:space="preserve"> </w:t>
      </w:r>
      <w:r w:rsidRPr="000F61F8">
        <w:rPr>
          <w:b/>
          <w:sz w:val="28"/>
        </w:rPr>
        <w:t>(Tank</w:t>
      </w:r>
      <w:r w:rsidR="001B4848" w:rsidRPr="000F61F8">
        <w:rPr>
          <w:b/>
          <w:sz w:val="28"/>
        </w:rPr>
        <w:t>schiff</w:t>
      </w:r>
      <w:r w:rsidRPr="000F61F8">
        <w:rPr>
          <w:b/>
          <w:sz w:val="28"/>
        </w:rPr>
        <w:t>e) - ADN 7.2.2.19.3</w:t>
      </w:r>
    </w:p>
    <w:p w14:paraId="27B40730" w14:textId="0C0E7D4D" w:rsidR="00F77B72" w:rsidRPr="000F61F8" w:rsidRDefault="00F77B72" w:rsidP="008753D6">
      <w:pPr>
        <w:widowControl/>
        <w:tabs>
          <w:tab w:val="left" w:pos="1701"/>
        </w:tabs>
        <w:suppressAutoHyphens/>
        <w:overflowPunct/>
        <w:autoSpaceDE/>
        <w:autoSpaceDN/>
        <w:adjustRightInd/>
        <w:spacing w:after="120" w:line="240" w:lineRule="atLeast"/>
        <w:ind w:right="1134" w:firstLine="0"/>
        <w:textAlignment w:val="auto"/>
      </w:pPr>
      <w:r w:rsidRPr="000F61F8">
        <w:t>4.</w:t>
      </w:r>
      <w:r w:rsidRPr="000F61F8">
        <w:tab/>
      </w:r>
      <w:r w:rsidR="004A39DF" w:rsidRPr="000F61F8">
        <w:t xml:space="preserve">Der in Absatz 7.2.2.19.3 genannte erforderliche </w:t>
      </w:r>
      <w:r w:rsidR="008753D6" w:rsidRPr="000F61F8">
        <w:t>Absatz</w:t>
      </w:r>
      <w:r w:rsidR="004A39DF" w:rsidRPr="000F61F8">
        <w:t xml:space="preserve"> 9.3.3.0.3 d) ist im ADN 2019 nicht mehr </w:t>
      </w:r>
      <w:r w:rsidR="008753D6" w:rsidRPr="000F61F8">
        <w:t>enthalten</w:t>
      </w:r>
      <w:r w:rsidR="004A39DF" w:rsidRPr="000F61F8">
        <w:t>.</w:t>
      </w:r>
    </w:p>
    <w:p w14:paraId="40848F89" w14:textId="3DB30A85" w:rsidR="00F77B72" w:rsidRPr="000F61F8" w:rsidRDefault="00F77B72" w:rsidP="004A39DF">
      <w:pPr>
        <w:keepNext/>
        <w:keepLines/>
        <w:widowControl/>
        <w:tabs>
          <w:tab w:val="right" w:pos="851"/>
          <w:tab w:val="left" w:pos="1701"/>
        </w:tabs>
        <w:suppressAutoHyphens/>
        <w:overflowPunct/>
        <w:autoSpaceDE/>
        <w:autoSpaceDN/>
        <w:adjustRightInd/>
        <w:spacing w:before="360" w:after="240" w:line="270" w:lineRule="exact"/>
        <w:ind w:right="1134"/>
        <w:jc w:val="left"/>
        <w:textAlignment w:val="auto"/>
        <w:rPr>
          <w:b/>
          <w:sz w:val="24"/>
        </w:rPr>
      </w:pPr>
      <w:r w:rsidRPr="000F61F8">
        <w:rPr>
          <w:b/>
          <w:sz w:val="24"/>
        </w:rPr>
        <w:tab/>
      </w:r>
      <w:r w:rsidRPr="000F61F8">
        <w:rPr>
          <w:b/>
          <w:sz w:val="24"/>
        </w:rPr>
        <w:tab/>
        <w:t>Vorschlag</w:t>
      </w:r>
    </w:p>
    <w:p w14:paraId="38833F1B" w14:textId="1A196FC8" w:rsidR="00F77B72" w:rsidRPr="000F61F8" w:rsidRDefault="00F77B72" w:rsidP="008753D6">
      <w:pPr>
        <w:widowControl/>
        <w:tabs>
          <w:tab w:val="left" w:pos="1701"/>
        </w:tabs>
        <w:suppressAutoHyphens/>
        <w:overflowPunct/>
        <w:autoSpaceDE/>
        <w:autoSpaceDN/>
        <w:adjustRightInd/>
        <w:spacing w:after="120" w:line="240" w:lineRule="atLeast"/>
        <w:ind w:right="1134" w:firstLine="0"/>
        <w:textAlignment w:val="auto"/>
      </w:pPr>
      <w:r w:rsidRPr="000F61F8">
        <w:t>5.</w:t>
      </w:r>
      <w:r w:rsidRPr="000F61F8">
        <w:tab/>
      </w:r>
      <w:r w:rsidR="004A39DF" w:rsidRPr="000F61F8">
        <w:t xml:space="preserve">Den Verweis in Absatz 7.2.2.19.3 in der nächsten Ausgabe des ADN in „9.3.3.0.3 – letzter Absatz“ ändern, da dieser </w:t>
      </w:r>
      <w:r w:rsidR="008753D6" w:rsidRPr="000F61F8">
        <w:t>Absatz</w:t>
      </w:r>
      <w:r w:rsidR="004A39DF" w:rsidRPr="000F61F8">
        <w:t xml:space="preserve"> den gleichen Inhalt hat wie </w:t>
      </w:r>
      <w:r w:rsidR="008753D6" w:rsidRPr="000F61F8">
        <w:t>Absatz</w:t>
      </w:r>
      <w:r w:rsidR="003576FA" w:rsidRPr="000F61F8">
        <w:t xml:space="preserve"> </w:t>
      </w:r>
      <w:r w:rsidR="004A39DF" w:rsidRPr="000F61F8">
        <w:t>9.3.3.0.3 d) in der ADN</w:t>
      </w:r>
      <w:r w:rsidR="003576FA" w:rsidRPr="000F61F8">
        <w:t xml:space="preserve">-Ausgabe </w:t>
      </w:r>
      <w:r w:rsidR="004A39DF" w:rsidRPr="000F61F8">
        <w:t>2017.</w:t>
      </w:r>
    </w:p>
    <w:p w14:paraId="1E18BB76" w14:textId="202E30CD"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270" w:lineRule="exact"/>
        <w:ind w:right="1134"/>
        <w:jc w:val="left"/>
        <w:textAlignment w:val="auto"/>
        <w:rPr>
          <w:b/>
          <w:sz w:val="24"/>
        </w:rPr>
      </w:pPr>
      <w:r w:rsidRPr="000F61F8">
        <w:rPr>
          <w:b/>
          <w:sz w:val="24"/>
        </w:rPr>
        <w:tab/>
      </w:r>
      <w:r w:rsidRPr="000F61F8">
        <w:rPr>
          <w:b/>
          <w:sz w:val="24"/>
        </w:rPr>
        <w:tab/>
      </w:r>
      <w:r w:rsidRPr="000F61F8">
        <w:rPr>
          <w:b/>
          <w:bCs/>
          <w:sz w:val="24"/>
        </w:rPr>
        <w:t>Auswirkungen und Umsetzbarkeit</w:t>
      </w:r>
    </w:p>
    <w:p w14:paraId="35DC70BD" w14:textId="79045594" w:rsidR="00F77B72" w:rsidRPr="000F61F8" w:rsidRDefault="00F77B72" w:rsidP="00361F20">
      <w:pPr>
        <w:widowControl/>
        <w:tabs>
          <w:tab w:val="left" w:pos="1701"/>
        </w:tabs>
        <w:suppressAutoHyphens/>
        <w:overflowPunct/>
        <w:autoSpaceDE/>
        <w:autoSpaceDN/>
        <w:adjustRightInd/>
        <w:spacing w:after="120" w:line="240" w:lineRule="atLeast"/>
        <w:ind w:right="1134" w:firstLine="0"/>
        <w:textAlignment w:val="auto"/>
      </w:pPr>
      <w:r w:rsidRPr="000F61F8">
        <w:t>6.</w:t>
      </w:r>
      <w:r w:rsidRPr="000F61F8">
        <w:tab/>
      </w:r>
      <w:r w:rsidR="002B09E8" w:rsidRPr="000F61F8">
        <w:t xml:space="preserve">Der Sicherheitsausschuss könnte erörtern, wie </w:t>
      </w:r>
      <w:r w:rsidR="008753D6" w:rsidRPr="000F61F8">
        <w:t>dieser</w:t>
      </w:r>
      <w:r w:rsidR="002B09E8" w:rsidRPr="000F61F8">
        <w:t xml:space="preserve"> offensichtlich</w:t>
      </w:r>
      <w:r w:rsidR="000651D4" w:rsidRPr="000F61F8">
        <w:t>e</w:t>
      </w:r>
      <w:r w:rsidR="002B09E8" w:rsidRPr="000F61F8">
        <w:t xml:space="preserve"> formale Fehler </w:t>
      </w:r>
      <w:bookmarkStart w:id="1" w:name="_Hlk25662029"/>
      <w:r w:rsidR="008753D6" w:rsidRPr="000F61F8">
        <w:t xml:space="preserve">bis zum Inkrafttreten einer neuen Ausgabe des ADN </w:t>
      </w:r>
      <w:bookmarkEnd w:id="1"/>
      <w:r w:rsidR="008753D6" w:rsidRPr="000F61F8">
        <w:t>behandelt werden soll</w:t>
      </w:r>
      <w:r w:rsidR="002B09E8" w:rsidRPr="000F61F8">
        <w:t>.</w:t>
      </w:r>
    </w:p>
    <w:p w14:paraId="64DDD873" w14:textId="1F7D3445"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0F61F8">
        <w:rPr>
          <w:b/>
          <w:sz w:val="28"/>
        </w:rPr>
        <w:tab/>
        <w:t>II.</w:t>
      </w:r>
      <w:r w:rsidRPr="000F61F8">
        <w:rPr>
          <w:b/>
          <w:sz w:val="28"/>
        </w:rPr>
        <w:tab/>
      </w:r>
      <w:r w:rsidR="00422230" w:rsidRPr="000F61F8">
        <w:rPr>
          <w:b/>
          <w:bCs/>
          <w:sz w:val="28"/>
        </w:rPr>
        <w:t xml:space="preserve">Schubverbände und gekuppelte Schiffe </w:t>
      </w:r>
      <w:r w:rsidRPr="000F61F8">
        <w:rPr>
          <w:b/>
          <w:sz w:val="28"/>
        </w:rPr>
        <w:t>(Tank</w:t>
      </w:r>
      <w:r w:rsidR="00EF3749" w:rsidRPr="000F61F8">
        <w:rPr>
          <w:b/>
          <w:sz w:val="28"/>
        </w:rPr>
        <w:t>schiff</w:t>
      </w:r>
      <w:r w:rsidRPr="000F61F8">
        <w:rPr>
          <w:b/>
          <w:sz w:val="28"/>
        </w:rPr>
        <w:t>e) - ADN 7.2.2.19.3</w:t>
      </w:r>
    </w:p>
    <w:p w14:paraId="2DC5B328" w14:textId="4C62281D" w:rsidR="00F77B72" w:rsidRPr="000F61F8" w:rsidRDefault="00F77B72" w:rsidP="000651D4">
      <w:pPr>
        <w:widowControl/>
        <w:tabs>
          <w:tab w:val="left" w:pos="1701"/>
        </w:tabs>
        <w:suppressAutoHyphens/>
        <w:overflowPunct/>
        <w:autoSpaceDE/>
        <w:autoSpaceDN/>
        <w:adjustRightInd/>
        <w:spacing w:after="120" w:line="240" w:lineRule="atLeast"/>
        <w:ind w:right="1134" w:firstLine="0"/>
        <w:textAlignment w:val="auto"/>
      </w:pPr>
      <w:r w:rsidRPr="000F61F8">
        <w:t>7.</w:t>
      </w:r>
      <w:r w:rsidRPr="000F61F8">
        <w:tab/>
      </w:r>
      <w:r w:rsidR="00DD53A8" w:rsidRPr="000F61F8">
        <w:t xml:space="preserve">Der in Absatz 7.2.2.19.3 genannte erforderliche Absatz 9.3.3.10.2 </w:t>
      </w:r>
      <w:r w:rsidR="00746336" w:rsidRPr="000F61F8">
        <w:t>ist</w:t>
      </w:r>
      <w:r w:rsidR="00DD53A8" w:rsidRPr="000F61F8">
        <w:t xml:space="preserve"> </w:t>
      </w:r>
      <w:r w:rsidR="00746336" w:rsidRPr="000F61F8">
        <w:t>auf</w:t>
      </w:r>
      <w:r w:rsidR="00DD53A8" w:rsidRPr="000F61F8">
        <w:t xml:space="preserve"> Schiffe, die für die Fortbewegung verwendet werden, z.</w:t>
      </w:r>
      <w:r w:rsidR="00746336" w:rsidRPr="000F61F8">
        <w:t> </w:t>
      </w:r>
      <w:r w:rsidR="00DD53A8" w:rsidRPr="000F61F8">
        <w:t>B. Schub</w:t>
      </w:r>
      <w:r w:rsidR="00746336" w:rsidRPr="000F61F8">
        <w:t>schiff</w:t>
      </w:r>
      <w:r w:rsidR="00DD53A8" w:rsidRPr="000F61F8">
        <w:t xml:space="preserve">e, </w:t>
      </w:r>
      <w:r w:rsidR="00746336" w:rsidRPr="000F61F8">
        <w:t xml:space="preserve">nicht anwendbar, </w:t>
      </w:r>
      <w:r w:rsidR="00DD53A8" w:rsidRPr="000F61F8">
        <w:t xml:space="preserve">da dieser Absatz </w:t>
      </w:r>
      <w:r w:rsidR="00746336" w:rsidRPr="000F61F8">
        <w:t>die</w:t>
      </w:r>
      <w:r w:rsidR="00DD53A8" w:rsidRPr="000F61F8">
        <w:t xml:space="preserve"> Schutz</w:t>
      </w:r>
      <w:r w:rsidR="00746336" w:rsidRPr="000F61F8">
        <w:t>sülle</w:t>
      </w:r>
      <w:r w:rsidR="00DD53A8" w:rsidRPr="000F61F8">
        <w:t xml:space="preserve"> über den </w:t>
      </w:r>
      <w:r w:rsidR="00746336" w:rsidRPr="000F61F8">
        <w:t>Ladetanks</w:t>
      </w:r>
      <w:r w:rsidR="00DD53A8" w:rsidRPr="000F61F8">
        <w:t xml:space="preserve">chotten </w:t>
      </w:r>
      <w:r w:rsidR="00746336" w:rsidRPr="000F61F8">
        <w:t>zum Gegenstand hat</w:t>
      </w:r>
      <w:r w:rsidR="00DD53A8" w:rsidRPr="000F61F8">
        <w:t xml:space="preserve"> und solch</w:t>
      </w:r>
      <w:r w:rsidR="00746336" w:rsidRPr="000F61F8">
        <w:t>e</w:t>
      </w:r>
      <w:r w:rsidR="00DD53A8" w:rsidRPr="000F61F8">
        <w:t xml:space="preserve"> </w:t>
      </w:r>
      <w:r w:rsidR="00746336" w:rsidRPr="000F61F8">
        <w:t>Sülle</w:t>
      </w:r>
      <w:r w:rsidR="00DD53A8" w:rsidRPr="000F61F8">
        <w:t xml:space="preserve"> </w:t>
      </w:r>
      <w:r w:rsidR="008A2DD3" w:rsidRPr="000F61F8">
        <w:t>nach Absatz</w:t>
      </w:r>
      <w:r w:rsidR="00DD53A8" w:rsidRPr="000F61F8">
        <w:t xml:space="preserve"> 9.3.3.10.2 </w:t>
      </w:r>
      <w:r w:rsidR="00D55A38" w:rsidRPr="000F61F8">
        <w:t xml:space="preserve">normalerweise nicht </w:t>
      </w:r>
      <w:r w:rsidR="00DD53A8" w:rsidRPr="000F61F8">
        <w:t>auf einem Schub</w:t>
      </w:r>
      <w:r w:rsidR="00746336" w:rsidRPr="000F61F8">
        <w:t>schiff</w:t>
      </w:r>
      <w:r w:rsidR="00DD53A8" w:rsidRPr="000F61F8">
        <w:t xml:space="preserve"> ange</w:t>
      </w:r>
      <w:r w:rsidR="00746336" w:rsidRPr="000F61F8">
        <w:t>bracht</w:t>
      </w:r>
      <w:r w:rsidR="00DD53A8" w:rsidRPr="000F61F8">
        <w:t xml:space="preserve"> werden k</w:t>
      </w:r>
      <w:r w:rsidR="008A2DD3" w:rsidRPr="000F61F8">
        <w:t>ö</w:t>
      </w:r>
      <w:r w:rsidR="00DD53A8" w:rsidRPr="000F61F8">
        <w:t>nn</w:t>
      </w:r>
      <w:r w:rsidR="008A2DD3" w:rsidRPr="000F61F8">
        <w:t>en</w:t>
      </w:r>
      <w:r w:rsidR="00DD53A8" w:rsidRPr="000F61F8">
        <w:t>.</w:t>
      </w:r>
      <w:r w:rsidRPr="000F61F8">
        <w:t xml:space="preserve"> </w:t>
      </w:r>
      <w:r w:rsidR="00CE4903" w:rsidRPr="000F61F8">
        <w:t>Ladetankschott</w:t>
      </w:r>
      <w:r w:rsidR="000651D4" w:rsidRPr="000F61F8">
        <w:t>e</w:t>
      </w:r>
      <w:r w:rsidR="00CE4903" w:rsidRPr="000F61F8">
        <w:t xml:space="preserve"> gibt es bei dieser Art von Schiffen nicht und die Sülle haben keinen Sinn, da Flüssigkeiten bei solchen Schiffen nicht direkt auf das Deck gelangen können.</w:t>
      </w:r>
    </w:p>
    <w:p w14:paraId="1476D748" w14:textId="18BBBEDE" w:rsidR="00F77B72" w:rsidRPr="000F61F8" w:rsidRDefault="00F77B72" w:rsidP="000651D4">
      <w:pPr>
        <w:widowControl/>
        <w:tabs>
          <w:tab w:val="left" w:pos="1701"/>
        </w:tabs>
        <w:suppressAutoHyphens/>
        <w:overflowPunct/>
        <w:autoSpaceDE/>
        <w:autoSpaceDN/>
        <w:adjustRightInd/>
        <w:spacing w:after="120" w:line="240" w:lineRule="atLeast"/>
        <w:ind w:right="1134" w:firstLine="0"/>
        <w:textAlignment w:val="auto"/>
      </w:pPr>
      <w:r w:rsidRPr="000F61F8">
        <w:t>8.</w:t>
      </w:r>
      <w:r w:rsidRPr="000F61F8">
        <w:tab/>
      </w:r>
      <w:r w:rsidR="00CE4903" w:rsidRPr="000F61F8">
        <w:t xml:space="preserve">Im ADN 2017 regelt Absatz 9.3.3.10.2 die </w:t>
      </w:r>
      <w:r w:rsidR="00BB7289" w:rsidRPr="000F61F8">
        <w:t xml:space="preserve">Höhe der </w:t>
      </w:r>
      <w:r w:rsidR="00CE4903" w:rsidRPr="000F61F8">
        <w:t>Süll</w:t>
      </w:r>
      <w:r w:rsidR="00BB7289" w:rsidRPr="000F61F8">
        <w:t>e</w:t>
      </w:r>
      <w:r w:rsidR="00CE4903" w:rsidRPr="000F61F8">
        <w:t xml:space="preserve"> von Öffnungen außerhalb des Bereichs der Ladung:</w:t>
      </w:r>
    </w:p>
    <w:p w14:paraId="4C702394" w14:textId="4ECC016F" w:rsidR="00F77B72" w:rsidRPr="000F61F8" w:rsidRDefault="00F77B72" w:rsidP="00F77B72">
      <w:pPr>
        <w:widowControl/>
        <w:tabs>
          <w:tab w:val="left" w:pos="1701"/>
        </w:tabs>
        <w:suppressAutoHyphens/>
        <w:overflowPunct/>
        <w:autoSpaceDE/>
        <w:autoSpaceDN/>
        <w:adjustRightInd/>
        <w:spacing w:after="120" w:line="240" w:lineRule="atLeast"/>
        <w:ind w:right="1134" w:firstLine="0"/>
        <w:textAlignment w:val="auto"/>
      </w:pPr>
      <w:r w:rsidRPr="000F61F8">
        <w:t>„Außerhalb des Bereichs der Ladung muss die Unterkante der Öffnungen in den Seitenwänden von Aufbauten mindestens 0,50 m über Deck liegen, und die Höhe der Sülle von Zugangsluken zu Räumen unter Deck muss mindestens 0,50 m über Deck betragen.</w:t>
      </w:r>
    </w:p>
    <w:p w14:paraId="0511CFD8" w14:textId="753A4A05" w:rsidR="00F77B72" w:rsidRPr="000F61F8" w:rsidRDefault="00F77B72" w:rsidP="00F77B72">
      <w:pPr>
        <w:widowControl/>
        <w:tabs>
          <w:tab w:val="left" w:pos="1701"/>
        </w:tabs>
        <w:suppressAutoHyphens/>
        <w:overflowPunct/>
        <w:autoSpaceDE/>
        <w:autoSpaceDN/>
        <w:adjustRightInd/>
        <w:spacing w:after="120" w:line="240" w:lineRule="atLeast"/>
        <w:ind w:right="1134" w:firstLine="0"/>
        <w:textAlignment w:val="auto"/>
      </w:pPr>
      <w:r w:rsidRPr="000F61F8">
        <w:t>Dies ist nicht erforderlich, wenn die dem Bereich der Ladung zugewandte Wand der Aufbauten von Bordwand zu Bordwand durchgezogen und lediglich mit Durchgangsöffnungen versehen ist, wobei die Sülle dieser Öffnungen eine Höhe von mindestens 0,50 m über Deck haben. Die Höhe dieser Wand muss mindestens 2 m betragen. Die Unterkante der Öffnungen in den Seitenwänden von Aufbauten und die Oberkante der Sülle von Zugangsluken, die sich hinter der durchgezogenen Querwand befinden, müssen in diesem Fall mindestens 0,10 m über Deck liegen. Sülle von Maschinenraumtüren und -zugangsluken müssen jedoch immer eine Höhe von mindestens 0,50 m über Deck haben</w:t>
      </w:r>
      <w:r w:rsidR="004975E4" w:rsidRPr="000F61F8">
        <w:t>.“.</w:t>
      </w:r>
    </w:p>
    <w:p w14:paraId="461CFA8F" w14:textId="0EC78D9B" w:rsidR="00F77B72" w:rsidRPr="000F61F8" w:rsidRDefault="00F77B72" w:rsidP="00EF3BF5">
      <w:pPr>
        <w:widowControl/>
        <w:tabs>
          <w:tab w:val="left" w:pos="1701"/>
        </w:tabs>
        <w:suppressAutoHyphens/>
        <w:overflowPunct/>
        <w:autoSpaceDE/>
        <w:autoSpaceDN/>
        <w:adjustRightInd/>
        <w:spacing w:after="120" w:line="240" w:lineRule="atLeast"/>
        <w:ind w:right="1134" w:firstLine="0"/>
        <w:textAlignment w:val="auto"/>
      </w:pPr>
      <w:r w:rsidRPr="000F61F8">
        <w:t>9.</w:t>
      </w:r>
      <w:r w:rsidRPr="000F61F8">
        <w:tab/>
      </w:r>
      <w:r w:rsidR="00BB7289" w:rsidRPr="000F61F8">
        <w:t xml:space="preserve">Im ADN 2019 gibt es keinen </w:t>
      </w:r>
      <w:r w:rsidR="00CE01F8" w:rsidRPr="000F61F8">
        <w:t>solchen</w:t>
      </w:r>
      <w:r w:rsidR="00BB7289" w:rsidRPr="000F61F8">
        <w:t xml:space="preserve"> Absatz, jedoch sind die oben genannten Anforderungen teilweise in Absatz 9.3.3.10.4 des ADN 2019 enthalten:</w:t>
      </w:r>
    </w:p>
    <w:p w14:paraId="390F7E8D" w14:textId="5836A7B6" w:rsidR="00F77B72" w:rsidRPr="000F61F8" w:rsidRDefault="004975E4" w:rsidP="00F77B72">
      <w:pPr>
        <w:widowControl/>
        <w:tabs>
          <w:tab w:val="left" w:pos="1701"/>
        </w:tabs>
        <w:suppressAutoHyphens/>
        <w:overflowPunct/>
        <w:autoSpaceDE/>
        <w:autoSpaceDN/>
        <w:adjustRightInd/>
        <w:spacing w:after="120" w:line="240" w:lineRule="atLeast"/>
        <w:ind w:right="1134" w:firstLine="0"/>
        <w:textAlignment w:val="auto"/>
      </w:pPr>
      <w:r w:rsidRPr="000F61F8">
        <w:t>„</w:t>
      </w:r>
      <w:r w:rsidR="00F77B72" w:rsidRPr="000F61F8">
        <w:t>An Deck muss die Höhe der Unterkante der Öffnungen in den Seitenwänden von Aufbauten und die Höhe der Sülle von Zugangsluken und Lüftungsöffnungen von Räumen unter Deck mindes-tens 0,50 m über Deck betragen.</w:t>
      </w:r>
      <w:r w:rsidR="003D000E" w:rsidRPr="000F61F8">
        <w:t xml:space="preserve"> Dies gilt nicht für Öffnungen von Wallgängen und Doppelböden.“</w:t>
      </w:r>
    </w:p>
    <w:p w14:paraId="01E04A10" w14:textId="49FBE650"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270" w:lineRule="exact"/>
        <w:ind w:right="1134"/>
        <w:jc w:val="left"/>
        <w:textAlignment w:val="auto"/>
        <w:rPr>
          <w:b/>
          <w:sz w:val="24"/>
        </w:rPr>
      </w:pPr>
      <w:r w:rsidRPr="000F61F8">
        <w:rPr>
          <w:b/>
          <w:sz w:val="24"/>
        </w:rPr>
        <w:lastRenderedPageBreak/>
        <w:tab/>
      </w:r>
      <w:r w:rsidRPr="000F61F8">
        <w:rPr>
          <w:b/>
          <w:sz w:val="24"/>
        </w:rPr>
        <w:tab/>
        <w:t>Vorschlag</w:t>
      </w:r>
    </w:p>
    <w:p w14:paraId="1485F7D8" w14:textId="3B87A80C" w:rsidR="00F77B72" w:rsidRPr="000F61F8" w:rsidRDefault="00F77B72" w:rsidP="00EF3BF5">
      <w:pPr>
        <w:widowControl/>
        <w:tabs>
          <w:tab w:val="left" w:pos="1701"/>
        </w:tabs>
        <w:suppressAutoHyphens/>
        <w:overflowPunct/>
        <w:autoSpaceDE/>
        <w:autoSpaceDN/>
        <w:adjustRightInd/>
        <w:spacing w:after="120" w:line="240" w:lineRule="atLeast"/>
        <w:ind w:right="1134" w:firstLine="0"/>
        <w:textAlignment w:val="auto"/>
      </w:pPr>
      <w:r w:rsidRPr="000F61F8">
        <w:t>10.</w:t>
      </w:r>
      <w:r w:rsidRPr="000F61F8">
        <w:tab/>
      </w:r>
      <w:r w:rsidR="00EF3BF5" w:rsidRPr="000F61F8">
        <w:t>Den Verweis auf 9.3.3.10.2 durch 9.3.3.10.4 in Absatz 7.2.2.19.3 der nächsten Ausgabe des ADN ersetzen.</w:t>
      </w:r>
    </w:p>
    <w:p w14:paraId="7281DD81" w14:textId="20B4B928"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270" w:lineRule="exact"/>
        <w:ind w:right="1134"/>
        <w:jc w:val="left"/>
        <w:textAlignment w:val="auto"/>
        <w:rPr>
          <w:b/>
          <w:sz w:val="24"/>
        </w:rPr>
      </w:pPr>
      <w:r w:rsidRPr="000F61F8">
        <w:rPr>
          <w:b/>
          <w:sz w:val="24"/>
        </w:rPr>
        <w:tab/>
      </w:r>
      <w:r w:rsidRPr="000F61F8">
        <w:rPr>
          <w:b/>
          <w:sz w:val="24"/>
        </w:rPr>
        <w:tab/>
        <w:t>Auswirkungen und Umsetzbarkeit</w:t>
      </w:r>
    </w:p>
    <w:p w14:paraId="7B1B8C01" w14:textId="67C5F0A8" w:rsidR="00F77B72" w:rsidRPr="000F61F8" w:rsidRDefault="00F77B72" w:rsidP="00EF3BF5">
      <w:pPr>
        <w:widowControl/>
        <w:tabs>
          <w:tab w:val="left" w:pos="1701"/>
        </w:tabs>
        <w:suppressAutoHyphens/>
        <w:overflowPunct/>
        <w:autoSpaceDE/>
        <w:autoSpaceDN/>
        <w:adjustRightInd/>
        <w:spacing w:after="120" w:line="240" w:lineRule="atLeast"/>
        <w:ind w:right="1134" w:firstLine="0"/>
        <w:textAlignment w:val="auto"/>
      </w:pPr>
      <w:r w:rsidRPr="000F61F8">
        <w:t>11.</w:t>
      </w:r>
      <w:r w:rsidRPr="000F61F8">
        <w:tab/>
      </w:r>
      <w:r w:rsidR="00EF3BF5" w:rsidRPr="000F61F8">
        <w:t xml:space="preserve">Der Sicherheitsausschuss könnte erörtern, wie mit diesem Verweis </w:t>
      </w:r>
      <w:r w:rsidR="000651D4" w:rsidRPr="000F61F8">
        <w:t xml:space="preserve">bis zum Inkrafttreten einer neuen Ausgabe des ADN </w:t>
      </w:r>
      <w:r w:rsidR="00EF3BF5" w:rsidRPr="000F61F8">
        <w:t>zu verfahren ist.</w:t>
      </w:r>
    </w:p>
    <w:p w14:paraId="6AD7032A" w14:textId="134C51AF" w:rsidR="00F77B72" w:rsidRPr="000F61F8" w:rsidRDefault="00F77B72" w:rsidP="00074ACA">
      <w:pPr>
        <w:widowControl/>
        <w:tabs>
          <w:tab w:val="left" w:pos="1701"/>
        </w:tabs>
        <w:suppressAutoHyphens/>
        <w:overflowPunct/>
        <w:autoSpaceDE/>
        <w:autoSpaceDN/>
        <w:adjustRightInd/>
        <w:spacing w:after="120" w:line="240" w:lineRule="atLeast"/>
        <w:ind w:right="1134" w:firstLine="0"/>
        <w:textAlignment w:val="auto"/>
      </w:pPr>
      <w:r w:rsidRPr="000F61F8">
        <w:t>12.</w:t>
      </w:r>
      <w:r w:rsidRPr="000F61F8">
        <w:tab/>
      </w:r>
      <w:r w:rsidR="00EF3BF5" w:rsidRPr="000F61F8">
        <w:t>Darf diese Anforderung bei Erneuerungs</w:t>
      </w:r>
      <w:r w:rsidR="003010C2" w:rsidRPr="000F61F8">
        <w:t>untersuch</w:t>
      </w:r>
      <w:r w:rsidR="00EF3BF5" w:rsidRPr="000F61F8">
        <w:t xml:space="preserve">ungen </w:t>
      </w:r>
      <w:r w:rsidR="008B5C69" w:rsidRPr="000F61F8">
        <w:t xml:space="preserve">gemäß dem ADN </w:t>
      </w:r>
      <w:r w:rsidR="00EF3BF5" w:rsidRPr="000F61F8">
        <w:t>ignoriert und i</w:t>
      </w:r>
      <w:r w:rsidR="00C04059" w:rsidRPr="000F61F8">
        <w:t>n den</w:t>
      </w:r>
      <w:r w:rsidR="00EF3BF5" w:rsidRPr="000F61F8">
        <w:t xml:space="preserve"> Zulassungs</w:t>
      </w:r>
      <w:r w:rsidR="003010C2" w:rsidRPr="000F61F8">
        <w:t>z</w:t>
      </w:r>
      <w:r w:rsidR="00EF3BF5" w:rsidRPr="000F61F8">
        <w:t>e</w:t>
      </w:r>
      <w:r w:rsidR="003010C2" w:rsidRPr="000F61F8">
        <w:t>ug</w:t>
      </w:r>
      <w:r w:rsidR="00EF3BF5" w:rsidRPr="000F61F8">
        <w:t>ni</w:t>
      </w:r>
      <w:r w:rsidR="003010C2" w:rsidRPr="000F61F8">
        <w:t>sse</w:t>
      </w:r>
      <w:r w:rsidR="00C04059" w:rsidRPr="000F61F8">
        <w:t>n</w:t>
      </w:r>
      <w:r w:rsidR="00EF3BF5" w:rsidRPr="000F61F8">
        <w:t xml:space="preserve"> </w:t>
      </w:r>
      <w:r w:rsidR="00C04059" w:rsidRPr="000F61F8">
        <w:t>v</w:t>
      </w:r>
      <w:r w:rsidR="00EF3BF5" w:rsidRPr="000F61F8">
        <w:t>ermerk</w:t>
      </w:r>
      <w:r w:rsidR="00C04059" w:rsidRPr="000F61F8">
        <w:t>t</w:t>
      </w:r>
      <w:r w:rsidR="00EF3BF5" w:rsidRPr="000F61F8">
        <w:t xml:space="preserve"> werden, dass dieser Absatz </w:t>
      </w:r>
      <w:r w:rsidR="003010C2" w:rsidRPr="000F61F8">
        <w:t>auf</w:t>
      </w:r>
      <w:r w:rsidR="00EF3BF5" w:rsidRPr="000F61F8">
        <w:t xml:space="preserve"> das Schiff nicht anwendbar ist?</w:t>
      </w:r>
      <w:r w:rsidRPr="000F61F8">
        <w:t xml:space="preserve"> </w:t>
      </w:r>
    </w:p>
    <w:p w14:paraId="55A14563" w14:textId="093344E9"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bCs/>
          <w:sz w:val="28"/>
        </w:rPr>
      </w:pPr>
      <w:r w:rsidRPr="000F61F8">
        <w:rPr>
          <w:b/>
          <w:sz w:val="28"/>
        </w:rPr>
        <w:tab/>
        <w:t>III.</w:t>
      </w:r>
      <w:r w:rsidRPr="000F61F8">
        <w:rPr>
          <w:b/>
          <w:sz w:val="28"/>
        </w:rPr>
        <w:tab/>
      </w:r>
      <w:bookmarkStart w:id="2" w:name="_Hlk24706842"/>
      <w:r w:rsidR="003D000E" w:rsidRPr="000F61F8">
        <w:rPr>
          <w:b/>
          <w:sz w:val="28"/>
        </w:rPr>
        <w:t>Übergangs</w:t>
      </w:r>
      <w:r w:rsidR="004975E4" w:rsidRPr="000F61F8">
        <w:rPr>
          <w:b/>
          <w:sz w:val="28"/>
        </w:rPr>
        <w:t>vorschrift</w:t>
      </w:r>
      <w:r w:rsidR="003D000E" w:rsidRPr="000F61F8">
        <w:rPr>
          <w:b/>
          <w:sz w:val="28"/>
        </w:rPr>
        <w:t xml:space="preserve"> zu</w:t>
      </w:r>
      <w:r w:rsidRPr="000F61F8">
        <w:rPr>
          <w:b/>
          <w:sz w:val="28"/>
        </w:rPr>
        <w:t xml:space="preserve"> </w:t>
      </w:r>
      <w:bookmarkEnd w:id="2"/>
      <w:r w:rsidRPr="000F61F8">
        <w:rPr>
          <w:b/>
          <w:sz w:val="28"/>
        </w:rPr>
        <w:t>7.2.2.19.3</w:t>
      </w:r>
    </w:p>
    <w:p w14:paraId="26EFCCCB" w14:textId="4CB9A48D" w:rsidR="00F77B72" w:rsidRPr="000F61F8" w:rsidRDefault="00F77B72" w:rsidP="008B5C69">
      <w:pPr>
        <w:widowControl/>
        <w:tabs>
          <w:tab w:val="left" w:pos="1701"/>
        </w:tabs>
        <w:suppressAutoHyphens/>
        <w:overflowPunct/>
        <w:autoSpaceDE/>
        <w:autoSpaceDN/>
        <w:adjustRightInd/>
        <w:spacing w:after="120" w:line="240" w:lineRule="atLeast"/>
        <w:ind w:right="1134" w:firstLine="0"/>
        <w:textAlignment w:val="auto"/>
      </w:pPr>
      <w:r w:rsidRPr="000F61F8">
        <w:t>13.</w:t>
      </w:r>
      <w:r w:rsidRPr="000F61F8">
        <w:tab/>
      </w:r>
      <w:r w:rsidR="00F0639D" w:rsidRPr="000F61F8">
        <w:t xml:space="preserve">Die Übergangsvorschrift zu Absatz 7.2.2.19.4 </w:t>
      </w:r>
      <w:r w:rsidR="008D6F04" w:rsidRPr="000F61F8">
        <w:t>–</w:t>
      </w:r>
      <w:r w:rsidR="00F0639D" w:rsidRPr="000F61F8">
        <w:t xml:space="preserve"> </w:t>
      </w:r>
      <w:r w:rsidR="008D6F04" w:rsidRPr="000F61F8">
        <w:t>„</w:t>
      </w:r>
      <w:r w:rsidR="00F0639D" w:rsidRPr="000F61F8">
        <w:t xml:space="preserve">Schiffe der </w:t>
      </w:r>
      <w:r w:rsidR="008D6F04" w:rsidRPr="000F61F8">
        <w:t>Zusammenstellung[</w:t>
      </w:r>
      <w:r w:rsidR="00F0639D" w:rsidRPr="000F61F8">
        <w:t>,</w:t>
      </w:r>
      <w:r w:rsidR="008D6F04" w:rsidRPr="000F61F8">
        <w:t>]</w:t>
      </w:r>
      <w:r w:rsidR="00F0639D" w:rsidRPr="000F61F8">
        <w:t xml:space="preserve"> für die Explosionsschutz </w:t>
      </w:r>
      <w:r w:rsidR="008D6F04" w:rsidRPr="000F61F8">
        <w:t>g</w:t>
      </w:r>
      <w:r w:rsidR="00F0639D" w:rsidRPr="000F61F8">
        <w:t>eforder</w:t>
      </w:r>
      <w:r w:rsidR="008D6F04" w:rsidRPr="000F61F8">
        <w:t>t</w:t>
      </w:r>
      <w:r w:rsidR="00F0639D" w:rsidRPr="000F61F8">
        <w:t xml:space="preserve"> ist</w:t>
      </w:r>
      <w:r w:rsidR="008D6F04" w:rsidRPr="000F61F8">
        <w:t>“</w:t>
      </w:r>
      <w:r w:rsidR="00F0639D" w:rsidRPr="000F61F8">
        <w:t xml:space="preserve"> enthält auch Übergangsbestimmungen für Schiffe, die </w:t>
      </w:r>
      <w:r w:rsidR="008D6F04" w:rsidRPr="000F61F8">
        <w:t>für die</w:t>
      </w:r>
      <w:r w:rsidR="00F0639D" w:rsidRPr="000F61F8">
        <w:t xml:space="preserve"> </w:t>
      </w:r>
      <w:r w:rsidR="008D6F04" w:rsidRPr="000F61F8">
        <w:t>Fortbewegung</w:t>
      </w:r>
      <w:r w:rsidR="00F0639D" w:rsidRPr="000F61F8">
        <w:t xml:space="preserve"> verwendet werden, und der Inhalt dieser Übergangsvorschrift</w:t>
      </w:r>
      <w:r w:rsidR="008D6F04" w:rsidRPr="000F61F8">
        <w:t xml:space="preserve"> korrespondiert</w:t>
      </w:r>
      <w:r w:rsidR="00F0639D" w:rsidRPr="000F61F8">
        <w:t xml:space="preserve"> offensichtlich mit dem Inhalt des Absatzes 7.2.2.19.3</w:t>
      </w:r>
      <w:r w:rsidR="008D6F04" w:rsidRPr="000F61F8">
        <w:t>,</w:t>
      </w:r>
      <w:r w:rsidR="00F0639D" w:rsidRPr="000F61F8">
        <w:t xml:space="preserve"> der die </w:t>
      </w:r>
      <w:r w:rsidR="008D6F04" w:rsidRPr="000F61F8">
        <w:t>Vorschriften</w:t>
      </w:r>
      <w:r w:rsidR="00F0639D" w:rsidRPr="000F61F8">
        <w:t xml:space="preserve"> </w:t>
      </w:r>
      <w:r w:rsidR="008D6F04" w:rsidRPr="000F61F8">
        <w:t>für</w:t>
      </w:r>
      <w:r w:rsidR="00F0639D" w:rsidRPr="000F61F8">
        <w:t xml:space="preserve"> Schiffe, die </w:t>
      </w:r>
      <w:r w:rsidR="008D6F04" w:rsidRPr="000F61F8">
        <w:t xml:space="preserve">für die Fortbewegung </w:t>
      </w:r>
      <w:r w:rsidR="00F0639D" w:rsidRPr="000F61F8">
        <w:t>verwendet werden, enthält.</w:t>
      </w:r>
    </w:p>
    <w:p w14:paraId="58905BD1" w14:textId="712C87BA" w:rsidR="00F77B72" w:rsidRPr="000F61F8" w:rsidRDefault="00F77B72" w:rsidP="008B5C69">
      <w:pPr>
        <w:widowControl/>
        <w:tabs>
          <w:tab w:val="left" w:pos="1701"/>
        </w:tabs>
        <w:suppressAutoHyphens/>
        <w:overflowPunct/>
        <w:autoSpaceDE/>
        <w:autoSpaceDN/>
        <w:adjustRightInd/>
        <w:spacing w:after="120" w:line="240" w:lineRule="atLeast"/>
        <w:ind w:right="1134" w:firstLine="0"/>
        <w:textAlignment w:val="auto"/>
      </w:pPr>
      <w:r w:rsidRPr="000F61F8">
        <w:t>14.</w:t>
      </w:r>
      <w:r w:rsidRPr="000F61F8">
        <w:tab/>
      </w:r>
      <w:r w:rsidR="00C20B1C" w:rsidRPr="000F61F8">
        <w:t xml:space="preserve">Mit Blick auf die oben genannten Vorschläge </w:t>
      </w:r>
      <w:r w:rsidR="00F77037" w:rsidRPr="000F61F8">
        <w:t>muss</w:t>
      </w:r>
      <w:r w:rsidR="00C20B1C" w:rsidRPr="000F61F8">
        <w:t xml:space="preserve"> die Übergangsvorschriften für die Absätze 9.3.3.0.3 d) und 9.3.3.10.2 an</w:t>
      </w:r>
      <w:r w:rsidR="00BC77F3" w:rsidRPr="000F61F8">
        <w:t>ge</w:t>
      </w:r>
      <w:r w:rsidR="00C20B1C" w:rsidRPr="000F61F8">
        <w:t>pass</w:t>
      </w:r>
      <w:r w:rsidR="00BC77F3" w:rsidRPr="000F61F8">
        <w:t>t werd</w:t>
      </w:r>
      <w:r w:rsidR="00C20B1C" w:rsidRPr="000F61F8">
        <w:t>en.</w:t>
      </w:r>
    </w:p>
    <w:p w14:paraId="351F3320" w14:textId="33546331"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270" w:lineRule="exact"/>
        <w:ind w:right="1134"/>
        <w:jc w:val="left"/>
        <w:textAlignment w:val="auto"/>
        <w:rPr>
          <w:b/>
          <w:sz w:val="24"/>
        </w:rPr>
      </w:pPr>
      <w:r w:rsidRPr="000F61F8">
        <w:rPr>
          <w:b/>
          <w:sz w:val="24"/>
        </w:rPr>
        <w:tab/>
      </w:r>
      <w:r w:rsidRPr="000F61F8">
        <w:rPr>
          <w:b/>
          <w:sz w:val="24"/>
        </w:rPr>
        <w:tab/>
        <w:t>Vorschlag</w:t>
      </w:r>
    </w:p>
    <w:p w14:paraId="08F91012" w14:textId="77777777" w:rsidR="00F77B72" w:rsidRPr="000F61F8" w:rsidRDefault="00F77B72" w:rsidP="00BF36AE">
      <w:pPr>
        <w:widowControl/>
        <w:tabs>
          <w:tab w:val="left" w:pos="1701"/>
        </w:tabs>
        <w:suppressAutoHyphens/>
        <w:overflowPunct/>
        <w:autoSpaceDE/>
        <w:autoSpaceDN/>
        <w:adjustRightInd/>
        <w:spacing w:after="120" w:line="240" w:lineRule="atLeast"/>
        <w:ind w:right="1134" w:firstLine="0"/>
        <w:textAlignment w:val="auto"/>
      </w:pPr>
      <w:r w:rsidRPr="000F61F8">
        <w:t>15.</w:t>
      </w:r>
      <w:r w:rsidRPr="000F61F8">
        <w:tab/>
      </w:r>
      <w:r w:rsidR="00BF36AE" w:rsidRPr="000F61F8">
        <w:t>Die Tabelle der Übergangsvorschriften in Bezug auf Absatz 7.2.2.19.3 wie folgt anpassen:</w:t>
      </w:r>
    </w:p>
    <w:tbl>
      <w:tblPr>
        <w:tblW w:w="9081" w:type="dxa"/>
        <w:tblInd w:w="55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985"/>
        <w:gridCol w:w="5820"/>
      </w:tblGrid>
      <w:tr w:rsidR="003D000E" w:rsidRPr="000F61F8" w14:paraId="57DB192F" w14:textId="77777777" w:rsidTr="00EF70E6">
        <w:trPr>
          <w:cantSplit/>
        </w:trPr>
        <w:tc>
          <w:tcPr>
            <w:tcW w:w="1276" w:type="dxa"/>
          </w:tcPr>
          <w:p w14:paraId="4918E9E0" w14:textId="4ED1161B" w:rsidR="003D000E" w:rsidRPr="000F61F8" w:rsidRDefault="00DF43CA" w:rsidP="003D000E">
            <w:pPr>
              <w:spacing w:before="60" w:after="60" w:line="240" w:lineRule="atLeast"/>
              <w:ind w:left="0" w:firstLine="0"/>
              <w:jc w:val="center"/>
            </w:pPr>
            <w:bookmarkStart w:id="3" w:name="_Hlk24708068"/>
            <w:r w:rsidRPr="000F61F8">
              <w:t>7.2.2.19.3</w:t>
            </w:r>
          </w:p>
        </w:tc>
        <w:tc>
          <w:tcPr>
            <w:tcW w:w="1985" w:type="dxa"/>
          </w:tcPr>
          <w:p w14:paraId="0872A433" w14:textId="5DAD6542" w:rsidR="00DF43CA" w:rsidRPr="000F61F8" w:rsidRDefault="00DF43CA" w:rsidP="00DF43CA">
            <w:pPr>
              <w:spacing w:before="60" w:after="60" w:line="240" w:lineRule="atLeast"/>
              <w:ind w:left="0" w:firstLine="0"/>
              <w:jc w:val="left"/>
            </w:pPr>
            <w:r w:rsidRPr="000F61F8">
              <w:t>Schiffe die für die Fortbewegung verwendet werden</w:t>
            </w:r>
          </w:p>
          <w:p w14:paraId="3111E7BC" w14:textId="77777777" w:rsidR="00DF43CA" w:rsidRPr="000F61F8" w:rsidRDefault="00DF43CA" w:rsidP="00DF43CA">
            <w:pPr>
              <w:spacing w:before="60" w:after="60" w:line="240" w:lineRule="atLeast"/>
              <w:ind w:left="0" w:firstLine="0"/>
              <w:jc w:val="left"/>
            </w:pPr>
            <w:r w:rsidRPr="000F61F8">
              <w:t>Anpassung an die neuen Vorschriften</w:t>
            </w:r>
          </w:p>
          <w:p w14:paraId="5BD10DF7" w14:textId="16F3DB69" w:rsidR="003D000E" w:rsidRPr="000F61F8" w:rsidRDefault="00DF43CA" w:rsidP="00DF43CA">
            <w:pPr>
              <w:spacing w:before="60" w:after="60" w:line="240" w:lineRule="atLeast"/>
              <w:ind w:left="0" w:firstLine="0"/>
              <w:jc w:val="left"/>
            </w:pPr>
            <w:r w:rsidRPr="000F61F8">
              <w:t>Vorschriften in 9.3.3.12.4, 9.3.3.51 und 9.3.3.52.1 bis 9.3.3.52.8</w:t>
            </w:r>
          </w:p>
        </w:tc>
        <w:tc>
          <w:tcPr>
            <w:tcW w:w="5820" w:type="dxa"/>
          </w:tcPr>
          <w:p w14:paraId="7E11A387" w14:textId="77777777" w:rsidR="003D000E" w:rsidRPr="000F61F8" w:rsidRDefault="003D000E" w:rsidP="003D000E">
            <w:pPr>
              <w:tabs>
                <w:tab w:val="left" w:pos="170"/>
              </w:tabs>
              <w:spacing w:before="60" w:after="60" w:line="240" w:lineRule="atLeast"/>
              <w:ind w:left="0" w:firstLine="0"/>
            </w:pPr>
            <w:r w:rsidRPr="000F61F8">
              <w:t>N.E.U. ab 1. Januar 2019</w:t>
            </w:r>
          </w:p>
          <w:p w14:paraId="05BB7A57" w14:textId="77777777" w:rsidR="003D000E" w:rsidRPr="000F61F8" w:rsidRDefault="003D000E" w:rsidP="003D000E">
            <w:pPr>
              <w:tabs>
                <w:tab w:val="left" w:pos="170"/>
              </w:tabs>
              <w:spacing w:before="60" w:after="60" w:line="240" w:lineRule="atLeast"/>
              <w:ind w:left="0" w:firstLine="0"/>
            </w:pPr>
            <w:r w:rsidRPr="000F61F8">
              <w:t>Erneuerung des Zulassungszeugnisses nach dem 31. Dezember 2034</w:t>
            </w:r>
          </w:p>
          <w:p w14:paraId="04511EAC" w14:textId="77777777" w:rsidR="003D000E" w:rsidRPr="000F61F8" w:rsidRDefault="003D000E" w:rsidP="003D000E">
            <w:pPr>
              <w:tabs>
                <w:tab w:val="left" w:pos="170"/>
              </w:tabs>
              <w:spacing w:before="60" w:after="60" w:line="240" w:lineRule="atLeast"/>
              <w:ind w:left="0" w:firstLine="0"/>
            </w:pPr>
            <w:r w:rsidRPr="000F61F8">
              <w:t>An Bord von in Betrieb befindlichen Schiffen müssen bis dahin folgende Vorschriften eingehalten werden:</w:t>
            </w:r>
          </w:p>
          <w:p w14:paraId="37124F67" w14:textId="6A3EFA08" w:rsidR="003D000E" w:rsidRPr="000F61F8" w:rsidRDefault="003D000E" w:rsidP="003D000E">
            <w:pPr>
              <w:tabs>
                <w:tab w:val="left" w:pos="170"/>
              </w:tabs>
              <w:spacing w:before="60" w:after="60" w:line="240" w:lineRule="atLeast"/>
              <w:ind w:left="0" w:firstLine="0"/>
            </w:pPr>
            <w:r w:rsidRPr="000F61F8">
              <w:t xml:space="preserve">Schiffe, die für die Fortbewegung in einem Schubverband oder bei gekuppelten Schiffen verwendet werden, müssen den Abschnitten, Unterabschnitten und Absätzen 1.16.1.1, 1.16.1.2, 1.16.1.3, 7.2.2.5, 8.1.4, 8.1.5, 8.1.6.1, 8.1.6.3, 8.1.7, 9.3.3.0.1, </w:t>
            </w:r>
            <w:r w:rsidRPr="000F61F8">
              <w:rPr>
                <w:strike/>
              </w:rPr>
              <w:t>9.3.3.0.3 d)</w:t>
            </w:r>
            <w:r w:rsidR="00DF43CA" w:rsidRPr="000F61F8">
              <w:rPr>
                <w:u w:val="single"/>
              </w:rPr>
              <w:t xml:space="preserve"> 9.3.3.0.3 letzter Absatz</w:t>
            </w:r>
            <w:r w:rsidRPr="000F61F8">
              <w:t xml:space="preserve">, 9.3.3.0.5, 9.3.3.10.1, </w:t>
            </w:r>
            <w:r w:rsidRPr="000F61F8">
              <w:rPr>
                <w:strike/>
              </w:rPr>
              <w:t>9.3.3.10.2,</w:t>
            </w:r>
            <w:r w:rsidR="00DF43CA" w:rsidRPr="000F61F8">
              <w:rPr>
                <w:u w:val="single"/>
              </w:rPr>
              <w:t xml:space="preserve"> 9.3.3.10.4,</w:t>
            </w:r>
            <w:r w:rsidRPr="000F61F8">
              <w:t xml:space="preserve"> 9.3.3.12.4 a) mit Ausnahme des Steuerhauses, 9.3.3.12.4 b) mit Ausnahme der T90-Zeit, 9.3.3.12.4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14:paraId="547CEE9E" w14:textId="77777777" w:rsidR="003D000E" w:rsidRPr="000F61F8" w:rsidRDefault="003D000E" w:rsidP="003D000E">
            <w:pPr>
              <w:tabs>
                <w:tab w:val="left" w:pos="170"/>
              </w:tabs>
              <w:spacing w:before="60" w:after="60" w:line="240" w:lineRule="atLeast"/>
              <w:ind w:left="0" w:firstLine="0"/>
            </w:pPr>
            <w:r w:rsidRPr="000F61F8">
              <w:t>Schiffe, die ausschließlich zum Fortbewegen von Tankschiffen des Typs N offen genutzt werden, müssen den Absätzen 9.3.3.10.1, 9.3.3.10.2 und 9.3.3.12.6 nicht entsprechen. Diese Abweichungen müssen im Zulassungszeugnis bzw. im vorläufigen Zulassungszeugnis unter Nummer 5 wie folgt eingetragen sein: „Zugelassene Abweichungen“: „Abweichung von 9.3.3.10.1, 9.3.3.10.2 und 9.3.3.12.6; das Schiff darf ausschließlich Tankschiffe des Typs N offen fortbewegen“.</w:t>
            </w:r>
          </w:p>
        </w:tc>
      </w:tr>
    </w:tbl>
    <w:bookmarkEnd w:id="3"/>
    <w:p w14:paraId="0FBB824F" w14:textId="60126ED0" w:rsidR="00F77B72" w:rsidRPr="000F61F8" w:rsidRDefault="00F77B72" w:rsidP="00F77B7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bCs/>
          <w:sz w:val="28"/>
        </w:rPr>
      </w:pPr>
      <w:r w:rsidRPr="000F61F8">
        <w:rPr>
          <w:b/>
          <w:sz w:val="28"/>
        </w:rPr>
        <w:lastRenderedPageBreak/>
        <w:tab/>
        <w:t>IV.</w:t>
      </w:r>
      <w:r w:rsidRPr="000F61F8">
        <w:rPr>
          <w:b/>
          <w:sz w:val="28"/>
        </w:rPr>
        <w:tab/>
      </w:r>
      <w:r w:rsidR="003D000E" w:rsidRPr="000F61F8">
        <w:rPr>
          <w:b/>
          <w:sz w:val="28"/>
        </w:rPr>
        <w:t>Übergangs</w:t>
      </w:r>
      <w:r w:rsidR="004975E4" w:rsidRPr="000F61F8">
        <w:rPr>
          <w:b/>
          <w:sz w:val="28"/>
        </w:rPr>
        <w:t>vorschrift</w:t>
      </w:r>
      <w:r w:rsidR="003D000E" w:rsidRPr="000F61F8">
        <w:rPr>
          <w:b/>
          <w:sz w:val="28"/>
        </w:rPr>
        <w:t xml:space="preserve"> zu </w:t>
      </w:r>
      <w:r w:rsidRPr="000F61F8">
        <w:rPr>
          <w:b/>
          <w:sz w:val="28"/>
        </w:rPr>
        <w:t>7.2.2.19.4</w:t>
      </w:r>
    </w:p>
    <w:p w14:paraId="2782C91F" w14:textId="6B299BD2" w:rsidR="00F77B72" w:rsidRPr="000F61F8" w:rsidRDefault="00F77B72" w:rsidP="00F77B72">
      <w:pPr>
        <w:widowControl/>
        <w:tabs>
          <w:tab w:val="left" w:pos="1701"/>
        </w:tabs>
        <w:suppressAutoHyphens/>
        <w:overflowPunct/>
        <w:autoSpaceDE/>
        <w:autoSpaceDN/>
        <w:adjustRightInd/>
        <w:spacing w:line="240" w:lineRule="atLeast"/>
        <w:ind w:right="1134" w:firstLine="0"/>
        <w:textAlignment w:val="auto"/>
      </w:pPr>
      <w:r w:rsidRPr="000F61F8">
        <w:t>16.</w:t>
      </w:r>
      <w:r w:rsidRPr="000F61F8">
        <w:tab/>
      </w:r>
      <w:r w:rsidR="00BF36AE" w:rsidRPr="000F61F8">
        <w:t>Der zweite Teil der Übergangsvorschrift zu Absatz 7.2.2.19.4 wurde in Absatz 7.2.2.19.3 übertragen und muss angepasst werden.</w:t>
      </w:r>
    </w:p>
    <w:p w14:paraId="5F6A7B7B" w14:textId="0F68EF61" w:rsidR="00F77B72" w:rsidRPr="000F61F8" w:rsidRDefault="00F77B72" w:rsidP="00F77B7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0F61F8">
        <w:rPr>
          <w:b/>
          <w:sz w:val="24"/>
        </w:rPr>
        <w:tab/>
      </w:r>
      <w:r w:rsidRPr="000F61F8">
        <w:rPr>
          <w:b/>
          <w:sz w:val="24"/>
        </w:rPr>
        <w:tab/>
        <w:t>Vorschlag</w:t>
      </w:r>
    </w:p>
    <w:p w14:paraId="131019FE" w14:textId="6879A36E" w:rsidR="00F77B72" w:rsidRPr="000F61F8" w:rsidRDefault="00F77B72" w:rsidP="00F77B72">
      <w:pPr>
        <w:widowControl/>
        <w:tabs>
          <w:tab w:val="left" w:pos="1701"/>
        </w:tabs>
        <w:suppressAutoHyphens/>
        <w:overflowPunct/>
        <w:autoSpaceDE/>
        <w:autoSpaceDN/>
        <w:adjustRightInd/>
        <w:spacing w:line="240" w:lineRule="atLeast"/>
        <w:ind w:right="1134" w:firstLine="0"/>
        <w:textAlignment w:val="auto"/>
      </w:pPr>
      <w:r w:rsidRPr="000F61F8">
        <w:t>17.</w:t>
      </w:r>
      <w:r w:rsidRPr="000F61F8">
        <w:tab/>
      </w:r>
      <w:r w:rsidR="00BF36AE" w:rsidRPr="000F61F8">
        <w:t>Die Tabelle der Übergangsvorschriften in Bezug auf Absatz 7.2.2.19.4 wie folgt anpassen:</w:t>
      </w:r>
    </w:p>
    <w:p w14:paraId="7C4F0253" w14:textId="7E1925B5" w:rsidR="00E0432C" w:rsidRPr="000F61F8" w:rsidRDefault="00E0432C" w:rsidP="00F77B72">
      <w:pPr>
        <w:widowControl/>
        <w:tabs>
          <w:tab w:val="left" w:pos="1701"/>
        </w:tabs>
        <w:suppressAutoHyphens/>
        <w:overflowPunct/>
        <w:autoSpaceDE/>
        <w:autoSpaceDN/>
        <w:adjustRightInd/>
        <w:spacing w:line="240" w:lineRule="atLeast"/>
        <w:ind w:right="1134" w:firstLine="0"/>
        <w:textAlignment w:val="auto"/>
      </w:pPr>
    </w:p>
    <w:p w14:paraId="25C87ED3" w14:textId="17B6380D" w:rsidR="00E0432C" w:rsidRPr="000F61F8" w:rsidRDefault="00E0432C" w:rsidP="00F77B72">
      <w:pPr>
        <w:widowControl/>
        <w:tabs>
          <w:tab w:val="left" w:pos="1701"/>
        </w:tabs>
        <w:suppressAutoHyphens/>
        <w:overflowPunct/>
        <w:autoSpaceDE/>
        <w:autoSpaceDN/>
        <w:adjustRightInd/>
        <w:spacing w:line="240" w:lineRule="atLeast"/>
        <w:ind w:right="1134" w:firstLine="0"/>
        <w:textAlignment w:val="auto"/>
      </w:pPr>
    </w:p>
    <w:tbl>
      <w:tblPr>
        <w:tblW w:w="8797" w:type="dxa"/>
        <w:tblInd w:w="843"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985"/>
        <w:gridCol w:w="5820"/>
      </w:tblGrid>
      <w:tr w:rsidR="00E0432C" w:rsidRPr="000F61F8" w14:paraId="375D05F4" w14:textId="77777777" w:rsidTr="00ED4609">
        <w:trPr>
          <w:cantSplit/>
        </w:trPr>
        <w:tc>
          <w:tcPr>
            <w:tcW w:w="992" w:type="dxa"/>
          </w:tcPr>
          <w:p w14:paraId="15E5D537" w14:textId="77777777" w:rsidR="00E0432C" w:rsidRPr="000F61F8" w:rsidRDefault="00E0432C" w:rsidP="000900F0">
            <w:pPr>
              <w:pStyle w:val="N3"/>
              <w:tabs>
                <w:tab w:val="clear" w:pos="170"/>
              </w:tabs>
              <w:spacing w:before="60" w:after="60" w:line="240" w:lineRule="atLeast"/>
              <w:jc w:val="center"/>
              <w:rPr>
                <w:rFonts w:ascii="Times New Roman" w:hAnsi="Times New Roman"/>
                <w:sz w:val="20"/>
              </w:rPr>
            </w:pPr>
            <w:r w:rsidRPr="000F61F8">
              <w:rPr>
                <w:rFonts w:ascii="Times New Roman" w:hAnsi="Times New Roman"/>
                <w:sz w:val="20"/>
              </w:rPr>
              <w:t>7.2.2.19.4</w:t>
            </w:r>
          </w:p>
        </w:tc>
        <w:tc>
          <w:tcPr>
            <w:tcW w:w="1985" w:type="dxa"/>
          </w:tcPr>
          <w:p w14:paraId="2D31621E" w14:textId="77777777" w:rsidR="00E0432C" w:rsidRPr="000F61F8" w:rsidRDefault="00E0432C" w:rsidP="000900F0">
            <w:pPr>
              <w:pStyle w:val="N3"/>
              <w:tabs>
                <w:tab w:val="clear" w:pos="170"/>
              </w:tabs>
              <w:spacing w:before="60" w:after="60" w:line="240" w:lineRule="atLeast"/>
              <w:rPr>
                <w:rFonts w:ascii="Times New Roman" w:hAnsi="Times New Roman"/>
                <w:sz w:val="20"/>
              </w:rPr>
            </w:pPr>
            <w:r w:rsidRPr="000F61F8">
              <w:rPr>
                <w:rFonts w:ascii="Times New Roman" w:hAnsi="Times New Roman"/>
                <w:sz w:val="20"/>
              </w:rPr>
              <w:t>Schiffe der Zusammenstellung für die Explosionsschutz gefordert ist</w:t>
            </w:r>
          </w:p>
        </w:tc>
        <w:tc>
          <w:tcPr>
            <w:tcW w:w="5820" w:type="dxa"/>
          </w:tcPr>
          <w:p w14:paraId="5A8DE925" w14:textId="77777777" w:rsidR="00E0432C" w:rsidRPr="000F61F8" w:rsidRDefault="00E0432C" w:rsidP="000900F0">
            <w:pPr>
              <w:pStyle w:val="N3"/>
              <w:spacing w:before="60" w:after="60" w:line="240" w:lineRule="atLeast"/>
              <w:jc w:val="both"/>
              <w:rPr>
                <w:rFonts w:ascii="Times New Roman" w:hAnsi="Times New Roman"/>
                <w:sz w:val="20"/>
              </w:rPr>
            </w:pPr>
            <w:r w:rsidRPr="000F61F8">
              <w:rPr>
                <w:rFonts w:ascii="Times New Roman" w:hAnsi="Times New Roman"/>
                <w:sz w:val="20"/>
              </w:rPr>
              <w:t>N.E.U. ab 1. Januar 2019</w:t>
            </w:r>
          </w:p>
          <w:p w14:paraId="11361EE4" w14:textId="77777777" w:rsidR="00E0432C" w:rsidRPr="000F61F8" w:rsidRDefault="00E0432C" w:rsidP="000900F0">
            <w:pPr>
              <w:pStyle w:val="N3"/>
              <w:spacing w:before="60" w:after="60" w:line="240" w:lineRule="atLeast"/>
              <w:jc w:val="both"/>
              <w:rPr>
                <w:rFonts w:ascii="Times New Roman" w:hAnsi="Times New Roman"/>
                <w:sz w:val="20"/>
              </w:rPr>
            </w:pPr>
            <w:r w:rsidRPr="000F61F8">
              <w:rPr>
                <w:rFonts w:ascii="Times New Roman" w:hAnsi="Times New Roman"/>
                <w:sz w:val="20"/>
              </w:rPr>
              <w:t>Erneuerung des Zulassungszeugnisses nach dem 31. Dezember 2034</w:t>
            </w:r>
          </w:p>
          <w:p w14:paraId="644BBA43" w14:textId="77777777" w:rsidR="00E0432C" w:rsidRPr="000F61F8" w:rsidRDefault="00E0432C" w:rsidP="000900F0">
            <w:pPr>
              <w:pStyle w:val="N3"/>
              <w:spacing w:before="60" w:after="60" w:line="240" w:lineRule="atLeast"/>
              <w:jc w:val="both"/>
              <w:rPr>
                <w:rFonts w:ascii="Times New Roman" w:hAnsi="Times New Roman"/>
                <w:strike/>
                <w:sz w:val="20"/>
              </w:rPr>
            </w:pPr>
            <w:r w:rsidRPr="000F61F8">
              <w:rPr>
                <w:rFonts w:ascii="Times New Roman" w:hAnsi="Times New Roman"/>
                <w:strike/>
                <w:sz w:val="20"/>
              </w:rPr>
              <w:t>An Bord von in Betrieb befindlichen Schiffen müssen bis dahin folgende Vorschriften eingehalten werden:</w:t>
            </w:r>
          </w:p>
          <w:p w14:paraId="48358756" w14:textId="77777777" w:rsidR="00E0432C" w:rsidRPr="000F61F8" w:rsidRDefault="00E0432C" w:rsidP="000900F0">
            <w:pPr>
              <w:pStyle w:val="N3"/>
              <w:spacing w:before="60" w:after="60" w:line="240" w:lineRule="atLeast"/>
              <w:jc w:val="both"/>
              <w:rPr>
                <w:rFonts w:ascii="Times New Roman" w:hAnsi="Times New Roman"/>
                <w:strike/>
                <w:sz w:val="20"/>
              </w:rPr>
            </w:pPr>
            <w:r w:rsidRPr="000F61F8">
              <w:rPr>
                <w:rFonts w:ascii="Times New Roman" w:hAnsi="Times New Roman"/>
                <w:strike/>
                <w:sz w:val="20"/>
              </w:rPr>
              <w:t>Schiffe, die für die Fortbewegung in einem Schubverband oder bei gekuppelten Schiffen verwendet werden, müssen den Abschnitten, Unterabschnitten und Absätzen 1.16.1.1, 1.16.1.2, 1.16.1.3, 7.2.2.5, 8.1.4, 8.1.5, 8.1.6.1, 8.1.6.3, 8.1.7, 9.3.3.0.1, 9.3.3.0.3 d), 9.3.3.0.5, 9.3.3.10.1, 9.3.3.10.2, 9.3.3.12.4 a) mit Ausnahme des Steuerhauses, 9.3.3.12.4 b) mit Ausnahme der T90-Zeit, 9.3.3.12.4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14:paraId="4895D6C4" w14:textId="77777777" w:rsidR="00E0432C" w:rsidRPr="000F61F8" w:rsidRDefault="00E0432C" w:rsidP="000900F0">
            <w:pPr>
              <w:pStyle w:val="N3"/>
              <w:spacing w:before="60" w:after="60" w:line="240" w:lineRule="atLeast"/>
              <w:jc w:val="both"/>
              <w:rPr>
                <w:rFonts w:ascii="Times New Roman" w:hAnsi="Times New Roman"/>
                <w:sz w:val="20"/>
              </w:rPr>
            </w:pPr>
            <w:r w:rsidRPr="000F61F8">
              <w:rPr>
                <w:rFonts w:ascii="Times New Roman" w:hAnsi="Times New Roman"/>
                <w:strike/>
                <w:sz w:val="20"/>
              </w:rPr>
              <w:t>Schiffe, die ausschließlich zum Fortbewegen von Tankschiffen des Typs N offen genutzt werden, müssen den Absätzen 9.3.3.10.1, 9.3.3.10.2 und 9.3.3.12.6 nicht entsprechen. Diese Abweichungen müssen im Zulassungszeugnis bzw. im vorläufigen Zulassungszeugnis unter Nummer 5 wie folgt eingetragen sein: „Zugelassene Abweichungen“: „Abweichung von 9.3.3.10.1, 9.3.3.10.2 und 9.3.3.12.6; das Schiff darf ausschließlich Tankschiffe des Typs N offen fortbewegen“.</w:t>
            </w:r>
          </w:p>
        </w:tc>
      </w:tr>
    </w:tbl>
    <w:p w14:paraId="44910491" w14:textId="0A691136" w:rsidR="00E0432C" w:rsidRPr="000F61F8" w:rsidRDefault="00E0432C" w:rsidP="00F77B72">
      <w:pPr>
        <w:widowControl/>
        <w:tabs>
          <w:tab w:val="left" w:pos="1701"/>
        </w:tabs>
        <w:suppressAutoHyphens/>
        <w:overflowPunct/>
        <w:autoSpaceDE/>
        <w:autoSpaceDN/>
        <w:adjustRightInd/>
        <w:spacing w:line="240" w:lineRule="atLeast"/>
        <w:ind w:right="1134" w:firstLine="0"/>
        <w:textAlignment w:val="auto"/>
      </w:pPr>
    </w:p>
    <w:p w14:paraId="6BC1E5DC" w14:textId="77777777" w:rsidR="00F77B72" w:rsidRPr="000F61F8" w:rsidRDefault="00F77B72" w:rsidP="00F77B72">
      <w:pPr>
        <w:widowControl/>
        <w:suppressAutoHyphens/>
        <w:overflowPunct/>
        <w:autoSpaceDE/>
        <w:autoSpaceDN/>
        <w:adjustRightInd/>
        <w:spacing w:line="240" w:lineRule="atLeast"/>
        <w:ind w:left="0" w:firstLine="0"/>
        <w:jc w:val="left"/>
        <w:textAlignment w:val="auto"/>
      </w:pPr>
    </w:p>
    <w:p w14:paraId="1965ED88" w14:textId="3136DB17" w:rsidR="002D5664" w:rsidRPr="004975E4" w:rsidRDefault="002D5664" w:rsidP="002D5664">
      <w:pPr>
        <w:widowControl/>
        <w:overflowPunct/>
        <w:spacing w:line="240" w:lineRule="atLeast"/>
        <w:ind w:right="567" w:firstLine="0"/>
        <w:jc w:val="center"/>
        <w:textAlignment w:val="auto"/>
        <w:rPr>
          <w:lang w:eastAsia="en-US"/>
        </w:rPr>
      </w:pPr>
      <w:r w:rsidRPr="000F61F8">
        <w:rPr>
          <w:lang w:eastAsia="en-US"/>
        </w:rPr>
        <w:t>***</w:t>
      </w:r>
    </w:p>
    <w:sectPr w:rsidR="002D5664" w:rsidRPr="004975E4" w:rsidSect="00DD51E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70E6" w14:textId="77777777" w:rsidR="006A7DD5" w:rsidRDefault="006A7DD5" w:rsidP="006038DC">
      <w:r>
        <w:separator/>
      </w:r>
    </w:p>
  </w:endnote>
  <w:endnote w:type="continuationSeparator" w:id="0">
    <w:p w14:paraId="6106516D" w14:textId="77777777" w:rsidR="006A7DD5" w:rsidRDefault="006A7DD5"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C9CF" w14:textId="22F5D27F" w:rsidR="00AE7E9F" w:rsidRDefault="00A93319" w:rsidP="00AE7E9F">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00AE7E9F" w:rsidRPr="004F60A5">
      <w:rPr>
        <w:rFonts w:ascii="Arial" w:hAnsi="Arial"/>
        <w:noProof/>
        <w:snapToGrid w:val="0"/>
        <w:sz w:val="12"/>
        <w:szCs w:val="24"/>
        <w:lang w:val="en-US"/>
      </w:rPr>
      <w:t>m</w:t>
    </w:r>
    <w:r>
      <w:rPr>
        <w:rFonts w:ascii="Arial" w:hAnsi="Arial"/>
        <w:noProof/>
        <w:snapToGrid w:val="0"/>
        <w:sz w:val="12"/>
        <w:szCs w:val="24"/>
        <w:lang w:val="en-US"/>
      </w:rPr>
      <w:t>_ba</w:t>
    </w:r>
    <w:r w:rsidR="00AE7E9F" w:rsidRPr="004F60A5">
      <w:rPr>
        <w:rFonts w:ascii="Arial" w:hAnsi="Arial"/>
        <w:noProof/>
        <w:snapToGrid w:val="0"/>
        <w:sz w:val="12"/>
        <w:szCs w:val="24"/>
        <w:lang w:val="en-US"/>
      </w:rPr>
      <w:t>/adn_wp15_ac2_20</w:t>
    </w:r>
    <w:r w:rsidR="00AE7E9F">
      <w:rPr>
        <w:rFonts w:ascii="Arial" w:hAnsi="Arial"/>
        <w:noProof/>
        <w:snapToGrid w:val="0"/>
        <w:sz w:val="12"/>
        <w:szCs w:val="24"/>
        <w:lang w:val="en-US"/>
      </w:rPr>
      <w:t>20</w:t>
    </w:r>
    <w:r w:rsidR="00AE7E9F" w:rsidRPr="004F60A5">
      <w:rPr>
        <w:rFonts w:ascii="Arial" w:hAnsi="Arial"/>
        <w:noProof/>
        <w:snapToGrid w:val="0"/>
        <w:sz w:val="12"/>
        <w:szCs w:val="24"/>
        <w:lang w:val="en-US"/>
      </w:rPr>
      <w:t>_</w:t>
    </w:r>
    <w:r w:rsidR="00AE7E9F">
      <w:rPr>
        <w:rFonts w:ascii="Arial" w:hAnsi="Arial"/>
        <w:noProof/>
        <w:snapToGrid w:val="0"/>
        <w:sz w:val="12"/>
        <w:szCs w:val="24"/>
        <w:lang w:val="en-US"/>
      </w:rPr>
      <w:t>1</w:t>
    </w:r>
    <w:r w:rsidR="00F77B72">
      <w:rPr>
        <w:rFonts w:ascii="Arial" w:hAnsi="Arial"/>
        <w:noProof/>
        <w:snapToGrid w:val="0"/>
        <w:sz w:val="12"/>
        <w:szCs w:val="24"/>
        <w:lang w:val="en-US"/>
      </w:rPr>
      <w:t>7</w:t>
    </w:r>
    <w:r w:rsidR="00AE7E9F">
      <w:rPr>
        <w:rFonts w:ascii="Arial" w:hAnsi="Arial"/>
        <w:noProof/>
        <w:snapToGrid w:val="0"/>
        <w:sz w:val="12"/>
        <w:szCs w:val="24"/>
        <w:lang w:val="en-US"/>
      </w:rPr>
      <w:t>d</w:t>
    </w:r>
    <w:r w:rsidR="00AE7E9F" w:rsidRPr="004F60A5">
      <w:rPr>
        <w:rFonts w:ascii="Arial" w:hAnsi="Arial"/>
        <w:noProof/>
        <w:snapToGrid w:val="0"/>
        <w:sz w:val="12"/>
        <w:szCs w:val="24"/>
        <w:lang w:val="en-US"/>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A31" w14:textId="7CE48E7B" w:rsidR="0022634C" w:rsidRDefault="0022634C" w:rsidP="0022634C">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w:t>
    </w:r>
    <w:r>
      <w:rPr>
        <w:rFonts w:ascii="Arial" w:hAnsi="Arial"/>
        <w:noProof/>
        <w:snapToGrid w:val="0"/>
        <w:sz w:val="12"/>
        <w:szCs w:val="24"/>
        <w:lang w:val="en-US"/>
      </w:rPr>
      <w:t>_ba</w:t>
    </w:r>
    <w:r w:rsidRPr="004F60A5">
      <w:rPr>
        <w:rFonts w:ascii="Arial" w:hAnsi="Arial"/>
        <w:noProof/>
        <w:snapToGrid w:val="0"/>
        <w:sz w:val="12"/>
        <w:szCs w:val="24"/>
        <w:lang w:val="en-US"/>
      </w:rPr>
      <w:t>/adn_wp15_ac2_20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Pr>
        <w:rFonts w:ascii="Arial" w:hAnsi="Arial"/>
        <w:noProof/>
        <w:snapToGrid w:val="0"/>
        <w:sz w:val="12"/>
        <w:szCs w:val="24"/>
        <w:lang w:val="en-US"/>
      </w:rPr>
      <w:t>1</w:t>
    </w:r>
    <w:r w:rsidR="00F77B72">
      <w:rPr>
        <w:rFonts w:ascii="Arial" w:hAnsi="Arial"/>
        <w:noProof/>
        <w:snapToGrid w:val="0"/>
        <w:sz w:val="12"/>
        <w:szCs w:val="24"/>
        <w:lang w:val="en-US"/>
      </w:rPr>
      <w:t>7</w:t>
    </w:r>
    <w:r>
      <w:rPr>
        <w:rFonts w:ascii="Arial" w:hAnsi="Arial"/>
        <w:noProof/>
        <w:snapToGrid w:val="0"/>
        <w:sz w:val="12"/>
        <w:szCs w:val="24"/>
        <w:lang w:val="en-US"/>
      </w:rPr>
      <w:t>d</w:t>
    </w:r>
    <w:r w:rsidRPr="004F60A5">
      <w:rPr>
        <w:rFonts w:ascii="Arial" w:hAnsi="Arial"/>
        <w:noProof/>
        <w:snapToGrid w:val="0"/>
        <w:sz w:val="12"/>
        <w:szCs w:val="24"/>
        <w:lang w:val="en-US"/>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46BA" w14:textId="77777777" w:rsidR="004975E4" w:rsidRDefault="00497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B900" w14:textId="77777777" w:rsidR="006A7DD5" w:rsidRDefault="006A7DD5" w:rsidP="006038DC">
      <w:r>
        <w:separator/>
      </w:r>
    </w:p>
  </w:footnote>
  <w:footnote w:type="continuationSeparator" w:id="0">
    <w:p w14:paraId="6C3D280D" w14:textId="77777777" w:rsidR="006A7DD5" w:rsidRDefault="006A7DD5" w:rsidP="006038DC">
      <w:r>
        <w:continuationSeparator/>
      </w:r>
    </w:p>
  </w:footnote>
  <w:footnote w:id="1">
    <w:p w14:paraId="2A759DD4" w14:textId="3B7DC8EF" w:rsidR="002D5664" w:rsidRPr="00962008" w:rsidRDefault="002D5664" w:rsidP="002D5664">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w:t>
      </w:r>
      <w:r>
        <w:rPr>
          <w:lang w:val="de-DE"/>
        </w:rPr>
        <w:t>20</w:t>
      </w:r>
      <w:r w:rsidRPr="00947F64">
        <w:rPr>
          <w:lang w:val="de-DE"/>
        </w:rPr>
        <w:t>/</w:t>
      </w:r>
      <w:r w:rsidR="00CD4189">
        <w:rPr>
          <w:lang w:val="de-DE"/>
        </w:rPr>
        <w:t>1</w:t>
      </w:r>
      <w:r w:rsidR="00E13EB8">
        <w:rPr>
          <w:lang w:val="de-DE"/>
        </w:rPr>
        <w:t>7</w:t>
      </w:r>
      <w:r w:rsidRPr="00947F64">
        <w:rPr>
          <w:lang w:val="de-DE"/>
        </w:rPr>
        <w:t xml:space="preserve"> verteilt.</w:t>
      </w:r>
    </w:p>
  </w:footnote>
  <w:footnote w:id="2">
    <w:p w14:paraId="7D349EC9" w14:textId="77777777" w:rsidR="002D5664" w:rsidRPr="00962008" w:rsidRDefault="002D5664" w:rsidP="00C90C05">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5FC" w14:textId="68812E54" w:rsidR="00A93319" w:rsidRDefault="00A93319" w:rsidP="00A93319">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sidR="00F77B72">
      <w:rPr>
        <w:rFonts w:ascii="Arial" w:hAnsi="Arial"/>
        <w:snapToGrid w:val="0"/>
        <w:sz w:val="16"/>
        <w:szCs w:val="16"/>
      </w:rPr>
      <w:t>17</w:t>
    </w:r>
  </w:p>
  <w:p w14:paraId="0BF2F378" w14:textId="45E45053" w:rsidR="00A93319" w:rsidRDefault="00A93319" w:rsidP="00A93319">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1</w:t>
    </w:r>
    <w:r w:rsidRPr="008B0EB0">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C405" w14:textId="77777777" w:rsidR="0022634C" w:rsidRDefault="0022634C" w:rsidP="0022634C">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Pr>
        <w:rFonts w:ascii="Arial" w:hAnsi="Arial"/>
        <w:snapToGrid w:val="0"/>
        <w:sz w:val="16"/>
        <w:szCs w:val="16"/>
      </w:rPr>
      <w:t>16</w:t>
    </w:r>
  </w:p>
  <w:p w14:paraId="3382C30A" w14:textId="51B1CCF9" w:rsidR="0022634C" w:rsidRDefault="0022634C" w:rsidP="0022634C">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4</w:t>
    </w:r>
    <w:r w:rsidRPr="008B0EB0">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172B" w14:textId="77777777" w:rsidR="004975E4" w:rsidRDefault="0049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1B864C5"/>
    <w:multiLevelType w:val="hybridMultilevel"/>
    <w:tmpl w:val="49E2D2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06736"/>
    <w:multiLevelType w:val="hybridMultilevel"/>
    <w:tmpl w:val="432A1982"/>
    <w:lvl w:ilvl="0" w:tplc="A010FE64">
      <w:start w:val="2"/>
      <w:numFmt w:val="bullet"/>
      <w:lvlText w:val="–"/>
      <w:lvlJc w:val="left"/>
      <w:pPr>
        <w:tabs>
          <w:tab w:val="num" w:pos="2086"/>
        </w:tabs>
        <w:ind w:left="2086" w:hanging="360"/>
      </w:pPr>
      <w:rPr>
        <w:rFonts w:ascii="Times New Roman" w:eastAsia="Times New Roman" w:hAnsi="Times New Roman" w:hint="default"/>
      </w:rPr>
    </w:lvl>
    <w:lvl w:ilvl="1" w:tplc="04070003" w:tentative="1">
      <w:start w:val="1"/>
      <w:numFmt w:val="bullet"/>
      <w:lvlText w:val="o"/>
      <w:lvlJc w:val="left"/>
      <w:pPr>
        <w:tabs>
          <w:tab w:val="num" w:pos="2806"/>
        </w:tabs>
        <w:ind w:left="2806" w:hanging="360"/>
      </w:pPr>
      <w:rPr>
        <w:rFonts w:ascii="Courier New" w:hAnsi="Courier New" w:cs="Courier New" w:hint="default"/>
      </w:rPr>
    </w:lvl>
    <w:lvl w:ilvl="2" w:tplc="04070005" w:tentative="1">
      <w:start w:val="1"/>
      <w:numFmt w:val="bullet"/>
      <w:lvlText w:val=""/>
      <w:lvlJc w:val="left"/>
      <w:pPr>
        <w:tabs>
          <w:tab w:val="num" w:pos="3526"/>
        </w:tabs>
        <w:ind w:left="3526" w:hanging="360"/>
      </w:pPr>
      <w:rPr>
        <w:rFonts w:ascii="Wingdings" w:hAnsi="Wingdings" w:hint="default"/>
      </w:rPr>
    </w:lvl>
    <w:lvl w:ilvl="3" w:tplc="04070001" w:tentative="1">
      <w:start w:val="1"/>
      <w:numFmt w:val="bullet"/>
      <w:lvlText w:val=""/>
      <w:lvlJc w:val="left"/>
      <w:pPr>
        <w:tabs>
          <w:tab w:val="num" w:pos="4246"/>
        </w:tabs>
        <w:ind w:left="4246" w:hanging="360"/>
      </w:pPr>
      <w:rPr>
        <w:rFonts w:ascii="Symbol" w:hAnsi="Symbol" w:hint="default"/>
      </w:rPr>
    </w:lvl>
    <w:lvl w:ilvl="4" w:tplc="04070003" w:tentative="1">
      <w:start w:val="1"/>
      <w:numFmt w:val="bullet"/>
      <w:lvlText w:val="o"/>
      <w:lvlJc w:val="left"/>
      <w:pPr>
        <w:tabs>
          <w:tab w:val="num" w:pos="4966"/>
        </w:tabs>
        <w:ind w:left="4966" w:hanging="360"/>
      </w:pPr>
      <w:rPr>
        <w:rFonts w:ascii="Courier New" w:hAnsi="Courier New" w:cs="Courier New" w:hint="default"/>
      </w:rPr>
    </w:lvl>
    <w:lvl w:ilvl="5" w:tplc="04070005" w:tentative="1">
      <w:start w:val="1"/>
      <w:numFmt w:val="bullet"/>
      <w:lvlText w:val=""/>
      <w:lvlJc w:val="left"/>
      <w:pPr>
        <w:tabs>
          <w:tab w:val="num" w:pos="5686"/>
        </w:tabs>
        <w:ind w:left="5686" w:hanging="360"/>
      </w:pPr>
      <w:rPr>
        <w:rFonts w:ascii="Wingdings" w:hAnsi="Wingdings" w:hint="default"/>
      </w:rPr>
    </w:lvl>
    <w:lvl w:ilvl="6" w:tplc="04070001" w:tentative="1">
      <w:start w:val="1"/>
      <w:numFmt w:val="bullet"/>
      <w:lvlText w:val=""/>
      <w:lvlJc w:val="left"/>
      <w:pPr>
        <w:tabs>
          <w:tab w:val="num" w:pos="6406"/>
        </w:tabs>
        <w:ind w:left="6406" w:hanging="360"/>
      </w:pPr>
      <w:rPr>
        <w:rFonts w:ascii="Symbol" w:hAnsi="Symbol" w:hint="default"/>
      </w:rPr>
    </w:lvl>
    <w:lvl w:ilvl="7" w:tplc="04070003" w:tentative="1">
      <w:start w:val="1"/>
      <w:numFmt w:val="bullet"/>
      <w:lvlText w:val="o"/>
      <w:lvlJc w:val="left"/>
      <w:pPr>
        <w:tabs>
          <w:tab w:val="num" w:pos="7126"/>
        </w:tabs>
        <w:ind w:left="7126" w:hanging="360"/>
      </w:pPr>
      <w:rPr>
        <w:rFonts w:ascii="Courier New" w:hAnsi="Courier New" w:cs="Courier New" w:hint="default"/>
      </w:rPr>
    </w:lvl>
    <w:lvl w:ilvl="8" w:tplc="04070005" w:tentative="1">
      <w:start w:val="1"/>
      <w:numFmt w:val="bullet"/>
      <w:lvlText w:val=""/>
      <w:lvlJc w:val="left"/>
      <w:pPr>
        <w:tabs>
          <w:tab w:val="num" w:pos="7846"/>
        </w:tabs>
        <w:ind w:left="7846" w:hanging="360"/>
      </w:pPr>
      <w:rPr>
        <w:rFonts w:ascii="Wingdings" w:hAnsi="Wingdings" w:hint="default"/>
      </w:rPr>
    </w:lvl>
  </w:abstractNum>
  <w:abstractNum w:abstractNumId="5"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15:restartNumberingAfterBreak="0">
    <w:nsid w:val="607E1279"/>
    <w:multiLevelType w:val="hybridMultilevel"/>
    <w:tmpl w:val="CECE5166"/>
    <w:lvl w:ilvl="0" w:tplc="04070001">
      <w:start w:val="1"/>
      <w:numFmt w:val="bullet"/>
      <w:lvlText w:val=""/>
      <w:lvlJc w:val="left"/>
      <w:pPr>
        <w:tabs>
          <w:tab w:val="num" w:pos="2062"/>
        </w:tabs>
        <w:ind w:left="2062" w:hanging="360"/>
      </w:pPr>
      <w:rPr>
        <w:rFonts w:ascii="Symbol" w:hAnsi="Symbol" w:hint="default"/>
      </w:rPr>
    </w:lvl>
    <w:lvl w:ilvl="1" w:tplc="04070003" w:tentative="1">
      <w:start w:val="1"/>
      <w:numFmt w:val="bullet"/>
      <w:lvlText w:val="o"/>
      <w:lvlJc w:val="left"/>
      <w:pPr>
        <w:tabs>
          <w:tab w:val="num" w:pos="2782"/>
        </w:tabs>
        <w:ind w:left="2782" w:hanging="360"/>
      </w:pPr>
      <w:rPr>
        <w:rFonts w:ascii="Courier New" w:hAnsi="Courier New" w:cs="Courier New" w:hint="default"/>
      </w:rPr>
    </w:lvl>
    <w:lvl w:ilvl="2" w:tplc="04070005" w:tentative="1">
      <w:start w:val="1"/>
      <w:numFmt w:val="bullet"/>
      <w:lvlText w:val=""/>
      <w:lvlJc w:val="left"/>
      <w:pPr>
        <w:tabs>
          <w:tab w:val="num" w:pos="3502"/>
        </w:tabs>
        <w:ind w:left="3502" w:hanging="360"/>
      </w:pPr>
      <w:rPr>
        <w:rFonts w:ascii="Wingdings" w:hAnsi="Wingdings" w:hint="default"/>
      </w:rPr>
    </w:lvl>
    <w:lvl w:ilvl="3" w:tplc="04070001" w:tentative="1">
      <w:start w:val="1"/>
      <w:numFmt w:val="bullet"/>
      <w:lvlText w:val=""/>
      <w:lvlJc w:val="left"/>
      <w:pPr>
        <w:tabs>
          <w:tab w:val="num" w:pos="4222"/>
        </w:tabs>
        <w:ind w:left="4222" w:hanging="360"/>
      </w:pPr>
      <w:rPr>
        <w:rFonts w:ascii="Symbol" w:hAnsi="Symbol" w:hint="default"/>
      </w:rPr>
    </w:lvl>
    <w:lvl w:ilvl="4" w:tplc="04070003" w:tentative="1">
      <w:start w:val="1"/>
      <w:numFmt w:val="bullet"/>
      <w:lvlText w:val="o"/>
      <w:lvlJc w:val="left"/>
      <w:pPr>
        <w:tabs>
          <w:tab w:val="num" w:pos="4942"/>
        </w:tabs>
        <w:ind w:left="4942" w:hanging="360"/>
      </w:pPr>
      <w:rPr>
        <w:rFonts w:ascii="Courier New" w:hAnsi="Courier New" w:cs="Courier New" w:hint="default"/>
      </w:rPr>
    </w:lvl>
    <w:lvl w:ilvl="5" w:tplc="04070005" w:tentative="1">
      <w:start w:val="1"/>
      <w:numFmt w:val="bullet"/>
      <w:lvlText w:val=""/>
      <w:lvlJc w:val="left"/>
      <w:pPr>
        <w:tabs>
          <w:tab w:val="num" w:pos="5662"/>
        </w:tabs>
        <w:ind w:left="5662" w:hanging="360"/>
      </w:pPr>
      <w:rPr>
        <w:rFonts w:ascii="Wingdings" w:hAnsi="Wingdings" w:hint="default"/>
      </w:rPr>
    </w:lvl>
    <w:lvl w:ilvl="6" w:tplc="04070001" w:tentative="1">
      <w:start w:val="1"/>
      <w:numFmt w:val="bullet"/>
      <w:lvlText w:val=""/>
      <w:lvlJc w:val="left"/>
      <w:pPr>
        <w:tabs>
          <w:tab w:val="num" w:pos="6382"/>
        </w:tabs>
        <w:ind w:left="6382" w:hanging="360"/>
      </w:pPr>
      <w:rPr>
        <w:rFonts w:ascii="Symbol" w:hAnsi="Symbol" w:hint="default"/>
      </w:rPr>
    </w:lvl>
    <w:lvl w:ilvl="7" w:tplc="04070003" w:tentative="1">
      <w:start w:val="1"/>
      <w:numFmt w:val="bullet"/>
      <w:lvlText w:val="o"/>
      <w:lvlJc w:val="left"/>
      <w:pPr>
        <w:tabs>
          <w:tab w:val="num" w:pos="7102"/>
        </w:tabs>
        <w:ind w:left="7102" w:hanging="360"/>
      </w:pPr>
      <w:rPr>
        <w:rFonts w:ascii="Courier New" w:hAnsi="Courier New" w:cs="Courier New" w:hint="default"/>
      </w:rPr>
    </w:lvl>
    <w:lvl w:ilvl="8" w:tplc="04070005" w:tentative="1">
      <w:start w:val="1"/>
      <w:numFmt w:val="bullet"/>
      <w:lvlText w:val=""/>
      <w:lvlJc w:val="left"/>
      <w:pPr>
        <w:tabs>
          <w:tab w:val="num" w:pos="7822"/>
        </w:tabs>
        <w:ind w:left="7822"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B"/>
    <w:rsid w:val="0000198A"/>
    <w:rsid w:val="0001208F"/>
    <w:rsid w:val="0001303F"/>
    <w:rsid w:val="00016A8D"/>
    <w:rsid w:val="00054124"/>
    <w:rsid w:val="000651D4"/>
    <w:rsid w:val="00074ACA"/>
    <w:rsid w:val="00084726"/>
    <w:rsid w:val="0009215A"/>
    <w:rsid w:val="000A4916"/>
    <w:rsid w:val="000C6E63"/>
    <w:rsid w:val="000D4763"/>
    <w:rsid w:val="000F61F8"/>
    <w:rsid w:val="001114F6"/>
    <w:rsid w:val="00141B2B"/>
    <w:rsid w:val="001A23DD"/>
    <w:rsid w:val="001A41F1"/>
    <w:rsid w:val="001B4848"/>
    <w:rsid w:val="001C2E25"/>
    <w:rsid w:val="001D3451"/>
    <w:rsid w:val="001F2E91"/>
    <w:rsid w:val="001F48FB"/>
    <w:rsid w:val="002078D7"/>
    <w:rsid w:val="0022634C"/>
    <w:rsid w:val="00226734"/>
    <w:rsid w:val="00231A2D"/>
    <w:rsid w:val="00277B5F"/>
    <w:rsid w:val="002B09E8"/>
    <w:rsid w:val="002C0F3E"/>
    <w:rsid w:val="002C1A2D"/>
    <w:rsid w:val="002D5664"/>
    <w:rsid w:val="002F369B"/>
    <w:rsid w:val="003010C2"/>
    <w:rsid w:val="0031574B"/>
    <w:rsid w:val="003576FA"/>
    <w:rsid w:val="00361F20"/>
    <w:rsid w:val="0036481D"/>
    <w:rsid w:val="00365EA4"/>
    <w:rsid w:val="00367CDF"/>
    <w:rsid w:val="00385FCD"/>
    <w:rsid w:val="00386F16"/>
    <w:rsid w:val="003A00B6"/>
    <w:rsid w:val="003B19D5"/>
    <w:rsid w:val="003B2631"/>
    <w:rsid w:val="003C0B9A"/>
    <w:rsid w:val="003D000E"/>
    <w:rsid w:val="00422230"/>
    <w:rsid w:val="00432F4D"/>
    <w:rsid w:val="004336F6"/>
    <w:rsid w:val="00437C39"/>
    <w:rsid w:val="004412EC"/>
    <w:rsid w:val="00441383"/>
    <w:rsid w:val="0045374D"/>
    <w:rsid w:val="00460567"/>
    <w:rsid w:val="00467DFE"/>
    <w:rsid w:val="004855AB"/>
    <w:rsid w:val="004975E4"/>
    <w:rsid w:val="004A39DF"/>
    <w:rsid w:val="004A3EBC"/>
    <w:rsid w:val="004A6242"/>
    <w:rsid w:val="004E30A0"/>
    <w:rsid w:val="004E74C0"/>
    <w:rsid w:val="004F0992"/>
    <w:rsid w:val="005003F9"/>
    <w:rsid w:val="00505C06"/>
    <w:rsid w:val="00507DF1"/>
    <w:rsid w:val="00527E86"/>
    <w:rsid w:val="005379D0"/>
    <w:rsid w:val="005455B7"/>
    <w:rsid w:val="00555FE2"/>
    <w:rsid w:val="00577B7C"/>
    <w:rsid w:val="00586BDD"/>
    <w:rsid w:val="00591A7D"/>
    <w:rsid w:val="005B1996"/>
    <w:rsid w:val="00600DA9"/>
    <w:rsid w:val="006038DC"/>
    <w:rsid w:val="00616CA8"/>
    <w:rsid w:val="006263D8"/>
    <w:rsid w:val="00633F2B"/>
    <w:rsid w:val="006350C8"/>
    <w:rsid w:val="00643AEA"/>
    <w:rsid w:val="00653254"/>
    <w:rsid w:val="00656BC5"/>
    <w:rsid w:val="006629B7"/>
    <w:rsid w:val="00675E1A"/>
    <w:rsid w:val="0068798B"/>
    <w:rsid w:val="00694147"/>
    <w:rsid w:val="006A7DD5"/>
    <w:rsid w:val="006B037F"/>
    <w:rsid w:val="006B6EB9"/>
    <w:rsid w:val="00746336"/>
    <w:rsid w:val="00751575"/>
    <w:rsid w:val="00771690"/>
    <w:rsid w:val="007B2275"/>
    <w:rsid w:val="007B712A"/>
    <w:rsid w:val="007E310E"/>
    <w:rsid w:val="008301A0"/>
    <w:rsid w:val="00836269"/>
    <w:rsid w:val="008753D6"/>
    <w:rsid w:val="00892DF2"/>
    <w:rsid w:val="008937CE"/>
    <w:rsid w:val="008975D9"/>
    <w:rsid w:val="008A2DD3"/>
    <w:rsid w:val="008B5456"/>
    <w:rsid w:val="008B5C69"/>
    <w:rsid w:val="008C0213"/>
    <w:rsid w:val="008C68B2"/>
    <w:rsid w:val="008C746C"/>
    <w:rsid w:val="008D6F04"/>
    <w:rsid w:val="008F17F6"/>
    <w:rsid w:val="008F4811"/>
    <w:rsid w:val="009050E0"/>
    <w:rsid w:val="0091229B"/>
    <w:rsid w:val="0093393C"/>
    <w:rsid w:val="00953684"/>
    <w:rsid w:val="00962008"/>
    <w:rsid w:val="009A43AB"/>
    <w:rsid w:val="009C78DD"/>
    <w:rsid w:val="009D26E7"/>
    <w:rsid w:val="009F152D"/>
    <w:rsid w:val="009F3523"/>
    <w:rsid w:val="00A05BD9"/>
    <w:rsid w:val="00A11868"/>
    <w:rsid w:val="00A15119"/>
    <w:rsid w:val="00A2238A"/>
    <w:rsid w:val="00A73BF7"/>
    <w:rsid w:val="00A84F00"/>
    <w:rsid w:val="00A91847"/>
    <w:rsid w:val="00A93319"/>
    <w:rsid w:val="00AC2BD5"/>
    <w:rsid w:val="00AC52D6"/>
    <w:rsid w:val="00AD7465"/>
    <w:rsid w:val="00AE7E9F"/>
    <w:rsid w:val="00AF7617"/>
    <w:rsid w:val="00B4533C"/>
    <w:rsid w:val="00B500B4"/>
    <w:rsid w:val="00B651E4"/>
    <w:rsid w:val="00B726C2"/>
    <w:rsid w:val="00B72770"/>
    <w:rsid w:val="00B940A2"/>
    <w:rsid w:val="00BA25E5"/>
    <w:rsid w:val="00BA5717"/>
    <w:rsid w:val="00BB7289"/>
    <w:rsid w:val="00BC637B"/>
    <w:rsid w:val="00BC77F3"/>
    <w:rsid w:val="00BF36AE"/>
    <w:rsid w:val="00C03D4B"/>
    <w:rsid w:val="00C04016"/>
    <w:rsid w:val="00C04059"/>
    <w:rsid w:val="00C12225"/>
    <w:rsid w:val="00C15461"/>
    <w:rsid w:val="00C20B1C"/>
    <w:rsid w:val="00C25D17"/>
    <w:rsid w:val="00C54654"/>
    <w:rsid w:val="00C90C05"/>
    <w:rsid w:val="00CA7961"/>
    <w:rsid w:val="00CB5527"/>
    <w:rsid w:val="00CC0ED1"/>
    <w:rsid w:val="00CD4189"/>
    <w:rsid w:val="00CE01F8"/>
    <w:rsid w:val="00CE4903"/>
    <w:rsid w:val="00CE73AD"/>
    <w:rsid w:val="00CF2E32"/>
    <w:rsid w:val="00D0292E"/>
    <w:rsid w:val="00D15368"/>
    <w:rsid w:val="00D203D4"/>
    <w:rsid w:val="00D464FB"/>
    <w:rsid w:val="00D55A38"/>
    <w:rsid w:val="00DB57E7"/>
    <w:rsid w:val="00DC7529"/>
    <w:rsid w:val="00DD187B"/>
    <w:rsid w:val="00DD51EA"/>
    <w:rsid w:val="00DD53A8"/>
    <w:rsid w:val="00DD5D38"/>
    <w:rsid w:val="00DD7871"/>
    <w:rsid w:val="00DE564A"/>
    <w:rsid w:val="00DF190F"/>
    <w:rsid w:val="00DF43CA"/>
    <w:rsid w:val="00E008FB"/>
    <w:rsid w:val="00E0432C"/>
    <w:rsid w:val="00E13EB8"/>
    <w:rsid w:val="00E14DEB"/>
    <w:rsid w:val="00E21F6D"/>
    <w:rsid w:val="00E257E5"/>
    <w:rsid w:val="00E302A2"/>
    <w:rsid w:val="00E56F0C"/>
    <w:rsid w:val="00EA330D"/>
    <w:rsid w:val="00ED4609"/>
    <w:rsid w:val="00ED557F"/>
    <w:rsid w:val="00ED5817"/>
    <w:rsid w:val="00EF3749"/>
    <w:rsid w:val="00EF3BF5"/>
    <w:rsid w:val="00EF41A3"/>
    <w:rsid w:val="00EF70E6"/>
    <w:rsid w:val="00F0016D"/>
    <w:rsid w:val="00F0639D"/>
    <w:rsid w:val="00F77037"/>
    <w:rsid w:val="00F77B72"/>
    <w:rsid w:val="00F90084"/>
    <w:rsid w:val="00F95913"/>
    <w:rsid w:val="00FA1666"/>
    <w:rsid w:val="00FD1EEA"/>
    <w:rsid w:val="00FF06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955FD19"/>
  <w15:docId w15:val="{1B1DC995-4EBD-4690-8EAA-2A8EB47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link w:val="HChGChar"/>
    <w:qFormat/>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qFormat/>
    <w:rsid w:val="006038DC"/>
    <w:rPr>
      <w:rFonts w:ascii="Times New Roman" w:hAnsi="Times New Roman"/>
      <w:sz w:val="18"/>
      <w:vertAlign w:val="superscript"/>
    </w:rPr>
  </w:style>
  <w:style w:type="paragraph" w:styleId="FootnoteText">
    <w:name w:val="footnote text"/>
    <w:aliases w:val="5_G"/>
    <w:basedOn w:val="Normal"/>
    <w:link w:val="FootnoteTextChar"/>
    <w:qFormat/>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 w:type="table" w:styleId="TableGrid">
    <w:name w:val="Table Grid"/>
    <w:basedOn w:val="TableNormal"/>
    <w:uiPriority w:val="39"/>
    <w:rsid w:val="006B6E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rsid w:val="0022634C"/>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3">
    <w:name w:val="N3"/>
    <w:basedOn w:val="Normal"/>
    <w:rsid w:val="0022634C"/>
    <w:pPr>
      <w:tabs>
        <w:tab w:val="left" w:pos="170"/>
      </w:tabs>
      <w:spacing w:line="240" w:lineRule="exact"/>
      <w:ind w:left="0" w:firstLine="0"/>
      <w:jc w:val="left"/>
    </w:pPr>
    <w:rPr>
      <w:rFonts w:ascii="Tms Rmn" w:hAnsi="Tms Rmn"/>
      <w:sz w:val="22"/>
    </w:rPr>
  </w:style>
  <w:style w:type="character" w:customStyle="1" w:styleId="HChGChar">
    <w:name w:val="_ H _Ch_G Char"/>
    <w:link w:val="HChG"/>
    <w:rsid w:val="00E13EB8"/>
    <w:rPr>
      <w:b/>
      <w:sz w:val="28"/>
      <w:lang w:val="fr-CH" w:eastAsia="fr-FR"/>
    </w:rPr>
  </w:style>
  <w:style w:type="table" w:customStyle="1" w:styleId="TableNormal1">
    <w:name w:val="Table Normal1"/>
    <w:uiPriority w:val="2"/>
    <w:semiHidden/>
    <w:unhideWhenUsed/>
    <w:qFormat/>
    <w:rsid w:val="00F77B72"/>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2E52-3406-41D3-84BB-432970C9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8055</Characters>
  <Application>Microsoft Office Word</Application>
  <DocSecurity>4</DocSecurity>
  <Lines>67</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2019-11-26T13:59:00Z</cp:lastPrinted>
  <dcterms:created xsi:type="dcterms:W3CDTF">2019-11-27T11:52:00Z</dcterms:created>
  <dcterms:modified xsi:type="dcterms:W3CDTF">2019-11-27T11:52:00Z</dcterms:modified>
</cp:coreProperties>
</file>