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134A" w14:textId="293779D4" w:rsidR="007B7C07" w:rsidRPr="007B7C07" w:rsidRDefault="007B7C07" w:rsidP="007B7C0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4"/>
        </w:rPr>
      </w:pPr>
      <w:r w:rsidRPr="007B7C07">
        <w:rPr>
          <w:rFonts w:ascii="Times New Roman" w:eastAsia="Times New Roman" w:hAnsi="Times New Roman" w:cs="Times New Roman"/>
          <w:b/>
          <w:sz w:val="28"/>
          <w:szCs w:val="24"/>
        </w:rPr>
        <w:tab/>
      </w:r>
      <w:r w:rsidRPr="007B7C07">
        <w:rPr>
          <w:rFonts w:ascii="Times New Roman" w:eastAsia="Times New Roman" w:hAnsi="Times New Roman" w:cs="Times New Roman"/>
          <w:b/>
          <w:sz w:val="28"/>
          <w:szCs w:val="24"/>
        </w:rPr>
        <w:tab/>
      </w:r>
      <w:r w:rsidR="00CE0B39">
        <w:rPr>
          <w:rFonts w:ascii="Times New Roman" w:eastAsia="Times New Roman" w:hAnsi="Times New Roman" w:cs="Times New Roman"/>
          <w:b/>
          <w:sz w:val="28"/>
          <w:szCs w:val="24"/>
        </w:rPr>
        <w:t>R</w:t>
      </w:r>
      <w:r w:rsidRPr="007B7C07">
        <w:rPr>
          <w:rFonts w:ascii="Times New Roman" w:eastAsia="Times New Roman" w:hAnsi="Times New Roman" w:cs="Times New Roman"/>
          <w:b/>
          <w:sz w:val="28"/>
          <w:szCs w:val="24"/>
        </w:rPr>
        <w:t>evised terms of reference and rules of procedure for the Informal Working Group on Automatically Commanded Steering Function</w:t>
      </w:r>
    </w:p>
    <w:p w14:paraId="1E82B0C3" w14:textId="504970DD" w:rsidR="00CE0B39" w:rsidRPr="007B7C07" w:rsidRDefault="007B7C0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0"/>
          <w:szCs w:val="20"/>
        </w:rPr>
      </w:pPr>
      <w:r w:rsidRPr="007B7C07">
        <w:rPr>
          <w:rFonts w:ascii="Times New Roman" w:eastAsia="Times New Roman" w:hAnsi="Times New Roman" w:cs="Times New Roman"/>
          <w:b/>
          <w:sz w:val="28"/>
          <w:szCs w:val="24"/>
        </w:rPr>
        <w:tab/>
      </w:r>
      <w:r w:rsidRPr="007B7C07">
        <w:rPr>
          <w:rFonts w:ascii="Times New Roman" w:eastAsia="Times New Roman" w:hAnsi="Times New Roman" w:cs="Times New Roman"/>
          <w:b/>
          <w:sz w:val="28"/>
          <w:szCs w:val="24"/>
        </w:rPr>
        <w:tab/>
      </w:r>
      <w:r w:rsidR="00CE0B39">
        <w:rPr>
          <w:rFonts w:ascii="Times New Roman" w:eastAsia="Times New Roman" w:hAnsi="Times New Roman" w:cs="Times New Roman"/>
          <w:b/>
          <w:sz w:val="20"/>
          <w:szCs w:val="20"/>
        </w:rPr>
        <w:t xml:space="preserve"> ECE/TRANS/WP.29/GRVA/1, Annex III.</w:t>
      </w:r>
    </w:p>
    <w:p w14:paraId="16C3E922" w14:textId="77777777" w:rsidR="007B7C07" w:rsidRPr="007B7C07" w:rsidRDefault="007B7C07" w:rsidP="007B7C0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bCs/>
          <w:sz w:val="28"/>
          <w:szCs w:val="28"/>
        </w:rPr>
      </w:pPr>
      <w:r w:rsidRPr="007B7C07">
        <w:rPr>
          <w:rFonts w:ascii="Times New Roman" w:eastAsia="Times New Roman" w:hAnsi="Times New Roman" w:cs="Times New Roman"/>
          <w:b/>
          <w:bCs/>
          <w:sz w:val="28"/>
          <w:szCs w:val="28"/>
        </w:rPr>
        <w:tab/>
        <w:t>I.</w:t>
      </w:r>
      <w:r w:rsidRPr="007B7C07">
        <w:rPr>
          <w:rFonts w:ascii="Times New Roman" w:eastAsia="Times New Roman" w:hAnsi="Times New Roman" w:cs="Times New Roman"/>
          <w:b/>
          <w:bCs/>
          <w:sz w:val="28"/>
          <w:szCs w:val="28"/>
        </w:rPr>
        <w:tab/>
        <w:t>Terms of Reference</w:t>
      </w:r>
    </w:p>
    <w:p w14:paraId="74D36AFB"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1.</w:t>
      </w:r>
      <w:r w:rsidRPr="007B7C07">
        <w:rPr>
          <w:rFonts w:ascii="Times New Roman" w:eastAsia="DengXian" w:hAnsi="Times New Roman" w:cs="Times New Roman"/>
          <w:color w:val="000000"/>
          <w:sz w:val="20"/>
          <w:szCs w:val="20"/>
          <w:lang w:val="en-US"/>
        </w:rPr>
        <w:tab/>
        <w:t xml:space="preserve">The Informal Working Group (IWG) on Automatically Commanded Steering Function technology (ACSF) shall review the requirements and limitations associated with ACSF as defined in UN Regulation No. 79. It shall prepare a draft regulatory proposal on advances in control system technology and the transport opportunities provided by the Vienna and Geneva Conventions. </w:t>
      </w:r>
    </w:p>
    <w:p w14:paraId="6DBC10C6"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2.</w:t>
      </w:r>
      <w:r w:rsidRPr="007B7C07">
        <w:rPr>
          <w:rFonts w:ascii="Times New Roman" w:eastAsia="DengXian" w:hAnsi="Times New Roman" w:cs="Times New Roman"/>
          <w:color w:val="000000"/>
          <w:sz w:val="20"/>
          <w:szCs w:val="20"/>
          <w:lang w:val="en-US"/>
        </w:rPr>
        <w:tab/>
        <w:t xml:space="preserve">The IWG shall address the following issues: </w:t>
      </w:r>
    </w:p>
    <w:p w14:paraId="62DC63DA"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ab/>
        <w:t>(a)</w:t>
      </w:r>
      <w:r w:rsidRPr="007B7C07">
        <w:rPr>
          <w:rFonts w:ascii="Times New Roman" w:eastAsia="DengXian" w:hAnsi="Times New Roman" w:cs="Times New Roman"/>
          <w:color w:val="000000"/>
          <w:sz w:val="20"/>
          <w:szCs w:val="20"/>
          <w:lang w:val="en-US"/>
        </w:rPr>
        <w:tab/>
        <w:t xml:space="preserve">Review the current speed limitation (10 km/h) with the purpose of permitting ACSF functionality during interurban journeys. </w:t>
      </w:r>
    </w:p>
    <w:p w14:paraId="3BEFA000"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ab/>
        <w:t>(b)</w:t>
      </w:r>
      <w:r w:rsidRPr="007B7C07">
        <w:rPr>
          <w:rFonts w:ascii="Times New Roman" w:eastAsia="DengXian" w:hAnsi="Times New Roman" w:cs="Times New Roman"/>
          <w:color w:val="000000"/>
          <w:sz w:val="20"/>
          <w:szCs w:val="20"/>
          <w:lang w:val="en-US"/>
        </w:rPr>
        <w:tab/>
        <w:t xml:space="preserve">Define Human Machine Interface (HMI) requirements for communicating between ACSF-system and the driver (e.g. system status, malfunction, transition). </w:t>
      </w:r>
    </w:p>
    <w:p w14:paraId="72D9F8DD"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ab/>
        <w:t>(c)</w:t>
      </w:r>
      <w:r w:rsidRPr="007B7C07">
        <w:rPr>
          <w:rFonts w:ascii="Times New Roman" w:eastAsia="DengXian" w:hAnsi="Times New Roman" w:cs="Times New Roman"/>
          <w:color w:val="000000"/>
          <w:sz w:val="20"/>
          <w:szCs w:val="20"/>
          <w:lang w:val="en-US"/>
        </w:rPr>
        <w:tab/>
        <w:t xml:space="preserve">Define requirements to enable the evaluation of ACSF during periodic technical inspection. </w:t>
      </w:r>
    </w:p>
    <w:p w14:paraId="2F2D2076"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ab/>
        <w:t>(d)</w:t>
      </w:r>
      <w:r w:rsidRPr="007B7C07">
        <w:rPr>
          <w:rFonts w:ascii="Times New Roman" w:eastAsia="DengXian" w:hAnsi="Times New Roman" w:cs="Times New Roman"/>
          <w:color w:val="000000"/>
          <w:sz w:val="20"/>
          <w:szCs w:val="20"/>
          <w:lang w:val="en-US"/>
        </w:rPr>
        <w:tab/>
        <w:t xml:space="preserve">Outstanding issues identified during the eighty-second session of GRRF shall be addressed (e.g. Emergency Steering Function (ESF)). </w:t>
      </w:r>
    </w:p>
    <w:p w14:paraId="7143112D"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 xml:space="preserve">Constraints: </w:t>
      </w:r>
    </w:p>
    <w:p w14:paraId="34F6E209"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ab/>
        <w:t>(a)</w:t>
      </w:r>
      <w:r w:rsidRPr="007B7C07">
        <w:rPr>
          <w:rFonts w:ascii="Times New Roman" w:eastAsia="DengXian" w:hAnsi="Times New Roman" w:cs="Times New Roman"/>
          <w:color w:val="000000"/>
          <w:sz w:val="20"/>
          <w:szCs w:val="20"/>
          <w:lang w:val="en-US"/>
        </w:rPr>
        <w:tab/>
        <w:t>The driver shall be able to activate and deactivate the system.</w:t>
      </w:r>
    </w:p>
    <w:p w14:paraId="7E4A4251"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ab/>
        <w:t>(b)</w:t>
      </w:r>
      <w:r w:rsidRPr="007B7C07">
        <w:rPr>
          <w:rFonts w:ascii="Times New Roman" w:eastAsia="DengXian" w:hAnsi="Times New Roman" w:cs="Times New Roman"/>
          <w:color w:val="000000"/>
          <w:sz w:val="20"/>
          <w:szCs w:val="20"/>
          <w:lang w:val="en-US"/>
        </w:rPr>
        <w:tab/>
        <w:t xml:space="preserve">The driver shall, </w:t>
      </w:r>
      <w:proofErr w:type="gramStart"/>
      <w:r w:rsidRPr="007B7C07">
        <w:rPr>
          <w:rFonts w:ascii="Times New Roman" w:eastAsia="DengXian" w:hAnsi="Times New Roman" w:cs="Times New Roman"/>
          <w:color w:val="000000"/>
          <w:sz w:val="20"/>
          <w:szCs w:val="20"/>
          <w:lang w:val="en-US"/>
        </w:rPr>
        <w:t>at all times</w:t>
      </w:r>
      <w:proofErr w:type="gramEnd"/>
      <w:r w:rsidRPr="007B7C07">
        <w:rPr>
          <w:rFonts w:ascii="Times New Roman" w:eastAsia="DengXian" w:hAnsi="Times New Roman" w:cs="Times New Roman"/>
          <w:color w:val="000000"/>
          <w:sz w:val="20"/>
          <w:szCs w:val="20"/>
          <w:lang w:val="en-US"/>
        </w:rPr>
        <w:t xml:space="preserve">, be able to override the system. </w:t>
      </w:r>
    </w:p>
    <w:p w14:paraId="01DF0F79"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3.</w:t>
      </w:r>
      <w:r w:rsidRPr="007B7C07">
        <w:rPr>
          <w:rFonts w:ascii="Times New Roman" w:eastAsia="DengXian" w:hAnsi="Times New Roman" w:cs="Times New Roman"/>
          <w:color w:val="000000"/>
          <w:sz w:val="20"/>
          <w:szCs w:val="20"/>
          <w:lang w:val="en-US"/>
        </w:rPr>
        <w:tab/>
        <w:t>The group will focus on systems for vehicles of categories N and M.</w:t>
      </w:r>
    </w:p>
    <w:p w14:paraId="656133C0"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4.</w:t>
      </w:r>
      <w:r w:rsidRPr="007B7C07">
        <w:rPr>
          <w:rFonts w:ascii="Times New Roman" w:eastAsia="DengXian" w:hAnsi="Times New Roman" w:cs="Times New Roman"/>
          <w:color w:val="000000"/>
          <w:sz w:val="20"/>
          <w:szCs w:val="20"/>
          <w:lang w:val="en-US"/>
        </w:rPr>
        <w:tab/>
        <w:t>The group should take full account of existing data and research in developing its regulatory proposals. It should consider pre-existing standards (e.g. ISO, SAE and JSAE standards) and regulations from other territories for ACSF developing its proposals.</w:t>
      </w:r>
    </w:p>
    <w:p w14:paraId="5D0B3FB1"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5.</w:t>
      </w:r>
      <w:r w:rsidRPr="007B7C07">
        <w:rPr>
          <w:rFonts w:ascii="Times New Roman" w:eastAsia="DengXian" w:hAnsi="Times New Roman" w:cs="Times New Roman"/>
          <w:color w:val="000000"/>
          <w:sz w:val="20"/>
          <w:szCs w:val="20"/>
          <w:lang w:val="en-US"/>
        </w:rPr>
        <w:tab/>
        <w:t>As a first step, the target completion date for the informal group’s work for less complex ACSF categories shall be the eighty-second session of GRRF in September 2016 (See ECE/TRANS/WP.29/GRRF/2016/45 as amended). Note: Corrective Steering Function (CSF), ACSF of Categories A and B1 were adopted by WP.29 in March 2017.</w:t>
      </w:r>
    </w:p>
    <w:p w14:paraId="13974C36"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6.</w:t>
      </w:r>
      <w:r w:rsidRPr="007B7C07">
        <w:rPr>
          <w:rFonts w:ascii="Times New Roman" w:eastAsia="DengXian" w:hAnsi="Times New Roman" w:cs="Times New Roman"/>
          <w:color w:val="000000"/>
          <w:sz w:val="20"/>
          <w:szCs w:val="20"/>
          <w:lang w:val="en-US"/>
        </w:rPr>
        <w:tab/>
        <w:t>As second step the target completion date for the IWG work on the ACSF category which includes a function of a single manoeuver (C and ESF) when commanded by the driver shall be the eighty-fifth GRRF (special session) in December 2017.</w:t>
      </w:r>
    </w:p>
    <w:p w14:paraId="2E535E1A" w14:textId="4F5C75D4"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7.</w:t>
      </w:r>
      <w:r w:rsidRPr="007B7C07">
        <w:rPr>
          <w:rFonts w:ascii="Times New Roman" w:eastAsia="DengXian" w:hAnsi="Times New Roman" w:cs="Times New Roman"/>
          <w:color w:val="000000"/>
          <w:sz w:val="20"/>
          <w:szCs w:val="20"/>
          <w:lang w:val="en-US"/>
        </w:rPr>
        <w:tab/>
        <w:t>And then the target completion date for the IWG work</w:t>
      </w:r>
      <w:r w:rsidRPr="007B7C07">
        <w:rPr>
          <w:rFonts w:ascii="Times New Roman" w:eastAsia="DengXian" w:hAnsi="Times New Roman" w:cs="Times New Roman"/>
          <w:color w:val="FF0000"/>
          <w:sz w:val="20"/>
          <w:szCs w:val="20"/>
          <w:lang w:val="en-US"/>
        </w:rPr>
        <w:t xml:space="preserve"> </w:t>
      </w:r>
      <w:r w:rsidRPr="007B7C07">
        <w:rPr>
          <w:rFonts w:ascii="Times New Roman" w:eastAsia="DengXian" w:hAnsi="Times New Roman" w:cs="Times New Roman"/>
          <w:sz w:val="20"/>
          <w:szCs w:val="20"/>
          <w:lang w:val="en-US" w:eastAsia="ja-JP"/>
        </w:rPr>
        <w:t xml:space="preserve">on automated lane keeping </w:t>
      </w:r>
      <w:bookmarkStart w:id="0" w:name="_GoBack"/>
      <w:bookmarkEnd w:id="0"/>
      <w:r w:rsidRPr="007B7C07">
        <w:rPr>
          <w:rFonts w:ascii="Times New Roman" w:eastAsia="DengXian" w:hAnsi="Times New Roman" w:cs="Times New Roman"/>
          <w:sz w:val="20"/>
          <w:szCs w:val="20"/>
          <w:lang w:val="en-US" w:eastAsia="ja-JP"/>
        </w:rPr>
        <w:t>function on highway</w:t>
      </w:r>
      <w:r w:rsidR="00DD283C" w:rsidRPr="006F21E3">
        <w:rPr>
          <w:rFonts w:ascii="Times New Roman" w:eastAsia="DengXian" w:hAnsi="Times New Roman" w:cs="Times New Roman"/>
          <w:b/>
          <w:sz w:val="20"/>
          <w:szCs w:val="20"/>
          <w:lang w:val="en-US" w:eastAsia="ja-JP"/>
        </w:rPr>
        <w:t>*</w:t>
      </w:r>
      <w:r w:rsidRPr="007B7C07">
        <w:rPr>
          <w:rFonts w:ascii="Times New Roman" w:eastAsia="DengXian" w:hAnsi="Times New Roman" w:cs="Times New Roman"/>
          <w:sz w:val="20"/>
          <w:szCs w:val="20"/>
          <w:lang w:val="en-US"/>
        </w:rPr>
        <w:t xml:space="preserve"> </w:t>
      </w:r>
      <w:r w:rsidRPr="007B7C07">
        <w:rPr>
          <w:rFonts w:ascii="Times New Roman" w:eastAsia="DengXian" w:hAnsi="Times New Roman" w:cs="Times New Roman"/>
          <w:color w:val="000000"/>
          <w:sz w:val="20"/>
          <w:szCs w:val="20"/>
          <w:lang w:val="en-US"/>
        </w:rPr>
        <w:t xml:space="preserve">shall be the </w:t>
      </w:r>
      <w:r w:rsidR="006F21E3" w:rsidRPr="006F21E3">
        <w:rPr>
          <w:rFonts w:ascii="Times New Roman" w:eastAsia="DengXian" w:hAnsi="Times New Roman" w:cs="Times New Roman"/>
          <w:strike/>
          <w:color w:val="000000"/>
          <w:sz w:val="20"/>
          <w:szCs w:val="20"/>
          <w:lang w:val="en-US"/>
        </w:rPr>
        <w:t>second</w:t>
      </w:r>
      <w:r w:rsidR="006F21E3">
        <w:rPr>
          <w:rFonts w:ascii="Times New Roman" w:eastAsia="DengXian" w:hAnsi="Times New Roman" w:cs="Times New Roman"/>
          <w:strike/>
          <w:color w:val="000000"/>
          <w:sz w:val="20"/>
          <w:szCs w:val="20"/>
          <w:lang w:val="en-US"/>
        </w:rPr>
        <w:t xml:space="preserve"> </w:t>
      </w:r>
      <w:r w:rsidR="006F21E3" w:rsidRPr="006F21E3">
        <w:rPr>
          <w:rFonts w:ascii="Times New Roman" w:eastAsia="DengXian" w:hAnsi="Times New Roman" w:cs="Times New Roman"/>
          <w:b/>
          <w:color w:val="000000"/>
          <w:sz w:val="20"/>
          <w:szCs w:val="20"/>
          <w:lang w:val="en-US"/>
        </w:rPr>
        <w:t>fourth</w:t>
      </w:r>
      <w:r w:rsidR="00CE0B39" w:rsidRPr="007B7C07">
        <w:rPr>
          <w:rFonts w:ascii="Times New Roman" w:eastAsia="DengXian" w:hAnsi="Times New Roman" w:cs="Times New Roman"/>
          <w:sz w:val="20"/>
          <w:szCs w:val="20"/>
          <w:lang w:val="en-US" w:eastAsia="ja-JP"/>
        </w:rPr>
        <w:t xml:space="preserve"> </w:t>
      </w:r>
      <w:r w:rsidRPr="007B7C07">
        <w:rPr>
          <w:rFonts w:ascii="Times New Roman" w:eastAsia="DengXian" w:hAnsi="Times New Roman" w:cs="Times New Roman"/>
          <w:color w:val="000000"/>
          <w:sz w:val="20"/>
          <w:szCs w:val="20"/>
          <w:lang w:val="en-US"/>
        </w:rPr>
        <w:t xml:space="preserve">session of </w:t>
      </w:r>
      <w:r w:rsidRPr="007B7C07">
        <w:rPr>
          <w:rFonts w:ascii="Times New Roman" w:eastAsia="DengXian" w:hAnsi="Times New Roman" w:cs="Times New Roman"/>
          <w:sz w:val="20"/>
          <w:szCs w:val="20"/>
          <w:lang w:val="en-US" w:eastAsia="ja-JP"/>
        </w:rPr>
        <w:t>GRVA in January </w:t>
      </w:r>
      <w:r w:rsidR="006F21E3" w:rsidRPr="006F21E3">
        <w:rPr>
          <w:rFonts w:ascii="Times New Roman" w:eastAsia="DengXian" w:hAnsi="Times New Roman" w:cs="Times New Roman"/>
          <w:strike/>
          <w:sz w:val="20"/>
          <w:szCs w:val="20"/>
          <w:lang w:val="en-US" w:eastAsia="ja-JP"/>
        </w:rPr>
        <w:t>2019</w:t>
      </w:r>
      <w:r w:rsidR="00CE0B39" w:rsidRPr="006F21E3">
        <w:rPr>
          <w:rFonts w:ascii="Times New Roman" w:eastAsia="DengXian" w:hAnsi="Times New Roman" w:cs="Times New Roman"/>
          <w:b/>
          <w:color w:val="000000"/>
          <w:sz w:val="20"/>
          <w:szCs w:val="20"/>
          <w:lang w:val="en-US"/>
        </w:rPr>
        <w:t>2020</w:t>
      </w:r>
      <w:r w:rsidRPr="007B7C07">
        <w:rPr>
          <w:rFonts w:ascii="Times New Roman" w:eastAsia="DengXian" w:hAnsi="Times New Roman" w:cs="Times New Roman"/>
          <w:color w:val="000000"/>
          <w:sz w:val="20"/>
          <w:szCs w:val="20"/>
          <w:lang w:val="en-US"/>
        </w:rPr>
        <w:t>.</w:t>
      </w:r>
    </w:p>
    <w:p w14:paraId="4F4DE4E9" w14:textId="0951FC8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sz w:val="20"/>
          <w:szCs w:val="20"/>
          <w:lang w:val="en-US"/>
        </w:rPr>
      </w:pPr>
      <w:r w:rsidRPr="007B7C07">
        <w:rPr>
          <w:rFonts w:ascii="Times New Roman" w:eastAsia="DengXian" w:hAnsi="Times New Roman" w:cs="Times New Roman"/>
          <w:color w:val="000000"/>
          <w:sz w:val="20"/>
          <w:szCs w:val="20"/>
          <w:lang w:val="en-US"/>
        </w:rPr>
        <w:t>8.</w:t>
      </w:r>
      <w:r w:rsidRPr="007B7C07">
        <w:rPr>
          <w:rFonts w:ascii="Times New Roman" w:eastAsia="DengXian" w:hAnsi="Times New Roman" w:cs="Times New Roman"/>
          <w:color w:val="000000"/>
          <w:sz w:val="20"/>
          <w:szCs w:val="20"/>
          <w:lang w:val="en-US"/>
        </w:rPr>
        <w:tab/>
      </w:r>
      <w:r w:rsidRPr="007B7C07">
        <w:rPr>
          <w:rFonts w:ascii="Times New Roman" w:eastAsia="DengXian" w:hAnsi="Times New Roman" w:cs="Times New Roman"/>
          <w:sz w:val="20"/>
          <w:szCs w:val="20"/>
          <w:lang w:val="en-US"/>
        </w:rPr>
        <w:t xml:space="preserve">The IWG shall deliver a draft new UN Regulation for the January </w:t>
      </w:r>
      <w:r w:rsidR="006F21E3" w:rsidRPr="006F21E3">
        <w:rPr>
          <w:rFonts w:ascii="Times New Roman" w:eastAsia="DengXian" w:hAnsi="Times New Roman" w:cs="Times New Roman"/>
          <w:strike/>
          <w:sz w:val="20"/>
          <w:szCs w:val="20"/>
          <w:lang w:val="en-US"/>
        </w:rPr>
        <w:t>2019</w:t>
      </w:r>
      <w:r w:rsidR="00CE0B39" w:rsidRPr="006F21E3">
        <w:rPr>
          <w:rFonts w:ascii="Times New Roman" w:eastAsia="DengXian" w:hAnsi="Times New Roman" w:cs="Times New Roman"/>
          <w:b/>
          <w:sz w:val="20"/>
          <w:szCs w:val="20"/>
          <w:lang w:val="en-US"/>
        </w:rPr>
        <w:t>2020</w:t>
      </w:r>
      <w:r w:rsidR="00CE0B39" w:rsidRPr="007B7C07">
        <w:rPr>
          <w:rFonts w:ascii="Times New Roman" w:eastAsia="DengXian" w:hAnsi="Times New Roman" w:cs="Times New Roman"/>
          <w:sz w:val="20"/>
          <w:szCs w:val="20"/>
          <w:lang w:val="en-US"/>
        </w:rPr>
        <w:t xml:space="preserve"> </w:t>
      </w:r>
      <w:r w:rsidRPr="007B7C07">
        <w:rPr>
          <w:rFonts w:ascii="Times New Roman" w:eastAsia="DengXian" w:hAnsi="Times New Roman" w:cs="Times New Roman"/>
          <w:sz w:val="20"/>
          <w:szCs w:val="20"/>
          <w:lang w:val="en-US"/>
        </w:rPr>
        <w:t xml:space="preserve">session of GRVA for automated lane keeping </w:t>
      </w:r>
      <w:r w:rsidRPr="007B7C07">
        <w:rPr>
          <w:rFonts w:ascii="Times New Roman" w:eastAsia="DengXian" w:hAnsi="Times New Roman" w:cs="Times New Roman"/>
          <w:sz w:val="20"/>
          <w:szCs w:val="20"/>
          <w:lang w:val="en-US" w:eastAsia="ja-JP"/>
        </w:rPr>
        <w:t xml:space="preserve">function on </w:t>
      </w:r>
      <w:proofErr w:type="gramStart"/>
      <w:r w:rsidRPr="007B7C07">
        <w:rPr>
          <w:rFonts w:ascii="Times New Roman" w:eastAsia="DengXian" w:hAnsi="Times New Roman" w:cs="Times New Roman"/>
          <w:sz w:val="20"/>
          <w:szCs w:val="20"/>
          <w:lang w:val="en-US" w:eastAsia="ja-JP"/>
        </w:rPr>
        <w:t>highway</w:t>
      </w:r>
      <w:r w:rsidRPr="007B7C07">
        <w:rPr>
          <w:rFonts w:ascii="Times New Roman" w:eastAsia="DengXian" w:hAnsi="Times New Roman" w:cs="Times New Roman"/>
          <w:sz w:val="20"/>
          <w:szCs w:val="20"/>
          <w:lang w:val="en-US"/>
        </w:rPr>
        <w:t>.</w:t>
      </w:r>
      <w:r w:rsidR="00DD283C" w:rsidRPr="006F21E3">
        <w:rPr>
          <w:rFonts w:ascii="Times New Roman" w:eastAsia="DengXian" w:hAnsi="Times New Roman" w:cs="Times New Roman"/>
          <w:b/>
          <w:sz w:val="20"/>
          <w:szCs w:val="20"/>
          <w:lang w:val="en-US"/>
        </w:rPr>
        <w:t>*</w:t>
      </w:r>
      <w:proofErr w:type="gramEnd"/>
      <w:r w:rsidRPr="006F21E3">
        <w:rPr>
          <w:rFonts w:ascii="Times New Roman" w:eastAsia="DengXian" w:hAnsi="Times New Roman" w:cs="Times New Roman"/>
          <w:b/>
          <w:sz w:val="20"/>
          <w:szCs w:val="20"/>
          <w:lang w:val="en-US"/>
        </w:rPr>
        <w:t xml:space="preserve"> </w:t>
      </w:r>
    </w:p>
    <w:p w14:paraId="7A5393D6"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sz w:val="20"/>
          <w:szCs w:val="20"/>
          <w:lang w:val="en-US"/>
        </w:rPr>
      </w:pPr>
      <w:r w:rsidRPr="007B7C07">
        <w:rPr>
          <w:rFonts w:ascii="Times New Roman" w:eastAsia="DengXian" w:hAnsi="Times New Roman" w:cs="Times New Roman"/>
          <w:sz w:val="20"/>
          <w:szCs w:val="20"/>
          <w:lang w:val="en-US"/>
        </w:rPr>
        <w:lastRenderedPageBreak/>
        <w:t>9.</w:t>
      </w:r>
      <w:r w:rsidRPr="007B7C07">
        <w:rPr>
          <w:rFonts w:ascii="Times New Roman" w:eastAsia="DengXian" w:hAnsi="Times New Roman" w:cs="Times New Roman"/>
          <w:sz w:val="20"/>
          <w:szCs w:val="20"/>
          <w:lang w:val="en-US"/>
        </w:rPr>
        <w:tab/>
      </w:r>
      <w:r w:rsidRPr="007B7C07">
        <w:rPr>
          <w:rFonts w:ascii="Times New Roman" w:eastAsia="DengXian" w:hAnsi="Times New Roman" w:cs="Times New Roman"/>
          <w:color w:val="000000"/>
          <w:sz w:val="20"/>
          <w:szCs w:val="20"/>
          <w:lang w:val="en-US"/>
        </w:rPr>
        <w:t xml:space="preserve">The IWG shall deliver the core </w:t>
      </w:r>
      <w:r w:rsidRPr="007B7C07">
        <w:rPr>
          <w:rFonts w:ascii="Times New Roman" w:eastAsia="DengXian" w:hAnsi="Times New Roman" w:cs="Times New Roman"/>
          <w:sz w:val="20"/>
          <w:szCs w:val="20"/>
          <w:lang w:val="en-US"/>
        </w:rPr>
        <w:t xml:space="preserve">technical requirements for </w:t>
      </w:r>
      <w:r w:rsidRPr="003551E0">
        <w:rPr>
          <w:rFonts w:ascii="Times New Roman" w:eastAsia="DengXian" w:hAnsi="Times New Roman" w:cs="Times New Roman"/>
          <w:sz w:val="20"/>
          <w:szCs w:val="20"/>
          <w:lang w:val="en-US"/>
        </w:rPr>
        <w:t>automated</w:t>
      </w:r>
      <w:r w:rsidRPr="007B7C07">
        <w:rPr>
          <w:rFonts w:ascii="Times New Roman" w:eastAsia="DengXian" w:hAnsi="Times New Roman" w:cs="Times New Roman"/>
          <w:sz w:val="20"/>
          <w:szCs w:val="20"/>
          <w:lang w:val="en-US"/>
        </w:rPr>
        <w:t xml:space="preserve"> lane keeping </w:t>
      </w:r>
      <w:r w:rsidRPr="007B7C07">
        <w:rPr>
          <w:rFonts w:ascii="Times New Roman" w:eastAsia="DengXian" w:hAnsi="Times New Roman" w:cs="Times New Roman"/>
          <w:sz w:val="20"/>
          <w:szCs w:val="20"/>
          <w:lang w:val="en-US" w:eastAsia="ja-JP"/>
        </w:rPr>
        <w:t>function on highway</w:t>
      </w:r>
      <w:r w:rsidR="00DD283C" w:rsidRPr="006F21E3">
        <w:rPr>
          <w:rFonts w:ascii="Times New Roman" w:eastAsia="DengXian" w:hAnsi="Times New Roman" w:cs="Times New Roman"/>
          <w:sz w:val="20"/>
          <w:szCs w:val="20"/>
          <w:lang w:val="en-US" w:eastAsia="ja-JP"/>
        </w:rPr>
        <w:t>*</w:t>
      </w:r>
      <w:r w:rsidRPr="006F21E3">
        <w:rPr>
          <w:rFonts w:ascii="Times New Roman" w:eastAsia="DengXian" w:hAnsi="Times New Roman" w:cs="Times New Roman"/>
          <w:sz w:val="20"/>
          <w:szCs w:val="20"/>
          <w:lang w:val="en-US"/>
        </w:rPr>
        <w:t xml:space="preserve"> </w:t>
      </w:r>
      <w:r w:rsidRPr="007B7C07">
        <w:rPr>
          <w:rFonts w:ascii="Times New Roman" w:eastAsia="DengXian" w:hAnsi="Times New Roman" w:cs="Times New Roman"/>
          <w:sz w:val="20"/>
          <w:szCs w:val="20"/>
          <w:lang w:val="en-US"/>
        </w:rPr>
        <w:t xml:space="preserve">so that they can be used to develop a new UN Regulation and/or a UN GTR. </w:t>
      </w:r>
    </w:p>
    <w:p w14:paraId="735B66BC" w14:textId="77777777" w:rsid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sz w:val="20"/>
          <w:szCs w:val="20"/>
          <w:lang w:val="en-US"/>
        </w:rPr>
        <w:t>10.</w:t>
      </w:r>
      <w:r w:rsidRPr="007B7C07">
        <w:rPr>
          <w:rFonts w:ascii="Times New Roman" w:eastAsia="DengXian" w:hAnsi="Times New Roman" w:cs="Times New Roman"/>
          <w:sz w:val="20"/>
          <w:szCs w:val="20"/>
          <w:lang w:val="en-US"/>
        </w:rPr>
        <w:tab/>
      </w:r>
      <w:r w:rsidRPr="007B7C07">
        <w:rPr>
          <w:rFonts w:ascii="Times New Roman" w:eastAsia="DengXian" w:hAnsi="Times New Roman" w:cs="Times New Roman"/>
          <w:color w:val="000000"/>
          <w:sz w:val="20"/>
          <w:szCs w:val="20"/>
          <w:lang w:val="en-US"/>
        </w:rPr>
        <w:t>The decision on regulatory proposals remains with WP.29 as well as AC.3 and the Contracting Parties.</w:t>
      </w:r>
    </w:p>
    <w:p w14:paraId="14812D04" w14:textId="77777777" w:rsidR="00DD283C" w:rsidRPr="006F21E3" w:rsidRDefault="00DD283C"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b/>
          <w:color w:val="000000"/>
          <w:sz w:val="20"/>
          <w:szCs w:val="20"/>
          <w:lang w:val="en-US"/>
        </w:rPr>
      </w:pPr>
      <w:r w:rsidRPr="006F21E3">
        <w:rPr>
          <w:rFonts w:ascii="Times New Roman" w:eastAsia="DengXian" w:hAnsi="Times New Roman" w:cs="Times New Roman"/>
          <w:b/>
          <w:color w:val="000000"/>
          <w:sz w:val="20"/>
          <w:szCs w:val="20"/>
          <w:lang w:val="en-US"/>
        </w:rPr>
        <w:t>*Note:</w:t>
      </w:r>
      <w:r w:rsidRPr="006F21E3">
        <w:rPr>
          <w:rFonts w:ascii="Times New Roman" w:eastAsia="DengXian" w:hAnsi="Times New Roman" w:cs="Times New Roman"/>
          <w:b/>
          <w:sz w:val="20"/>
          <w:szCs w:val="20"/>
          <w:lang w:val="en-US"/>
        </w:rPr>
        <w:t xml:space="preserve"> </w:t>
      </w:r>
      <w:r w:rsidR="001B4F5A" w:rsidRPr="006F21E3">
        <w:rPr>
          <w:rFonts w:ascii="Times New Roman" w:eastAsia="DengXian" w:hAnsi="Times New Roman" w:cs="Times New Roman"/>
          <w:b/>
          <w:sz w:val="20"/>
          <w:szCs w:val="20"/>
          <w:lang w:val="en-US"/>
        </w:rPr>
        <w:t xml:space="preserve">the </w:t>
      </w:r>
      <w:r w:rsidRPr="006F21E3">
        <w:rPr>
          <w:rFonts w:ascii="Times New Roman" w:eastAsia="DengXian" w:hAnsi="Times New Roman" w:cs="Times New Roman"/>
          <w:b/>
          <w:sz w:val="20"/>
          <w:szCs w:val="20"/>
          <w:lang w:val="en-US"/>
        </w:rPr>
        <w:t>p</w:t>
      </w:r>
      <w:r w:rsidR="001B4F5A" w:rsidRPr="006F21E3">
        <w:rPr>
          <w:rFonts w:ascii="Times New Roman" w:eastAsia="DengXian" w:hAnsi="Times New Roman" w:cs="Times New Roman"/>
          <w:b/>
          <w:sz w:val="20"/>
          <w:szCs w:val="20"/>
          <w:lang w:val="en-US"/>
        </w:rPr>
        <w:t>rimar</w:t>
      </w:r>
      <w:r w:rsidRPr="006F21E3">
        <w:rPr>
          <w:rFonts w:ascii="Times New Roman" w:eastAsia="DengXian" w:hAnsi="Times New Roman" w:cs="Times New Roman"/>
          <w:b/>
          <w:sz w:val="20"/>
          <w:szCs w:val="20"/>
          <w:lang w:val="en-US"/>
        </w:rPr>
        <w:t>y focus shall be on M1 low speed application</w:t>
      </w:r>
    </w:p>
    <w:p w14:paraId="3AA8A987" w14:textId="77777777" w:rsidR="007B7C07" w:rsidRPr="000B3248" w:rsidRDefault="007B7C07" w:rsidP="007B7C0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4"/>
        </w:rPr>
      </w:pPr>
      <w:r w:rsidRPr="007B7C07">
        <w:rPr>
          <w:rFonts w:ascii="Times New Roman" w:eastAsia="Times New Roman" w:hAnsi="Times New Roman" w:cs="Times New Roman"/>
          <w:b/>
          <w:sz w:val="28"/>
          <w:szCs w:val="24"/>
          <w:lang w:val="en-US"/>
        </w:rPr>
        <w:tab/>
        <w:t>II.</w:t>
      </w:r>
      <w:r w:rsidRPr="007B7C07">
        <w:rPr>
          <w:rFonts w:ascii="Times New Roman" w:eastAsia="Times New Roman" w:hAnsi="Times New Roman" w:cs="Times New Roman"/>
          <w:b/>
          <w:sz w:val="28"/>
          <w:szCs w:val="24"/>
          <w:lang w:val="en-US"/>
        </w:rPr>
        <w:tab/>
        <w:t xml:space="preserve">Rules of Procedure </w:t>
      </w:r>
    </w:p>
    <w:p w14:paraId="737C66EC"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11.</w:t>
      </w:r>
      <w:r w:rsidRPr="007B7C07">
        <w:rPr>
          <w:rFonts w:ascii="Times New Roman" w:eastAsia="DengXian" w:hAnsi="Times New Roman" w:cs="Times New Roman"/>
          <w:color w:val="000000"/>
          <w:sz w:val="20"/>
          <w:szCs w:val="20"/>
          <w:lang w:val="en-US"/>
        </w:rPr>
        <w:tab/>
        <w:t xml:space="preserve">The IWG is a subgroup of </w:t>
      </w:r>
      <w:r w:rsidRPr="007B7C07">
        <w:rPr>
          <w:rFonts w:ascii="Times New Roman" w:eastAsia="DengXian" w:hAnsi="Times New Roman" w:cs="Times New Roman"/>
          <w:sz w:val="20"/>
          <w:szCs w:val="20"/>
          <w:lang w:val="en-US"/>
        </w:rPr>
        <w:t>GRVA.</w:t>
      </w:r>
      <w:r w:rsidRPr="007B7C07">
        <w:rPr>
          <w:rFonts w:ascii="Times New Roman" w:eastAsia="DengXian" w:hAnsi="Times New Roman" w:cs="Times New Roman"/>
          <w:color w:val="000000"/>
          <w:sz w:val="20"/>
          <w:szCs w:val="20"/>
          <w:lang w:val="en-US"/>
        </w:rPr>
        <w:t xml:space="preserve"> It is open to all participants of </w:t>
      </w:r>
      <w:r w:rsidRPr="007B7C07">
        <w:rPr>
          <w:rFonts w:ascii="Times New Roman" w:eastAsia="DengXian" w:hAnsi="Times New Roman" w:cs="Times New Roman"/>
          <w:sz w:val="20"/>
          <w:szCs w:val="20"/>
          <w:lang w:val="en-US"/>
        </w:rPr>
        <w:t>GRVA</w:t>
      </w:r>
      <w:r w:rsidRPr="007B7C07">
        <w:rPr>
          <w:rFonts w:ascii="Times New Roman" w:eastAsia="DengXian" w:hAnsi="Times New Roman" w:cs="Times New Roman"/>
          <w:color w:val="000000"/>
          <w:sz w:val="20"/>
          <w:szCs w:val="20"/>
          <w:lang w:val="en-US"/>
        </w:rPr>
        <w:t xml:space="preserve">. </w:t>
      </w:r>
    </w:p>
    <w:p w14:paraId="0685657F"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12.</w:t>
      </w:r>
      <w:r w:rsidRPr="007B7C07">
        <w:rPr>
          <w:rFonts w:ascii="Times New Roman" w:eastAsia="DengXian" w:hAnsi="Times New Roman" w:cs="Times New Roman"/>
          <w:color w:val="000000"/>
          <w:sz w:val="20"/>
          <w:szCs w:val="20"/>
          <w:lang w:val="en-US"/>
        </w:rPr>
        <w:tab/>
        <w:t xml:space="preserve">Two Co-Chairs and a Secretary shall manage the IWG. </w:t>
      </w:r>
    </w:p>
    <w:p w14:paraId="4693730E" w14:textId="2014238C"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13.</w:t>
      </w:r>
      <w:r w:rsidRPr="007B7C07">
        <w:rPr>
          <w:rFonts w:ascii="Times New Roman" w:eastAsia="DengXian" w:hAnsi="Times New Roman" w:cs="Times New Roman"/>
          <w:color w:val="000000"/>
          <w:sz w:val="20"/>
          <w:szCs w:val="20"/>
          <w:lang w:val="en-US"/>
        </w:rPr>
        <w:tab/>
        <w:t xml:space="preserve">The </w:t>
      </w:r>
      <w:r w:rsidR="006F21E3" w:rsidRPr="006F21E3">
        <w:rPr>
          <w:rFonts w:ascii="Times New Roman" w:eastAsia="DengXian" w:hAnsi="Times New Roman" w:cs="Times New Roman"/>
          <w:strike/>
          <w:color w:val="000000"/>
          <w:sz w:val="20"/>
          <w:szCs w:val="20"/>
          <w:lang w:val="en-US"/>
        </w:rPr>
        <w:t>official</w:t>
      </w:r>
      <w:r w:rsidR="006F21E3">
        <w:rPr>
          <w:rFonts w:ascii="Times New Roman" w:eastAsia="DengXian" w:hAnsi="Times New Roman" w:cs="Times New Roman"/>
          <w:strike/>
          <w:color w:val="000000"/>
          <w:sz w:val="20"/>
          <w:szCs w:val="20"/>
          <w:lang w:val="en-US"/>
        </w:rPr>
        <w:t xml:space="preserve"> </w:t>
      </w:r>
      <w:r w:rsidR="009B5435" w:rsidRPr="006F21E3">
        <w:rPr>
          <w:rFonts w:ascii="Times New Roman" w:eastAsia="DengXian" w:hAnsi="Times New Roman" w:cs="Times New Roman"/>
          <w:b/>
          <w:color w:val="000000"/>
          <w:sz w:val="20"/>
          <w:szCs w:val="20"/>
          <w:lang w:val="en-US"/>
        </w:rPr>
        <w:t>working</w:t>
      </w:r>
      <w:r w:rsidR="009B5435" w:rsidRPr="007B7C07">
        <w:rPr>
          <w:rFonts w:ascii="Times New Roman" w:eastAsia="DengXian" w:hAnsi="Times New Roman" w:cs="Times New Roman"/>
          <w:color w:val="000000"/>
          <w:sz w:val="20"/>
          <w:szCs w:val="20"/>
          <w:lang w:val="en-US"/>
        </w:rPr>
        <w:t xml:space="preserve"> </w:t>
      </w:r>
      <w:r w:rsidRPr="007B7C07">
        <w:rPr>
          <w:rFonts w:ascii="Times New Roman" w:eastAsia="DengXian" w:hAnsi="Times New Roman" w:cs="Times New Roman"/>
          <w:color w:val="000000"/>
          <w:sz w:val="20"/>
          <w:szCs w:val="20"/>
          <w:lang w:val="en-US"/>
        </w:rPr>
        <w:t xml:space="preserve">language of the IWG is English. </w:t>
      </w:r>
    </w:p>
    <w:p w14:paraId="21B1C996"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14.</w:t>
      </w:r>
      <w:r w:rsidRPr="007B7C07">
        <w:rPr>
          <w:rFonts w:ascii="Times New Roman" w:eastAsia="DengXian" w:hAnsi="Times New Roman" w:cs="Times New Roman"/>
          <w:color w:val="000000"/>
          <w:sz w:val="20"/>
          <w:szCs w:val="20"/>
          <w:lang w:val="en-US"/>
        </w:rPr>
        <w:tab/>
        <w:t xml:space="preserve">All documents and/or proposals shall be submitted to the Secretary of the IWG in a suitable electronic format in advance of the meeting. The group may refuse to discuss any item or proposal which has not been circulated ten working days in advance. </w:t>
      </w:r>
    </w:p>
    <w:p w14:paraId="3C8F4FBE"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15.</w:t>
      </w:r>
      <w:r w:rsidRPr="007B7C07">
        <w:rPr>
          <w:rFonts w:ascii="Times New Roman" w:eastAsia="DengXian" w:hAnsi="Times New Roman" w:cs="Times New Roman"/>
          <w:color w:val="000000"/>
          <w:sz w:val="20"/>
          <w:szCs w:val="20"/>
          <w:lang w:val="en-US"/>
        </w:rPr>
        <w:tab/>
        <w:t xml:space="preserve">An agenda and related documents is circulated to all members of the informal group in advance of all scheduled meetings. </w:t>
      </w:r>
    </w:p>
    <w:p w14:paraId="60F2F41A"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16.</w:t>
      </w:r>
      <w:r w:rsidRPr="007B7C07">
        <w:rPr>
          <w:rFonts w:ascii="Times New Roman" w:eastAsia="DengXian" w:hAnsi="Times New Roman" w:cs="Times New Roman"/>
          <w:color w:val="000000"/>
          <w:sz w:val="20"/>
          <w:szCs w:val="20"/>
          <w:lang w:val="en-US"/>
        </w:rPr>
        <w:tab/>
        <w:t xml:space="preserve">Decisions are reached by consensus. When consensus cannot be reached, one of the Co-Chairs of the group shall present the different points of view to </w:t>
      </w:r>
      <w:r w:rsidRPr="007B7C07">
        <w:rPr>
          <w:rFonts w:ascii="Times New Roman" w:eastAsia="DengXian" w:hAnsi="Times New Roman" w:cs="Times New Roman"/>
          <w:sz w:val="20"/>
          <w:szCs w:val="20"/>
          <w:lang w:val="en-US"/>
        </w:rPr>
        <w:t>GRVA</w:t>
      </w:r>
      <w:r w:rsidRPr="007B7C07">
        <w:rPr>
          <w:rFonts w:ascii="Times New Roman" w:eastAsia="DengXian" w:hAnsi="Times New Roman" w:cs="Times New Roman"/>
          <w:color w:val="000000"/>
          <w:sz w:val="20"/>
          <w:szCs w:val="20"/>
          <w:lang w:val="en-US"/>
        </w:rPr>
        <w:t xml:space="preserve">. The Co-Chairs may seek guidance from </w:t>
      </w:r>
      <w:r w:rsidRPr="007B7C07">
        <w:rPr>
          <w:rFonts w:ascii="Times New Roman" w:eastAsia="DengXian" w:hAnsi="Times New Roman" w:cs="Times New Roman"/>
          <w:sz w:val="20"/>
          <w:szCs w:val="20"/>
          <w:lang w:val="en-US"/>
        </w:rPr>
        <w:t xml:space="preserve">GRVA </w:t>
      </w:r>
      <w:r w:rsidRPr="007B7C07">
        <w:rPr>
          <w:rFonts w:ascii="Times New Roman" w:eastAsia="DengXian" w:hAnsi="Times New Roman" w:cs="Times New Roman"/>
          <w:color w:val="000000"/>
          <w:sz w:val="20"/>
          <w:szCs w:val="20"/>
          <w:lang w:val="en-US"/>
        </w:rPr>
        <w:t xml:space="preserve">as appropriate. </w:t>
      </w:r>
    </w:p>
    <w:p w14:paraId="638B7F9B"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17.</w:t>
      </w:r>
      <w:r w:rsidRPr="007B7C07">
        <w:rPr>
          <w:rFonts w:ascii="Times New Roman" w:eastAsia="DengXian" w:hAnsi="Times New Roman" w:cs="Times New Roman"/>
          <w:color w:val="000000"/>
          <w:sz w:val="20"/>
          <w:szCs w:val="20"/>
          <w:lang w:val="en-US"/>
        </w:rPr>
        <w:tab/>
        <w:t xml:space="preserve">The progress of the IWG will be routinely reported to </w:t>
      </w:r>
      <w:r w:rsidRPr="007B7C07">
        <w:rPr>
          <w:rFonts w:ascii="Times New Roman" w:eastAsia="DengXian" w:hAnsi="Times New Roman" w:cs="Times New Roman"/>
          <w:sz w:val="20"/>
          <w:szCs w:val="20"/>
          <w:lang w:val="en-US"/>
        </w:rPr>
        <w:t xml:space="preserve">GRVA </w:t>
      </w:r>
      <w:r w:rsidRPr="007B7C07">
        <w:rPr>
          <w:rFonts w:ascii="Times New Roman" w:eastAsia="DengXian" w:hAnsi="Times New Roman" w:cs="Times New Roman"/>
          <w:color w:val="000000"/>
          <w:sz w:val="20"/>
          <w:szCs w:val="20"/>
          <w:lang w:val="en-US"/>
        </w:rPr>
        <w:t xml:space="preserve">– wherever possible as an informal document and presented by the Co-Chairs </w:t>
      </w:r>
      <w:r w:rsidRPr="006F21E3">
        <w:rPr>
          <w:rFonts w:ascii="Times New Roman" w:eastAsia="DengXian" w:hAnsi="Times New Roman" w:cs="Times New Roman"/>
          <w:strike/>
          <w:color w:val="000000"/>
          <w:sz w:val="20"/>
          <w:szCs w:val="20"/>
          <w:lang w:val="en-US"/>
        </w:rPr>
        <w:t>or one of their representatives</w:t>
      </w:r>
      <w:r w:rsidRPr="007B7C07">
        <w:rPr>
          <w:rFonts w:ascii="Times New Roman" w:eastAsia="DengXian" w:hAnsi="Times New Roman" w:cs="Times New Roman"/>
          <w:color w:val="000000"/>
          <w:sz w:val="20"/>
          <w:szCs w:val="20"/>
          <w:lang w:val="en-US"/>
        </w:rPr>
        <w:t xml:space="preserve">. </w:t>
      </w:r>
    </w:p>
    <w:p w14:paraId="79AB484E" w14:textId="77777777" w:rsidR="007B7C07" w:rsidRPr="007B7C07" w:rsidRDefault="007B7C07" w:rsidP="007B7C07">
      <w:pPr>
        <w:tabs>
          <w:tab w:val="left" w:pos="1701"/>
        </w:tabs>
        <w:autoSpaceDE w:val="0"/>
        <w:autoSpaceDN w:val="0"/>
        <w:adjustRightInd w:val="0"/>
        <w:spacing w:after="120" w:line="240" w:lineRule="auto"/>
        <w:ind w:left="1134" w:right="1134"/>
        <w:jc w:val="both"/>
        <w:rPr>
          <w:rFonts w:ascii="Times New Roman" w:eastAsia="DengXian" w:hAnsi="Times New Roman" w:cs="Times New Roman"/>
          <w:color w:val="000000"/>
          <w:sz w:val="20"/>
          <w:szCs w:val="20"/>
          <w:lang w:val="en-US"/>
        </w:rPr>
      </w:pPr>
      <w:r w:rsidRPr="007B7C07">
        <w:rPr>
          <w:rFonts w:ascii="Times New Roman" w:eastAsia="DengXian" w:hAnsi="Times New Roman" w:cs="Times New Roman"/>
          <w:color w:val="000000"/>
          <w:sz w:val="20"/>
          <w:szCs w:val="20"/>
          <w:lang w:val="en-US"/>
        </w:rPr>
        <w:t>18.</w:t>
      </w:r>
      <w:r w:rsidRPr="007B7C07">
        <w:rPr>
          <w:rFonts w:ascii="Times New Roman" w:eastAsia="DengXian" w:hAnsi="Times New Roman" w:cs="Times New Roman"/>
          <w:color w:val="000000"/>
          <w:sz w:val="20"/>
          <w:szCs w:val="20"/>
          <w:lang w:val="en-US"/>
        </w:rPr>
        <w:tab/>
        <w:t>All documents shall be distributed in digital format. Meeting documents should be made available to the Secretary for publication on the dedicated website.</w:t>
      </w:r>
    </w:p>
    <w:p w14:paraId="3B01C0DD" w14:textId="77777777" w:rsidR="007B7C07" w:rsidRPr="007B7C07" w:rsidRDefault="007B7C07" w:rsidP="007B7C07">
      <w:pPr>
        <w:tabs>
          <w:tab w:val="left" w:pos="1701"/>
        </w:tabs>
        <w:autoSpaceDE w:val="0"/>
        <w:autoSpaceDN w:val="0"/>
        <w:adjustRightInd w:val="0"/>
        <w:spacing w:after="120" w:line="240" w:lineRule="auto"/>
        <w:ind w:left="1134" w:right="1134"/>
        <w:jc w:val="center"/>
        <w:rPr>
          <w:rFonts w:ascii="Times New Roman" w:eastAsia="DengXian" w:hAnsi="Times New Roman" w:cs="Times New Roman"/>
          <w:color w:val="000000"/>
          <w:sz w:val="20"/>
          <w:szCs w:val="20"/>
          <w:u w:val="single"/>
          <w:lang w:val="en-US"/>
        </w:rPr>
      </w:pPr>
      <w:r w:rsidRPr="007B7C07">
        <w:rPr>
          <w:rFonts w:ascii="Times New Roman" w:eastAsia="DengXian" w:hAnsi="Times New Roman" w:cs="Times New Roman"/>
          <w:color w:val="000000"/>
          <w:sz w:val="20"/>
          <w:szCs w:val="20"/>
          <w:u w:val="single"/>
          <w:lang w:val="en-US"/>
        </w:rPr>
        <w:tab/>
      </w:r>
      <w:r w:rsidRPr="007B7C07">
        <w:rPr>
          <w:rFonts w:ascii="Times New Roman" w:eastAsia="DengXian" w:hAnsi="Times New Roman" w:cs="Times New Roman"/>
          <w:color w:val="000000"/>
          <w:sz w:val="20"/>
          <w:szCs w:val="20"/>
          <w:u w:val="single"/>
          <w:lang w:val="en-US"/>
        </w:rPr>
        <w:tab/>
      </w:r>
      <w:r w:rsidRPr="007B7C07">
        <w:rPr>
          <w:rFonts w:ascii="Times New Roman" w:eastAsia="DengXian" w:hAnsi="Times New Roman" w:cs="Times New Roman"/>
          <w:color w:val="000000"/>
          <w:sz w:val="20"/>
          <w:szCs w:val="20"/>
          <w:u w:val="single"/>
          <w:lang w:val="en-US"/>
        </w:rPr>
        <w:tab/>
      </w:r>
    </w:p>
    <w:p w14:paraId="4D50A0BF" w14:textId="77777777" w:rsidR="007B7C07" w:rsidRPr="007B7C07" w:rsidRDefault="007B7C07" w:rsidP="007B7C07">
      <w:pPr>
        <w:suppressAutoHyphens/>
        <w:spacing w:after="0" w:line="240" w:lineRule="atLeast"/>
        <w:rPr>
          <w:rFonts w:ascii="Times New Roman" w:eastAsia="Times New Roman" w:hAnsi="Times New Roman" w:cs="Times New Roman"/>
          <w:sz w:val="24"/>
          <w:szCs w:val="24"/>
        </w:rPr>
      </w:pPr>
    </w:p>
    <w:p w14:paraId="29339DA6" w14:textId="77777777" w:rsidR="00E9503A" w:rsidRDefault="00E9503A"/>
    <w:sectPr w:rsidR="00E9503A" w:rsidSect="005E5E53">
      <w:headerReference w:type="even" r:id="rId6"/>
      <w:footerReference w:type="even" r:id="rId7"/>
      <w:footerReference w:type="default" r:id="rId8"/>
      <w:headerReference w:type="first" r:id="rId9"/>
      <w:footerReference w:type="first" r:id="rId1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7B930" w14:textId="77777777" w:rsidR="00D33821" w:rsidRDefault="00D33821">
      <w:pPr>
        <w:spacing w:after="0" w:line="240" w:lineRule="auto"/>
      </w:pPr>
      <w:r>
        <w:separator/>
      </w:r>
    </w:p>
  </w:endnote>
  <w:endnote w:type="continuationSeparator" w:id="0">
    <w:p w14:paraId="51BD380D" w14:textId="77777777" w:rsidR="00D33821" w:rsidRDefault="00D3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71297"/>
      <w:docPartObj>
        <w:docPartGallery w:val="Page Numbers (Bottom of Page)"/>
        <w:docPartUnique/>
      </w:docPartObj>
    </w:sdtPr>
    <w:sdtEndPr>
      <w:rPr>
        <w:b/>
        <w:bCs/>
        <w:noProof/>
        <w:sz w:val="20"/>
        <w:szCs w:val="20"/>
      </w:rPr>
    </w:sdtEndPr>
    <w:sdtContent>
      <w:p w14:paraId="1CE49883" w14:textId="77777777" w:rsidR="007C4CE3" w:rsidRPr="005E5E53" w:rsidRDefault="007B7C07" w:rsidP="005E5E53">
        <w:pPr>
          <w:pStyle w:val="Footer"/>
          <w:rPr>
            <w:b/>
            <w:bCs/>
            <w:sz w:val="20"/>
            <w:szCs w:val="20"/>
          </w:rPr>
        </w:pPr>
        <w:r w:rsidRPr="00FE4CF7">
          <w:rPr>
            <w:sz w:val="18"/>
            <w:szCs w:val="18"/>
          </w:rPr>
          <w:fldChar w:fldCharType="begin"/>
        </w:r>
        <w:r w:rsidRPr="00FE4CF7">
          <w:rPr>
            <w:sz w:val="18"/>
            <w:szCs w:val="18"/>
          </w:rPr>
          <w:instrText xml:space="preserve"> PAGE   \* MERGEFORMAT </w:instrText>
        </w:r>
        <w:r w:rsidRPr="00FE4CF7">
          <w:rPr>
            <w:sz w:val="18"/>
            <w:szCs w:val="18"/>
          </w:rPr>
          <w:fldChar w:fldCharType="separate"/>
        </w:r>
        <w:r w:rsidRPr="00A35D2B">
          <w:rPr>
            <w:b/>
            <w:bCs/>
            <w:noProof/>
            <w:sz w:val="18"/>
            <w:szCs w:val="18"/>
          </w:rPr>
          <w:t>18</w:t>
        </w:r>
        <w:r w:rsidRPr="00FE4CF7">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511577"/>
      <w:docPartObj>
        <w:docPartGallery w:val="Page Numbers (Bottom of Page)"/>
        <w:docPartUnique/>
      </w:docPartObj>
    </w:sdtPr>
    <w:sdtEndPr>
      <w:rPr>
        <w:b/>
        <w:bCs/>
        <w:noProof/>
        <w:sz w:val="18"/>
        <w:szCs w:val="18"/>
      </w:rPr>
    </w:sdtEndPr>
    <w:sdtContent>
      <w:p w14:paraId="1E02D825" w14:textId="77777777" w:rsidR="007C4CE3" w:rsidRPr="00FE4CF7" w:rsidRDefault="007B7C07" w:rsidP="005E5E53">
        <w:pPr>
          <w:pStyle w:val="Footer"/>
          <w:jc w:val="right"/>
          <w:rPr>
            <w:b/>
            <w:bCs/>
            <w:sz w:val="18"/>
            <w:szCs w:val="18"/>
          </w:rPr>
        </w:pPr>
        <w:r w:rsidRPr="00FE4CF7">
          <w:rPr>
            <w:sz w:val="18"/>
            <w:szCs w:val="18"/>
          </w:rPr>
          <w:fldChar w:fldCharType="begin"/>
        </w:r>
        <w:r w:rsidRPr="00FE4CF7">
          <w:rPr>
            <w:sz w:val="18"/>
            <w:szCs w:val="18"/>
          </w:rPr>
          <w:instrText xml:space="preserve"> PAGE   \* MERGEFORMAT </w:instrText>
        </w:r>
        <w:r w:rsidRPr="00FE4CF7">
          <w:rPr>
            <w:sz w:val="18"/>
            <w:szCs w:val="18"/>
          </w:rPr>
          <w:fldChar w:fldCharType="separate"/>
        </w:r>
        <w:r w:rsidR="00FD6643" w:rsidRPr="00FD6643">
          <w:rPr>
            <w:b/>
            <w:bCs/>
            <w:noProof/>
            <w:sz w:val="18"/>
            <w:szCs w:val="18"/>
          </w:rPr>
          <w:t>2</w:t>
        </w:r>
        <w:r w:rsidRPr="00FE4CF7">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22E7" w14:textId="30AC603A" w:rsidR="007C4CE3" w:rsidRPr="00295CFD" w:rsidRDefault="007B7C07" w:rsidP="00295CFD">
    <w:pPr>
      <w:pStyle w:val="Footer"/>
      <w:jc w:val="right"/>
      <w:rPr>
        <w:sz w:val="20"/>
        <w:szCs w:val="20"/>
      </w:rPr>
    </w:pPr>
    <w:r w:rsidRPr="00295CFD">
      <w:rPr>
        <w:noProof/>
        <w:sz w:val="20"/>
        <w:szCs w:val="20"/>
        <w:lang w:eastAsia="en-GB"/>
      </w:rPr>
      <w:drawing>
        <wp:anchor distT="0" distB="0" distL="114300" distR="114300" simplePos="0" relativeHeight="251659264" behindDoc="1" locked="1" layoutInCell="1" allowOverlap="1" wp14:anchorId="181D92F7" wp14:editId="5FF453D4">
          <wp:simplePos x="0" y="0"/>
          <wp:positionH relativeFrom="margin">
            <wp:posOffset>4339590</wp:posOffset>
          </wp:positionH>
          <wp:positionV relativeFrom="margin">
            <wp:posOffset>8249920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F488C" w14:textId="77777777" w:rsidR="00D33821" w:rsidRDefault="00D33821">
      <w:pPr>
        <w:spacing w:after="0" w:line="240" w:lineRule="auto"/>
      </w:pPr>
      <w:r>
        <w:separator/>
      </w:r>
    </w:p>
  </w:footnote>
  <w:footnote w:type="continuationSeparator" w:id="0">
    <w:p w14:paraId="20624651" w14:textId="77777777" w:rsidR="00D33821" w:rsidRDefault="00D33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41DF" w14:textId="77777777" w:rsidR="007C4CE3" w:rsidRPr="00FE4CF7" w:rsidRDefault="007B7C07" w:rsidP="005E5E53">
    <w:pPr>
      <w:pStyle w:val="Header"/>
      <w:pBdr>
        <w:bottom w:val="single" w:sz="4" w:space="1" w:color="auto"/>
      </w:pBdr>
      <w:rPr>
        <w:b/>
        <w:bCs/>
        <w:sz w:val="18"/>
        <w:szCs w:val="18"/>
        <w:lang w:val="fr-CH"/>
      </w:rPr>
    </w:pPr>
    <w:r w:rsidRPr="00FE4CF7">
      <w:rPr>
        <w:b/>
        <w:bCs/>
        <w:sz w:val="18"/>
        <w:szCs w:val="18"/>
        <w:lang w:val="fr-CH"/>
      </w:rPr>
      <w:t>ECE/TRANS/WP.29/GRVA/1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459" w:type="dxa"/>
      <w:tblLook w:val="01E0" w:firstRow="1" w:lastRow="1" w:firstColumn="1" w:lastColumn="1" w:noHBand="0" w:noVBand="0"/>
    </w:tblPr>
    <w:tblGrid>
      <w:gridCol w:w="5103"/>
      <w:gridCol w:w="4536"/>
    </w:tblGrid>
    <w:tr w:rsidR="006F21E3" w:rsidRPr="007C2607" w14:paraId="55370F69" w14:textId="77777777" w:rsidTr="00EE1539">
      <w:trPr>
        <w:trHeight w:val="438"/>
      </w:trPr>
      <w:tc>
        <w:tcPr>
          <w:tcW w:w="5103" w:type="dxa"/>
        </w:tcPr>
        <w:p w14:paraId="0C757156" w14:textId="451E711D" w:rsidR="006F21E3" w:rsidRPr="008612D4" w:rsidRDefault="006F21E3" w:rsidP="006F21E3">
          <w:pPr>
            <w:spacing w:before="60" w:after="60"/>
            <w:ind w:right="359"/>
            <w:rPr>
              <w:rFonts w:ascii="Calibri" w:hAnsi="Calibri"/>
              <w:lang w:eastAsia="ja-JP"/>
            </w:rPr>
          </w:pPr>
          <w:r w:rsidRPr="008612D4">
            <w:rPr>
              <w:rFonts w:ascii="Calibri" w:hAnsi="Calibri"/>
            </w:rPr>
            <w:t xml:space="preserve">Submitted by </w:t>
          </w:r>
          <w:r>
            <w:rPr>
              <w:rFonts w:ascii="Calibri" w:hAnsi="Calibri"/>
            </w:rPr>
            <w:t xml:space="preserve">the IWG on </w:t>
          </w:r>
          <w:r>
            <w:rPr>
              <w:rFonts w:ascii="Calibri" w:hAnsi="Calibri"/>
              <w:lang w:eastAsia="ja-JP"/>
            </w:rPr>
            <w:t>ACSF</w:t>
          </w:r>
        </w:p>
      </w:tc>
      <w:tc>
        <w:tcPr>
          <w:tcW w:w="4536" w:type="dxa"/>
        </w:tcPr>
        <w:p w14:paraId="1089A42C" w14:textId="41601F82" w:rsidR="006F21E3" w:rsidRPr="004F2F6B" w:rsidRDefault="006F21E3" w:rsidP="007D109F">
          <w:pPr>
            <w:spacing w:after="0" w:line="240" w:lineRule="auto"/>
            <w:jc w:val="right"/>
            <w:rPr>
              <w:rFonts w:ascii="Calibri" w:hAnsi="Calibri"/>
              <w:lang w:eastAsia="ja-JP"/>
            </w:rPr>
          </w:pPr>
          <w:r w:rsidRPr="004F2F6B">
            <w:rPr>
              <w:rFonts w:ascii="Calibri" w:hAnsi="Calibri"/>
              <w:u w:val="single"/>
            </w:rPr>
            <w:t>Informal document</w:t>
          </w:r>
          <w:r w:rsidRPr="004F2F6B">
            <w:rPr>
              <w:rFonts w:ascii="Calibri" w:hAnsi="Calibri"/>
            </w:rPr>
            <w:t xml:space="preserve"> </w:t>
          </w:r>
          <w:r w:rsidRPr="004F2F6B">
            <w:rPr>
              <w:rFonts w:ascii="Calibri" w:hAnsi="Calibri" w:hint="eastAsia"/>
              <w:b/>
              <w:bCs/>
              <w:lang w:eastAsia="ja-JP"/>
            </w:rPr>
            <w:t>GRVA-02-</w:t>
          </w:r>
          <w:r w:rsidR="007D109F">
            <w:rPr>
              <w:rFonts w:ascii="Calibri" w:hAnsi="Calibri"/>
              <w:b/>
              <w:bCs/>
              <w:lang w:eastAsia="ja-JP"/>
            </w:rPr>
            <w:t>36</w:t>
          </w:r>
        </w:p>
        <w:p w14:paraId="0B6BDABE" w14:textId="77777777" w:rsidR="006F21E3" w:rsidRDefault="006F21E3" w:rsidP="007D109F">
          <w:pPr>
            <w:spacing w:after="0" w:line="240" w:lineRule="auto"/>
            <w:jc w:val="right"/>
            <w:rPr>
              <w:rFonts w:ascii="Calibri" w:hAnsi="Calibri"/>
              <w:lang w:eastAsia="ja-JP"/>
            </w:rPr>
          </w:pPr>
          <w:r w:rsidRPr="004F2F6B">
            <w:rPr>
              <w:rFonts w:ascii="Calibri" w:hAnsi="Calibri"/>
              <w:lang w:eastAsia="ja-JP"/>
            </w:rPr>
            <w:t>2nd GRVA, 28 January - 1 February</w:t>
          </w:r>
          <w:r>
            <w:rPr>
              <w:rFonts w:ascii="Calibri" w:hAnsi="Calibri"/>
              <w:lang w:eastAsia="ja-JP"/>
            </w:rPr>
            <w:t xml:space="preserve"> 2019</w:t>
          </w:r>
        </w:p>
        <w:p w14:paraId="43B36BB0" w14:textId="32AC386E" w:rsidR="006F21E3" w:rsidRPr="004F2F6B" w:rsidRDefault="007D109F" w:rsidP="007D109F">
          <w:pPr>
            <w:spacing w:after="0" w:line="240" w:lineRule="auto"/>
            <w:jc w:val="right"/>
            <w:rPr>
              <w:rFonts w:ascii="Calibri" w:hAnsi="Calibri"/>
              <w:lang w:eastAsia="ja-JP"/>
            </w:rPr>
          </w:pPr>
          <w:r>
            <w:rPr>
              <w:rFonts w:ascii="Calibri" w:hAnsi="Calibri"/>
              <w:lang w:eastAsia="ja-JP"/>
            </w:rPr>
            <w:t>A</w:t>
          </w:r>
          <w:r w:rsidR="006F21E3">
            <w:rPr>
              <w:rFonts w:ascii="Calibri" w:hAnsi="Calibri"/>
              <w:lang w:eastAsia="ja-JP"/>
            </w:rPr>
            <w:t>genda item 5 (</w:t>
          </w:r>
          <w:r w:rsidR="00FD6643">
            <w:rPr>
              <w:rFonts w:ascii="Calibri" w:hAnsi="Calibri"/>
              <w:lang w:eastAsia="ja-JP"/>
            </w:rPr>
            <w:t>d</w:t>
          </w:r>
          <w:r w:rsidR="006F21E3">
            <w:rPr>
              <w:rFonts w:ascii="Calibri" w:hAnsi="Calibri"/>
              <w:lang w:eastAsia="ja-JP"/>
            </w:rPr>
            <w:t>)</w:t>
          </w:r>
          <w:r w:rsidR="006F21E3" w:rsidRPr="004F2F6B">
            <w:rPr>
              <w:rFonts w:ascii="Calibri" w:hAnsi="Calibri"/>
              <w:lang w:eastAsia="ja-JP"/>
            </w:rPr>
            <w:t xml:space="preserve">  </w:t>
          </w:r>
        </w:p>
      </w:tc>
    </w:tr>
  </w:tbl>
  <w:p w14:paraId="3CD425E4" w14:textId="77777777" w:rsidR="006F21E3" w:rsidRDefault="006F2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B7C07"/>
    <w:rsid w:val="000B3248"/>
    <w:rsid w:val="001720CA"/>
    <w:rsid w:val="001B4F5A"/>
    <w:rsid w:val="00243306"/>
    <w:rsid w:val="002C7241"/>
    <w:rsid w:val="00352B3C"/>
    <w:rsid w:val="003551E0"/>
    <w:rsid w:val="00486FEB"/>
    <w:rsid w:val="0057037B"/>
    <w:rsid w:val="00596A38"/>
    <w:rsid w:val="0067494F"/>
    <w:rsid w:val="006F21E3"/>
    <w:rsid w:val="007B7C07"/>
    <w:rsid w:val="007D109F"/>
    <w:rsid w:val="009B5435"/>
    <w:rsid w:val="00CE0B39"/>
    <w:rsid w:val="00D33821"/>
    <w:rsid w:val="00DD283C"/>
    <w:rsid w:val="00E9503A"/>
    <w:rsid w:val="00FD66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8AD38"/>
  <w15:chartTrackingRefBased/>
  <w15:docId w15:val="{2AB377C1-A0E4-4F88-8CC7-66B8B2B3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C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C07"/>
  </w:style>
  <w:style w:type="paragraph" w:styleId="Footer">
    <w:name w:val="footer"/>
    <w:basedOn w:val="Normal"/>
    <w:link w:val="FooterChar"/>
    <w:uiPriority w:val="99"/>
    <w:unhideWhenUsed/>
    <w:rsid w:val="007B7C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7C07"/>
  </w:style>
  <w:style w:type="paragraph" w:styleId="BalloonText">
    <w:name w:val="Balloon Text"/>
    <w:basedOn w:val="Normal"/>
    <w:link w:val="BalloonTextChar"/>
    <w:uiPriority w:val="99"/>
    <w:semiHidden/>
    <w:unhideWhenUsed/>
    <w:rsid w:val="009B5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35"/>
    <w:rPr>
      <w:rFonts w:ascii="Segoe UI" w:hAnsi="Segoe UI" w:cs="Segoe UI"/>
      <w:sz w:val="18"/>
      <w:szCs w:val="18"/>
    </w:rPr>
  </w:style>
  <w:style w:type="character" w:styleId="CommentReference">
    <w:name w:val="annotation reference"/>
    <w:basedOn w:val="DefaultParagraphFont"/>
    <w:uiPriority w:val="99"/>
    <w:semiHidden/>
    <w:unhideWhenUsed/>
    <w:rsid w:val="00486FEB"/>
    <w:rPr>
      <w:sz w:val="16"/>
      <w:szCs w:val="16"/>
    </w:rPr>
  </w:style>
  <w:style w:type="paragraph" w:styleId="CommentText">
    <w:name w:val="annotation text"/>
    <w:basedOn w:val="Normal"/>
    <w:link w:val="CommentTextChar"/>
    <w:uiPriority w:val="99"/>
    <w:semiHidden/>
    <w:unhideWhenUsed/>
    <w:rsid w:val="00486FEB"/>
    <w:pPr>
      <w:spacing w:line="240" w:lineRule="auto"/>
    </w:pPr>
    <w:rPr>
      <w:sz w:val="20"/>
      <w:szCs w:val="20"/>
    </w:rPr>
  </w:style>
  <w:style w:type="character" w:customStyle="1" w:styleId="CommentTextChar">
    <w:name w:val="Comment Text Char"/>
    <w:basedOn w:val="DefaultParagraphFont"/>
    <w:link w:val="CommentText"/>
    <w:uiPriority w:val="99"/>
    <w:semiHidden/>
    <w:rsid w:val="00486FEB"/>
    <w:rPr>
      <w:sz w:val="20"/>
      <w:szCs w:val="20"/>
    </w:rPr>
  </w:style>
  <w:style w:type="paragraph" w:styleId="CommentSubject">
    <w:name w:val="annotation subject"/>
    <w:basedOn w:val="CommentText"/>
    <w:next w:val="CommentText"/>
    <w:link w:val="CommentSubjectChar"/>
    <w:uiPriority w:val="99"/>
    <w:semiHidden/>
    <w:unhideWhenUsed/>
    <w:rsid w:val="00486FEB"/>
    <w:rPr>
      <w:b/>
      <w:bCs/>
    </w:rPr>
  </w:style>
  <w:style w:type="character" w:customStyle="1" w:styleId="CommentSubjectChar">
    <w:name w:val="Comment Subject Char"/>
    <w:basedOn w:val="CommentTextChar"/>
    <w:link w:val="CommentSubject"/>
    <w:uiPriority w:val="99"/>
    <w:semiHidden/>
    <w:rsid w:val="00486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TUV</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Gerlach</dc:creator>
  <cp:keywords/>
  <dc:description/>
  <cp:lastModifiedBy>Francois Guichard</cp:lastModifiedBy>
  <cp:revision>3</cp:revision>
  <dcterms:created xsi:type="dcterms:W3CDTF">2019-01-28T17:56:00Z</dcterms:created>
  <dcterms:modified xsi:type="dcterms:W3CDTF">2019-01-30T13:14:00Z</dcterms:modified>
</cp:coreProperties>
</file>