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1A75F3">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A75F3" w:rsidP="001A75F3">
            <w:pPr>
              <w:jc w:val="right"/>
            </w:pPr>
            <w:r w:rsidRPr="001A75F3">
              <w:rPr>
                <w:sz w:val="40"/>
              </w:rPr>
              <w:t>ECE</w:t>
            </w:r>
            <w:r>
              <w:t>/TRANS/WP.29/GRVA/2019/6</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A75F3" w:rsidP="00C97039">
            <w:pPr>
              <w:spacing w:before="240"/>
            </w:pPr>
            <w:r>
              <w:t>Distr. générale</w:t>
            </w:r>
          </w:p>
          <w:p w:rsidR="001A75F3" w:rsidRDefault="001A75F3" w:rsidP="001A75F3">
            <w:pPr>
              <w:spacing w:line="240" w:lineRule="exact"/>
            </w:pPr>
            <w:r>
              <w:t>19 novembre 2018</w:t>
            </w:r>
          </w:p>
          <w:p w:rsidR="001A75F3" w:rsidRDefault="001A75F3" w:rsidP="001A75F3">
            <w:pPr>
              <w:spacing w:line="240" w:lineRule="exact"/>
            </w:pPr>
            <w:r>
              <w:t>Français</w:t>
            </w:r>
          </w:p>
          <w:p w:rsidR="001A75F3" w:rsidRPr="00DB58B5" w:rsidRDefault="001A75F3" w:rsidP="001A75F3">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1A75F3" w:rsidRDefault="001A75F3" w:rsidP="00A3029F">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1A75F3" w:rsidRDefault="001A75F3" w:rsidP="00A3029F">
      <w:pPr>
        <w:spacing w:before="120"/>
        <w:rPr>
          <w:b/>
        </w:rPr>
      </w:pPr>
      <w:r>
        <w:rPr>
          <w:b/>
        </w:rPr>
        <w:t xml:space="preserve">Groupe de travail </w:t>
      </w:r>
      <w:r w:rsidRPr="00EA3397">
        <w:rPr>
          <w:rFonts w:eastAsia="Times New Roman"/>
          <w:b/>
          <w:bCs/>
        </w:rPr>
        <w:t>des véhicules automatisés</w:t>
      </w:r>
      <w:r>
        <w:rPr>
          <w:rFonts w:eastAsia="Times New Roman"/>
          <w:b/>
          <w:bCs/>
        </w:rPr>
        <w:t>/autonomes et connectés</w:t>
      </w:r>
      <w:r w:rsidR="00E350E1" w:rsidRPr="00393B74">
        <w:rPr>
          <w:rStyle w:val="FootnoteReference"/>
          <w:rFonts w:eastAsia="Times New Roman"/>
          <w:bCs/>
          <w:sz w:val="20"/>
          <w:vertAlign w:val="baseline"/>
        </w:rPr>
        <w:footnoteReference w:customMarkFollows="1" w:id="2"/>
        <w:t>*</w:t>
      </w:r>
    </w:p>
    <w:p w:rsidR="00E350E1" w:rsidRDefault="00E350E1" w:rsidP="00E350E1">
      <w:pPr>
        <w:spacing w:before="120"/>
        <w:rPr>
          <w:b/>
        </w:rPr>
      </w:pPr>
      <w:r>
        <w:rPr>
          <w:b/>
          <w:bCs/>
          <w:lang w:val="fr-FR"/>
        </w:rPr>
        <w:t>Deuxième session</w:t>
      </w:r>
    </w:p>
    <w:p w:rsidR="00E350E1" w:rsidRPr="004C4906" w:rsidRDefault="00E350E1" w:rsidP="00E350E1">
      <w:pPr>
        <w:spacing w:line="240" w:lineRule="exact"/>
      </w:pPr>
      <w:r>
        <w:rPr>
          <w:lang w:val="fr-FR"/>
        </w:rPr>
        <w:t>Genève, 28 janvier-1</w:t>
      </w:r>
      <w:r w:rsidRPr="00E350E1">
        <w:rPr>
          <w:vertAlign w:val="superscript"/>
          <w:lang w:val="fr-FR"/>
        </w:rPr>
        <w:t>er</w:t>
      </w:r>
      <w:r>
        <w:rPr>
          <w:lang w:val="fr-FR"/>
        </w:rPr>
        <w:t xml:space="preserve"> février 2019</w:t>
      </w:r>
    </w:p>
    <w:p w:rsidR="00E350E1" w:rsidRPr="004C4906" w:rsidRDefault="00E350E1" w:rsidP="00E350E1">
      <w:pPr>
        <w:spacing w:line="240" w:lineRule="exact"/>
      </w:pPr>
      <w:r>
        <w:rPr>
          <w:lang w:val="fr-FR"/>
        </w:rPr>
        <w:t>Point 7 a) de l’ordre du jour provisoire</w:t>
      </w:r>
    </w:p>
    <w:p w:rsidR="00F9573C" w:rsidRDefault="00E350E1" w:rsidP="00E350E1">
      <w:pPr>
        <w:rPr>
          <w:b/>
          <w:bCs/>
          <w:lang w:val="fr-FR"/>
        </w:rPr>
      </w:pPr>
      <w:r>
        <w:rPr>
          <w:b/>
          <w:bCs/>
          <w:lang w:val="fr-FR"/>
        </w:rPr>
        <w:t xml:space="preserve">Règlements ONU </w:t>
      </w:r>
      <w:r w:rsidRPr="00E350E1">
        <w:rPr>
          <w:rFonts w:eastAsia="MS Mincho"/>
          <w:b/>
          <w:bCs/>
          <w:lang w:val="fr-FR"/>
        </w:rPr>
        <w:t>n</w:t>
      </w:r>
      <w:r w:rsidRPr="00E350E1">
        <w:rPr>
          <w:rFonts w:eastAsia="MS Mincho"/>
          <w:b/>
          <w:bCs/>
          <w:vertAlign w:val="superscript"/>
          <w:lang w:val="fr-FR"/>
        </w:rPr>
        <w:t>o</w:t>
      </w:r>
      <w:r>
        <w:rPr>
          <w:rFonts w:eastAsia="MS Mincho"/>
          <w:b/>
          <w:bCs/>
          <w:vertAlign w:val="superscript"/>
          <w:lang w:val="fr-FR"/>
        </w:rPr>
        <w:t>s</w:t>
      </w:r>
      <w:r>
        <w:rPr>
          <w:b/>
          <w:bCs/>
          <w:lang w:val="fr-FR"/>
        </w:rPr>
        <w:t> 13, 13-H, 139 et 140 :</w:t>
      </w:r>
      <w:r>
        <w:rPr>
          <w:b/>
          <w:bCs/>
          <w:lang w:val="fr-FR"/>
        </w:rPr>
        <w:br/>
        <w:t>Système de contrôle électronique de la stabilité</w:t>
      </w:r>
    </w:p>
    <w:p w:rsidR="00E350E1" w:rsidRPr="00E350E1" w:rsidRDefault="00E350E1" w:rsidP="00E350E1">
      <w:pPr>
        <w:pStyle w:val="HChG"/>
      </w:pPr>
      <w:bookmarkStart w:id="1" w:name="OLE_LINK2"/>
      <w:r w:rsidRPr="00E350E1">
        <w:rPr>
          <w:lang w:val="fr-FR"/>
        </w:rPr>
        <w:tab/>
      </w:r>
      <w:r w:rsidRPr="00E350E1">
        <w:rPr>
          <w:lang w:val="fr-FR"/>
        </w:rPr>
        <w:tab/>
        <w:t xml:space="preserve">Proposition de complément au Règlement ONU </w:t>
      </w:r>
      <w:r w:rsidRPr="00E350E1">
        <w:rPr>
          <w:rFonts w:eastAsia="MS Mincho"/>
          <w:lang w:val="fr-FR"/>
        </w:rPr>
        <w:t>n</w:t>
      </w:r>
      <w:r w:rsidRPr="00E350E1">
        <w:rPr>
          <w:rFonts w:eastAsia="MS Mincho"/>
          <w:vertAlign w:val="superscript"/>
          <w:lang w:val="fr-FR"/>
        </w:rPr>
        <w:t>o</w:t>
      </w:r>
      <w:r>
        <w:rPr>
          <w:lang w:val="fr-FR"/>
        </w:rPr>
        <w:t> </w:t>
      </w:r>
      <w:r w:rsidRPr="00E350E1">
        <w:rPr>
          <w:lang w:val="fr-FR"/>
        </w:rPr>
        <w:t>140 (Système de contrôle électronique de la stabilité)</w:t>
      </w:r>
      <w:bookmarkStart w:id="2" w:name="_Hlk530153136"/>
      <w:bookmarkEnd w:id="1"/>
      <w:bookmarkEnd w:id="2"/>
    </w:p>
    <w:p w:rsidR="00E350E1" w:rsidRPr="00E350E1" w:rsidRDefault="00E350E1" w:rsidP="00E350E1">
      <w:pPr>
        <w:pStyle w:val="H1G"/>
      </w:pPr>
      <w:r w:rsidRPr="00E350E1">
        <w:rPr>
          <w:lang w:val="fr-FR"/>
        </w:rPr>
        <w:tab/>
      </w:r>
      <w:r w:rsidRPr="00E350E1">
        <w:rPr>
          <w:lang w:val="fr-FR"/>
        </w:rPr>
        <w:tab/>
        <w:t>Communication de l’expert de l’Australie</w:t>
      </w:r>
      <w:r w:rsidRPr="00393B74">
        <w:rPr>
          <w:b w:val="0"/>
          <w:sz w:val="20"/>
          <w:lang w:val="fr-FR"/>
        </w:rPr>
        <w:footnoteReference w:customMarkFollows="1" w:id="3"/>
        <w:t>**</w:t>
      </w:r>
    </w:p>
    <w:p w:rsidR="00E350E1" w:rsidRPr="00E350E1" w:rsidRDefault="00E350E1" w:rsidP="00E350E1">
      <w:pPr>
        <w:pStyle w:val="SingleTxtG"/>
      </w:pPr>
      <w:r w:rsidRPr="00E350E1">
        <w:rPr>
          <w:lang w:val="fr-FR"/>
        </w:rPr>
        <w:tab/>
        <w:t>Le texte ci-après, établi par l’expert de l’Australie, vise à améliorer les dispositions relatives à l’applicabilité du Règlement. Les modifications qu’il est proposé d’apporter au texte actuel du Règlement figurent en caractères gras.</w:t>
      </w:r>
    </w:p>
    <w:p w:rsidR="00E350E1" w:rsidRPr="00E350E1" w:rsidRDefault="00393B74" w:rsidP="00393B74">
      <w:pPr>
        <w:pStyle w:val="HChG"/>
      </w:pPr>
      <w:r>
        <w:rPr>
          <w:lang w:val="fr-FR"/>
        </w:rPr>
        <w:br w:type="page"/>
      </w:r>
      <w:r>
        <w:rPr>
          <w:lang w:val="fr-FR"/>
        </w:rPr>
        <w:lastRenderedPageBreak/>
        <w:tab/>
      </w:r>
      <w:r w:rsidR="00E350E1" w:rsidRPr="00E350E1">
        <w:rPr>
          <w:lang w:val="fr-FR"/>
        </w:rPr>
        <w:t>I.</w:t>
      </w:r>
      <w:r w:rsidR="00E350E1" w:rsidRPr="00E350E1">
        <w:rPr>
          <w:lang w:val="fr-FR"/>
        </w:rPr>
        <w:tab/>
        <w:t>Proposition</w:t>
      </w:r>
    </w:p>
    <w:p w:rsidR="00E350E1" w:rsidRPr="00E350E1" w:rsidRDefault="00E350E1" w:rsidP="00E350E1">
      <w:pPr>
        <w:pStyle w:val="SingleTxtG"/>
      </w:pPr>
      <w:r w:rsidRPr="00E350E1">
        <w:rPr>
          <w:i/>
          <w:iCs/>
          <w:lang w:val="fr-FR"/>
        </w:rPr>
        <w:t>Paragraphe 5.1</w:t>
      </w:r>
      <w:r w:rsidR="00393B74">
        <w:rPr>
          <w:lang w:val="fr-FR"/>
        </w:rPr>
        <w:t>, lire </w:t>
      </w:r>
      <w:r w:rsidRPr="00E350E1">
        <w:rPr>
          <w:lang w:val="fr-FR"/>
        </w:rPr>
        <w:t>:</w:t>
      </w:r>
    </w:p>
    <w:p w:rsidR="00E350E1" w:rsidRPr="00E350E1" w:rsidRDefault="00393B74" w:rsidP="00393B74">
      <w:pPr>
        <w:pStyle w:val="SingleTxtG"/>
        <w:ind w:left="2268" w:hanging="1134"/>
        <w:rPr>
          <w:bCs/>
        </w:rPr>
      </w:pPr>
      <w:r>
        <w:rPr>
          <w:lang w:val="fr-FR"/>
        </w:rPr>
        <w:t>« </w:t>
      </w:r>
      <w:r w:rsidR="00E350E1" w:rsidRPr="00E350E1">
        <w:rPr>
          <w:lang w:val="fr-FR"/>
        </w:rPr>
        <w:t>5.1</w:t>
      </w:r>
      <w:r w:rsidR="00E350E1" w:rsidRPr="00E350E1">
        <w:rPr>
          <w:lang w:val="fr-FR"/>
        </w:rPr>
        <w:tab/>
        <w:t xml:space="preserve">Les véhicules </w:t>
      </w:r>
      <w:r w:rsidR="00E350E1" w:rsidRPr="00E350E1">
        <w:rPr>
          <w:b/>
          <w:bCs/>
          <w:lang w:val="fr-FR"/>
        </w:rPr>
        <w:t xml:space="preserve">qui satisfont aux prescriptions du présent Règlement </w:t>
      </w:r>
      <w:r w:rsidR="00E350E1" w:rsidRPr="00E350E1">
        <w:rPr>
          <w:lang w:val="fr-FR"/>
        </w:rPr>
        <w:t>doivent être équipés d’un système de contrôle électronique de la stabilité (ESC) satisfaisant aux prescriptions fonc</w:t>
      </w:r>
      <w:r>
        <w:rPr>
          <w:lang w:val="fr-FR"/>
        </w:rPr>
        <w:t>tionnelles énoncées au chapitre </w:t>
      </w:r>
      <w:r w:rsidR="00E350E1" w:rsidRPr="00E350E1">
        <w:rPr>
          <w:lang w:val="fr-FR"/>
        </w:rPr>
        <w:t>6 et aux prescriptions d’</w:t>
      </w:r>
      <w:r>
        <w:rPr>
          <w:lang w:val="fr-FR"/>
        </w:rPr>
        <w:t>efficacité énoncées au chapitre </w:t>
      </w:r>
      <w:r w:rsidR="00E350E1" w:rsidRPr="00E350E1">
        <w:rPr>
          <w:lang w:val="fr-FR"/>
        </w:rPr>
        <w:t>7, dans le cadre des procédures d’</w:t>
      </w:r>
      <w:r>
        <w:rPr>
          <w:lang w:val="fr-FR"/>
        </w:rPr>
        <w:t>essai décrites au chapitre </w:t>
      </w:r>
      <w:r w:rsidR="00E350E1" w:rsidRPr="00E350E1">
        <w:rPr>
          <w:lang w:val="fr-FR"/>
        </w:rPr>
        <w:t xml:space="preserve">9 et dans les conditions d’essai indiquées au </w:t>
      </w:r>
      <w:r>
        <w:rPr>
          <w:lang w:val="fr-FR"/>
        </w:rPr>
        <w:t>chapitre </w:t>
      </w:r>
      <w:r w:rsidR="00E350E1" w:rsidRPr="00E350E1">
        <w:rPr>
          <w:lang w:val="fr-FR"/>
        </w:rPr>
        <w:t>8 du présent Règlement. ».</w:t>
      </w:r>
    </w:p>
    <w:p w:rsidR="00E350E1" w:rsidRPr="00E350E1" w:rsidRDefault="00393B74" w:rsidP="00393B74">
      <w:pPr>
        <w:pStyle w:val="HChG"/>
      </w:pPr>
      <w:r>
        <w:rPr>
          <w:lang w:val="fr-FR"/>
        </w:rPr>
        <w:tab/>
      </w:r>
      <w:r w:rsidR="00E350E1" w:rsidRPr="00E350E1">
        <w:rPr>
          <w:lang w:val="fr-FR"/>
        </w:rPr>
        <w:t>II.</w:t>
      </w:r>
      <w:r w:rsidR="00E350E1" w:rsidRPr="00E350E1">
        <w:rPr>
          <w:lang w:val="fr-FR"/>
        </w:rPr>
        <w:tab/>
        <w:t>Justification</w:t>
      </w:r>
    </w:p>
    <w:p w:rsidR="00E350E1" w:rsidRPr="00E350E1" w:rsidRDefault="00E350E1" w:rsidP="00E350E1">
      <w:pPr>
        <w:pStyle w:val="SingleTxtG"/>
      </w:pPr>
      <w:r w:rsidRPr="00E350E1">
        <w:rPr>
          <w:lang w:val="fr-FR"/>
        </w:rPr>
        <w:t>1.</w:t>
      </w:r>
      <w:r w:rsidRPr="00E350E1">
        <w:rPr>
          <w:lang w:val="fr-FR"/>
        </w:rPr>
        <w:tab/>
        <w:t>La proposition adoptée (ECE/TRANS/WP.29/2018/61)</w:t>
      </w:r>
      <w:r w:rsidR="00393B74">
        <w:rPr>
          <w:lang w:val="fr-FR"/>
        </w:rPr>
        <w:t xml:space="preserve"> a modifié le paragraphe </w:t>
      </w:r>
      <w:r w:rsidRPr="00E350E1">
        <w:rPr>
          <w:lang w:val="fr-FR"/>
        </w:rPr>
        <w:t xml:space="preserve">5.1 afin, entre autres, de prévoir expressément qu’un véhicule homologué au titre du Règlement </w:t>
      </w:r>
      <w:r w:rsidR="00393B74">
        <w:rPr>
          <w:lang w:val="fr-FR"/>
        </w:rPr>
        <w:t xml:space="preserve">ONU </w:t>
      </w:r>
      <w:r w:rsidR="00393B74" w:rsidRPr="00393B74">
        <w:rPr>
          <w:rFonts w:eastAsia="MS Mincho"/>
          <w:lang w:val="fr-FR"/>
        </w:rPr>
        <w:t>n</w:t>
      </w:r>
      <w:r w:rsidR="00393B74" w:rsidRPr="00393B74">
        <w:rPr>
          <w:rFonts w:eastAsia="MS Mincho"/>
          <w:vertAlign w:val="superscript"/>
          <w:lang w:val="fr-FR"/>
        </w:rPr>
        <w:t>o</w:t>
      </w:r>
      <w:r w:rsidR="00393B74">
        <w:rPr>
          <w:lang w:val="fr-FR"/>
        </w:rPr>
        <w:t> </w:t>
      </w:r>
      <w:r w:rsidRPr="00E350E1">
        <w:rPr>
          <w:lang w:val="fr-FR"/>
        </w:rPr>
        <w:t xml:space="preserve">140 doit être équipé d’un système de contrôle électronique de la stabilité (ESC). Il s’agissait d’éviter (bien que cela soit peu probable dans la pratique) qu’un véhicule dépourvu de système ESC soit homologué. L’amendement a comblé une lacune créée au moment de transposer les dispositions d’un règlement combiné (en l’occurrence le Règlement </w:t>
      </w:r>
      <w:r w:rsidR="004B52FF">
        <w:rPr>
          <w:lang w:val="fr-FR"/>
        </w:rPr>
        <w:t xml:space="preserve">ONU </w:t>
      </w:r>
      <w:r w:rsidR="004B52FF" w:rsidRPr="004B52FF">
        <w:rPr>
          <w:rFonts w:eastAsia="MS Mincho"/>
          <w:lang w:val="fr-FR"/>
        </w:rPr>
        <w:t>n</w:t>
      </w:r>
      <w:r w:rsidR="004B52FF" w:rsidRPr="004B52FF">
        <w:rPr>
          <w:rFonts w:eastAsia="MS Mincho"/>
          <w:vertAlign w:val="superscript"/>
          <w:lang w:val="fr-FR"/>
        </w:rPr>
        <w:t>o</w:t>
      </w:r>
      <w:r w:rsidR="004B52FF">
        <w:rPr>
          <w:lang w:val="fr-FR"/>
        </w:rPr>
        <w:t> </w:t>
      </w:r>
      <w:r w:rsidRPr="00E350E1">
        <w:rPr>
          <w:lang w:val="fr-FR"/>
        </w:rPr>
        <w:t xml:space="preserve">13-H, qui traitait du freinage obligatoire et des systèmes ESC </w:t>
      </w:r>
      <w:r w:rsidR="004B52FF">
        <w:rPr>
          <w:lang w:val="fr-FR"/>
        </w:rPr>
        <w:t>« </w:t>
      </w:r>
      <w:r w:rsidRPr="00E350E1">
        <w:rPr>
          <w:lang w:val="fr-FR"/>
        </w:rPr>
        <w:t>lorsqu’ils sont montés</w:t>
      </w:r>
      <w:r w:rsidR="004B52FF">
        <w:rPr>
          <w:lang w:val="fr-FR"/>
        </w:rPr>
        <w:t> »</w:t>
      </w:r>
      <w:r w:rsidRPr="00E350E1">
        <w:rPr>
          <w:lang w:val="fr-FR"/>
        </w:rPr>
        <w:t xml:space="preserve">) relatives à ces systèmes </w:t>
      </w:r>
      <w:r w:rsidR="004B52FF">
        <w:rPr>
          <w:lang w:val="fr-FR"/>
        </w:rPr>
        <w:t>« </w:t>
      </w:r>
      <w:r w:rsidRPr="00E350E1">
        <w:rPr>
          <w:lang w:val="fr-FR"/>
        </w:rPr>
        <w:t>lorsqu’ils sont montés</w:t>
      </w:r>
      <w:r w:rsidR="004B52FF">
        <w:rPr>
          <w:lang w:val="fr-FR"/>
        </w:rPr>
        <w:t> »</w:t>
      </w:r>
      <w:r w:rsidRPr="00E350E1">
        <w:rPr>
          <w:lang w:val="fr-FR"/>
        </w:rPr>
        <w:t xml:space="preserve"> dans un règlement distinct traitant uniquement de ces systèmes </w:t>
      </w:r>
      <w:r w:rsidR="004B52FF">
        <w:rPr>
          <w:lang w:val="fr-FR"/>
        </w:rPr>
        <w:t>« </w:t>
      </w:r>
      <w:r w:rsidRPr="00E350E1">
        <w:rPr>
          <w:lang w:val="fr-FR"/>
        </w:rPr>
        <w:t>lorsqu’ils sont montés</w:t>
      </w:r>
      <w:r w:rsidR="004B52FF">
        <w:rPr>
          <w:lang w:val="fr-FR"/>
        </w:rPr>
        <w:t> »</w:t>
      </w:r>
      <w:r w:rsidRPr="00E350E1">
        <w:rPr>
          <w:lang w:val="fr-FR"/>
        </w:rPr>
        <w:t>.</w:t>
      </w:r>
    </w:p>
    <w:p w:rsidR="00E350E1" w:rsidRPr="00E350E1" w:rsidRDefault="00E350E1" w:rsidP="00E350E1">
      <w:pPr>
        <w:pStyle w:val="SingleTxtG"/>
      </w:pPr>
      <w:r w:rsidRPr="00E350E1">
        <w:rPr>
          <w:lang w:val="fr-FR"/>
        </w:rPr>
        <w:t>2.</w:t>
      </w:r>
      <w:r w:rsidRPr="00E350E1">
        <w:rPr>
          <w:lang w:val="fr-FR"/>
        </w:rPr>
        <w:tab/>
        <w:t>À la 175</w:t>
      </w:r>
      <w:r w:rsidRPr="004B52FF">
        <w:rPr>
          <w:vertAlign w:val="superscript"/>
          <w:lang w:val="fr-FR"/>
        </w:rPr>
        <w:t>e</w:t>
      </w:r>
      <w:r w:rsidR="004B52FF">
        <w:rPr>
          <w:lang w:val="fr-FR"/>
        </w:rPr>
        <w:t xml:space="preserve"> </w:t>
      </w:r>
      <w:r w:rsidRPr="00E350E1">
        <w:rPr>
          <w:lang w:val="fr-FR"/>
        </w:rPr>
        <w:t>session du Forum mondial de l’harmonisation des Règlements concernant les véhicules (WP.29), l’Organisation internationale des constructeurs d’</w:t>
      </w:r>
      <w:r w:rsidR="004B52FF">
        <w:rPr>
          <w:lang w:val="fr-FR"/>
        </w:rPr>
        <w:t xml:space="preserve">automobiles (OICA) </w:t>
      </w:r>
      <w:r w:rsidRPr="00E350E1">
        <w:rPr>
          <w:lang w:val="fr-FR"/>
        </w:rPr>
        <w:t xml:space="preserve">s’est inquiétée du fait que le libellé adopté, à savoir </w:t>
      </w:r>
      <w:r w:rsidR="004B52FF">
        <w:rPr>
          <w:lang w:val="fr-FR"/>
        </w:rPr>
        <w:t>« </w:t>
      </w:r>
      <w:r w:rsidRPr="00E350E1">
        <w:rPr>
          <w:lang w:val="fr-FR"/>
        </w:rPr>
        <w:t>Les véhicules doivent être équipés...</w:t>
      </w:r>
      <w:r w:rsidR="004B52FF">
        <w:rPr>
          <w:lang w:val="fr-FR"/>
        </w:rPr>
        <w:t> »</w:t>
      </w:r>
      <w:r w:rsidRPr="00E350E1">
        <w:rPr>
          <w:lang w:val="fr-FR"/>
        </w:rPr>
        <w:t xml:space="preserve"> pourrait être interprété à tort comme une prescription imposant le montage d’un tel système à toutes les Parties contractantes appliquant le Règlement ONU </w:t>
      </w:r>
      <w:r w:rsidR="004B52FF" w:rsidRPr="004B52FF">
        <w:rPr>
          <w:rFonts w:eastAsia="MS Mincho"/>
          <w:lang w:val="fr-FR"/>
        </w:rPr>
        <w:t>n</w:t>
      </w:r>
      <w:r w:rsidR="004B52FF" w:rsidRPr="004B52FF">
        <w:rPr>
          <w:rFonts w:eastAsia="MS Mincho"/>
          <w:vertAlign w:val="superscript"/>
          <w:lang w:val="fr-FR"/>
        </w:rPr>
        <w:t>o</w:t>
      </w:r>
      <w:r w:rsidR="004B52FF">
        <w:rPr>
          <w:lang w:val="fr-FR"/>
        </w:rPr>
        <w:t> </w:t>
      </w:r>
      <w:r w:rsidRPr="00E350E1">
        <w:rPr>
          <w:lang w:val="fr-FR"/>
        </w:rPr>
        <w:t>140.</w:t>
      </w:r>
    </w:p>
    <w:p w:rsidR="00E350E1" w:rsidRPr="00E350E1" w:rsidRDefault="00E350E1" w:rsidP="00E350E1">
      <w:pPr>
        <w:pStyle w:val="SingleTxtG"/>
      </w:pPr>
      <w:r w:rsidRPr="00E350E1">
        <w:rPr>
          <w:lang w:val="fr-FR"/>
        </w:rPr>
        <w:t>3.</w:t>
      </w:r>
      <w:r w:rsidRPr="00E350E1">
        <w:rPr>
          <w:lang w:val="fr-FR"/>
        </w:rPr>
        <w:tab/>
        <w:t>La question a été examinée par le Groupe de travail des véhicules automatisés/autonomes et connectés (GRVA) à sa première session, en septembre 2018. Le GRVA a demandé à l’Australie de coordonner l’élaboration d’un éventuel nouvel amendement qui pourrait répondre aux préoccupations de l’OICA.</w:t>
      </w:r>
    </w:p>
    <w:p w:rsidR="00E350E1" w:rsidRPr="00E350E1" w:rsidRDefault="00E350E1" w:rsidP="00E350E1">
      <w:pPr>
        <w:pStyle w:val="SingleTxtG"/>
      </w:pPr>
      <w:r w:rsidRPr="00E350E1">
        <w:rPr>
          <w:lang w:val="fr-FR"/>
        </w:rPr>
        <w:t>4.</w:t>
      </w:r>
      <w:r w:rsidRPr="00E350E1">
        <w:rPr>
          <w:lang w:val="fr-FR"/>
        </w:rPr>
        <w:tab/>
        <w:t>Après avoir consulté les parties intéressées connues, l’Australie propose la légère modification susmentionnée à la proposition précédemment adoptée. Il s’agit de préciser que l’obligation de montage d’un</w:t>
      </w:r>
      <w:r w:rsidR="004B52FF">
        <w:rPr>
          <w:lang w:val="fr-FR"/>
        </w:rPr>
        <w:t xml:space="preserve"> système</w:t>
      </w:r>
      <w:r w:rsidRPr="00E350E1">
        <w:rPr>
          <w:lang w:val="fr-FR"/>
        </w:rPr>
        <w:t xml:space="preserve"> ESC est associée au respect du Règlement </w:t>
      </w:r>
      <w:r w:rsidR="00630D29">
        <w:rPr>
          <w:lang w:val="fr-FR"/>
        </w:rPr>
        <w:t xml:space="preserve">ONU </w:t>
      </w:r>
      <w:r w:rsidR="00630D29" w:rsidRPr="00630D29">
        <w:rPr>
          <w:rFonts w:eastAsia="MS Mincho"/>
          <w:lang w:val="fr-FR"/>
        </w:rPr>
        <w:t>n</w:t>
      </w:r>
      <w:r w:rsidR="00630D29" w:rsidRPr="00630D29">
        <w:rPr>
          <w:rFonts w:eastAsia="MS Mincho"/>
          <w:vertAlign w:val="superscript"/>
          <w:lang w:val="fr-FR"/>
        </w:rPr>
        <w:t>o</w:t>
      </w:r>
      <w:r w:rsidR="00630D29">
        <w:rPr>
          <w:rFonts w:eastAsia="MS Mincho"/>
          <w:vertAlign w:val="superscript"/>
          <w:lang w:val="fr-FR"/>
        </w:rPr>
        <w:t> </w:t>
      </w:r>
      <w:r w:rsidRPr="00E350E1">
        <w:rPr>
          <w:lang w:val="fr-FR"/>
        </w:rPr>
        <w:t xml:space="preserve">140, et que les dispositions du Règlement </w:t>
      </w:r>
      <w:r w:rsidR="00630D29">
        <w:rPr>
          <w:lang w:val="fr-FR"/>
        </w:rPr>
        <w:t xml:space="preserve">ONU </w:t>
      </w:r>
      <w:r w:rsidR="00630D29" w:rsidRPr="00630D29">
        <w:rPr>
          <w:rFonts w:eastAsia="MS Mincho"/>
          <w:lang w:val="fr-FR"/>
        </w:rPr>
        <w:t>n</w:t>
      </w:r>
      <w:r w:rsidR="00630D29" w:rsidRPr="00630D29">
        <w:rPr>
          <w:rFonts w:eastAsia="MS Mincho"/>
          <w:vertAlign w:val="superscript"/>
          <w:lang w:val="fr-FR"/>
        </w:rPr>
        <w:t>o</w:t>
      </w:r>
      <w:r w:rsidR="00630D29">
        <w:rPr>
          <w:lang w:val="fr-FR"/>
        </w:rPr>
        <w:t> </w:t>
      </w:r>
      <w:r w:rsidRPr="00E350E1">
        <w:rPr>
          <w:lang w:val="fr-FR"/>
        </w:rPr>
        <w:t>140 ne sont pas en elles-mêmes obligatoires.</w:t>
      </w:r>
    </w:p>
    <w:p w:rsidR="00E350E1" w:rsidRPr="00630D29" w:rsidRDefault="00630D29" w:rsidP="00630D29">
      <w:pPr>
        <w:pStyle w:val="SingleTxtG"/>
        <w:spacing w:before="240" w:after="0"/>
        <w:jc w:val="center"/>
        <w:rPr>
          <w:u w:val="single"/>
        </w:rPr>
      </w:pPr>
      <w:r>
        <w:rPr>
          <w:u w:val="single"/>
        </w:rPr>
        <w:tab/>
      </w:r>
      <w:r>
        <w:rPr>
          <w:u w:val="single"/>
        </w:rPr>
        <w:tab/>
      </w:r>
      <w:r>
        <w:rPr>
          <w:u w:val="single"/>
        </w:rPr>
        <w:tab/>
      </w:r>
    </w:p>
    <w:sectPr w:rsidR="00E350E1" w:rsidRPr="00630D29" w:rsidSect="001A75F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890" w:rsidRDefault="00370890" w:rsidP="00F95C08">
      <w:pPr>
        <w:spacing w:line="240" w:lineRule="auto"/>
      </w:pPr>
    </w:p>
  </w:endnote>
  <w:endnote w:type="continuationSeparator" w:id="0">
    <w:p w:rsidR="00370890" w:rsidRPr="00AC3823" w:rsidRDefault="00370890" w:rsidP="00AC3823">
      <w:pPr>
        <w:pStyle w:val="Footer"/>
      </w:pPr>
    </w:p>
  </w:endnote>
  <w:endnote w:type="continuationNotice" w:id="1">
    <w:p w:rsidR="00370890" w:rsidRDefault="003708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5F3" w:rsidRPr="001A75F3" w:rsidRDefault="001A75F3" w:rsidP="001A75F3">
    <w:pPr>
      <w:pStyle w:val="Footer"/>
      <w:tabs>
        <w:tab w:val="right" w:pos="9638"/>
      </w:tabs>
    </w:pPr>
    <w:r w:rsidRPr="001A75F3">
      <w:rPr>
        <w:b/>
        <w:sz w:val="18"/>
      </w:rPr>
      <w:fldChar w:fldCharType="begin"/>
    </w:r>
    <w:r w:rsidRPr="001A75F3">
      <w:rPr>
        <w:b/>
        <w:sz w:val="18"/>
      </w:rPr>
      <w:instrText xml:space="preserve"> PAGE  \* MERGEFORMAT </w:instrText>
    </w:r>
    <w:r w:rsidRPr="001A75F3">
      <w:rPr>
        <w:b/>
        <w:sz w:val="18"/>
      </w:rPr>
      <w:fldChar w:fldCharType="separate"/>
    </w:r>
    <w:r w:rsidR="00FC061F">
      <w:rPr>
        <w:b/>
        <w:noProof/>
        <w:sz w:val="18"/>
      </w:rPr>
      <w:t>2</w:t>
    </w:r>
    <w:r w:rsidRPr="001A75F3">
      <w:rPr>
        <w:b/>
        <w:sz w:val="18"/>
      </w:rPr>
      <w:fldChar w:fldCharType="end"/>
    </w:r>
    <w:r>
      <w:rPr>
        <w:b/>
        <w:sz w:val="18"/>
      </w:rPr>
      <w:tab/>
    </w:r>
    <w:r>
      <w:t>GE.18-19714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5F3" w:rsidRPr="001A75F3" w:rsidRDefault="001A75F3" w:rsidP="001A75F3">
    <w:pPr>
      <w:pStyle w:val="Footer"/>
      <w:tabs>
        <w:tab w:val="right" w:pos="9638"/>
      </w:tabs>
      <w:rPr>
        <w:b/>
        <w:sz w:val="18"/>
      </w:rPr>
    </w:pPr>
    <w:r>
      <w:t>GE.18-19714</w:t>
    </w:r>
    <w:r>
      <w:tab/>
    </w:r>
    <w:r w:rsidRPr="001A75F3">
      <w:rPr>
        <w:b/>
        <w:sz w:val="18"/>
      </w:rPr>
      <w:fldChar w:fldCharType="begin"/>
    </w:r>
    <w:r w:rsidRPr="001A75F3">
      <w:rPr>
        <w:b/>
        <w:sz w:val="18"/>
      </w:rPr>
      <w:instrText xml:space="preserve"> PAGE  \* MERGEFORMAT </w:instrText>
    </w:r>
    <w:r w:rsidRPr="001A75F3">
      <w:rPr>
        <w:b/>
        <w:sz w:val="18"/>
      </w:rPr>
      <w:fldChar w:fldCharType="separate"/>
    </w:r>
    <w:r>
      <w:rPr>
        <w:b/>
        <w:noProof/>
        <w:sz w:val="18"/>
      </w:rPr>
      <w:t>3</w:t>
    </w:r>
    <w:r w:rsidRPr="001A75F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1A75F3" w:rsidRDefault="001A75F3" w:rsidP="001A75F3">
    <w:pPr>
      <w:pStyle w:val="Footer"/>
      <w:spacing w:before="120"/>
      <w:rPr>
        <w:sz w:val="20"/>
      </w:rPr>
    </w:pPr>
    <w:r>
      <w:rPr>
        <w:sz w:val="20"/>
      </w:rPr>
      <w:t>GE.</w:t>
    </w:r>
    <w:r w:rsidR="007F20FA">
      <w:rPr>
        <w:noProof/>
        <w:lang w:eastAsia="fr-CH"/>
      </w:rPr>
      <w:drawing>
        <wp:anchor distT="0" distB="0" distL="114300" distR="114300" simplePos="0" relativeHeight="251657216"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18-19714  (F)    291118    071218</w:t>
    </w:r>
    <w:r>
      <w:rPr>
        <w:sz w:val="20"/>
      </w:rPr>
      <w:br/>
    </w:r>
    <w:r w:rsidRPr="001A75F3">
      <w:rPr>
        <w:rFonts w:ascii="C39T30Lfz" w:hAnsi="C39T30Lfz"/>
        <w:sz w:val="56"/>
      </w:rPr>
      <w:t></w:t>
    </w:r>
    <w:r w:rsidRPr="001A75F3">
      <w:rPr>
        <w:rFonts w:ascii="C39T30Lfz" w:hAnsi="C39T30Lfz"/>
        <w:sz w:val="56"/>
      </w:rPr>
      <w:t></w:t>
    </w:r>
    <w:r w:rsidRPr="001A75F3">
      <w:rPr>
        <w:rFonts w:ascii="C39T30Lfz" w:hAnsi="C39T30Lfz"/>
        <w:sz w:val="56"/>
      </w:rPr>
      <w:t></w:t>
    </w:r>
    <w:r w:rsidRPr="001A75F3">
      <w:rPr>
        <w:rFonts w:ascii="C39T30Lfz" w:hAnsi="C39T30Lfz"/>
        <w:sz w:val="56"/>
      </w:rPr>
      <w:t></w:t>
    </w:r>
    <w:r w:rsidRPr="001A75F3">
      <w:rPr>
        <w:rFonts w:ascii="C39T30Lfz" w:hAnsi="C39T30Lfz"/>
        <w:sz w:val="56"/>
      </w:rPr>
      <w:t></w:t>
    </w:r>
    <w:r w:rsidRPr="001A75F3">
      <w:rPr>
        <w:rFonts w:ascii="C39T30Lfz" w:hAnsi="C39T30Lfz"/>
        <w:sz w:val="56"/>
      </w:rPr>
      <w:t></w:t>
    </w:r>
    <w:r w:rsidRPr="001A75F3">
      <w:rPr>
        <w:rFonts w:ascii="C39T30Lfz" w:hAnsi="C39T30Lfz"/>
        <w:sz w:val="56"/>
      </w:rPr>
      <w:t></w:t>
    </w:r>
    <w:r w:rsidRPr="001A75F3">
      <w:rPr>
        <w:rFonts w:ascii="C39T30Lfz" w:hAnsi="C39T30Lfz"/>
        <w:sz w:val="56"/>
      </w:rPr>
      <w:t></w:t>
    </w:r>
    <w:r w:rsidRPr="001A75F3">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VA/2019/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890" w:rsidRPr="00AC3823" w:rsidRDefault="00370890" w:rsidP="00AC3823">
      <w:pPr>
        <w:pStyle w:val="Footer"/>
        <w:tabs>
          <w:tab w:val="right" w:pos="2155"/>
        </w:tabs>
        <w:spacing w:after="80" w:line="240" w:lineRule="atLeast"/>
        <w:ind w:left="680"/>
        <w:rPr>
          <w:u w:val="single"/>
        </w:rPr>
      </w:pPr>
      <w:r>
        <w:rPr>
          <w:u w:val="single"/>
        </w:rPr>
        <w:tab/>
      </w:r>
    </w:p>
  </w:footnote>
  <w:footnote w:type="continuationSeparator" w:id="0">
    <w:p w:rsidR="00370890" w:rsidRPr="00AC3823" w:rsidRDefault="00370890" w:rsidP="00AC3823">
      <w:pPr>
        <w:pStyle w:val="Footer"/>
        <w:tabs>
          <w:tab w:val="right" w:pos="2155"/>
        </w:tabs>
        <w:spacing w:after="80" w:line="240" w:lineRule="atLeast"/>
        <w:ind w:left="680"/>
        <w:rPr>
          <w:u w:val="single"/>
        </w:rPr>
      </w:pPr>
      <w:r>
        <w:rPr>
          <w:u w:val="single"/>
        </w:rPr>
        <w:tab/>
      </w:r>
    </w:p>
  </w:footnote>
  <w:footnote w:type="continuationNotice" w:id="1">
    <w:p w:rsidR="00370890" w:rsidRPr="00AC3823" w:rsidRDefault="00370890">
      <w:pPr>
        <w:spacing w:line="240" w:lineRule="auto"/>
        <w:rPr>
          <w:sz w:val="2"/>
          <w:szCs w:val="2"/>
        </w:rPr>
      </w:pPr>
    </w:p>
  </w:footnote>
  <w:footnote w:id="2">
    <w:p w:rsidR="00E350E1" w:rsidRPr="00E350E1" w:rsidRDefault="00E350E1">
      <w:pPr>
        <w:pStyle w:val="FootnoteText"/>
      </w:pPr>
      <w:r>
        <w:rPr>
          <w:rStyle w:val="FootnoteReference"/>
        </w:rPr>
        <w:tab/>
      </w:r>
      <w:r w:rsidRPr="00E350E1">
        <w:rPr>
          <w:rStyle w:val="FootnoteReference"/>
          <w:sz w:val="20"/>
          <w:vertAlign w:val="baseline"/>
        </w:rPr>
        <w:t>*</w:t>
      </w:r>
      <w:r>
        <w:rPr>
          <w:rStyle w:val="FootnoteReference"/>
          <w:sz w:val="20"/>
          <w:vertAlign w:val="baseline"/>
        </w:rPr>
        <w:tab/>
      </w:r>
      <w:r>
        <w:rPr>
          <w:lang w:val="fr-FR"/>
        </w:rPr>
        <w:t xml:space="preserve">Anciennement </w:t>
      </w:r>
      <w:r>
        <w:rPr>
          <w:b/>
          <w:bCs/>
          <w:lang w:val="fr-FR"/>
        </w:rPr>
        <w:t>Groupe de travail en matière de roulement et de freinage (GRRF)</w:t>
      </w:r>
      <w:r>
        <w:rPr>
          <w:lang w:val="fr-FR"/>
        </w:rPr>
        <w:t>.</w:t>
      </w:r>
    </w:p>
  </w:footnote>
  <w:footnote w:id="3">
    <w:p w:rsidR="00E350E1" w:rsidRPr="006C5434" w:rsidRDefault="00E350E1" w:rsidP="00E350E1">
      <w:pPr>
        <w:pStyle w:val="FootnoteText"/>
      </w:pPr>
      <w:r>
        <w:rPr>
          <w:lang w:val="fr-FR"/>
        </w:rPr>
        <w:tab/>
      </w:r>
      <w:r w:rsidRPr="00E350E1">
        <w:rPr>
          <w:rStyle w:val="FootnoteReference"/>
          <w:sz w:val="20"/>
          <w:vertAlign w:val="baseline"/>
        </w:rPr>
        <w:t>**</w:t>
      </w:r>
      <w:r>
        <w:rPr>
          <w:lang w:val="fr-FR"/>
        </w:rPr>
        <w:tab/>
        <w:t>Conformément au programme de travail du Comité des transports intérieurs pour la période 2018</w:t>
      </w:r>
      <w:r w:rsidR="00393B74">
        <w:rPr>
          <w:lang w:val="fr-FR"/>
        </w:rPr>
        <w:noBreakHyphen/>
        <w:t>2019 (ECE/TRANS/274, par. </w:t>
      </w:r>
      <w:r>
        <w:rPr>
          <w:lang w:val="fr-FR"/>
        </w:rPr>
        <w:t>123, et ECE/TRANS/2018/21/Add.1, module 3),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5F3" w:rsidRPr="001A75F3" w:rsidRDefault="003D1594">
    <w:pPr>
      <w:pStyle w:val="Header"/>
    </w:pPr>
    <w:r>
      <w:fldChar w:fldCharType="begin"/>
    </w:r>
    <w:r>
      <w:instrText xml:space="preserve"> TITLE  \* MERGEFORMAT </w:instrText>
    </w:r>
    <w:r>
      <w:fldChar w:fldCharType="separate"/>
    </w:r>
    <w:r w:rsidR="001A75F3">
      <w:t>ECE/TRANS/WP.29/GRVA/2019/6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5F3" w:rsidRPr="001A75F3" w:rsidRDefault="003D1594" w:rsidP="001A75F3">
    <w:pPr>
      <w:pStyle w:val="Header"/>
      <w:jc w:val="right"/>
    </w:pPr>
    <w:r>
      <w:fldChar w:fldCharType="begin"/>
    </w:r>
    <w:r>
      <w:instrText xml:space="preserve"> TITLE  \* MERGEFORMAT </w:instrText>
    </w:r>
    <w:r>
      <w:fldChar w:fldCharType="separate"/>
    </w:r>
    <w:r w:rsidR="001A75F3">
      <w:t>ECE/TRANS/WP.29/GRVA/2019/6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890"/>
    <w:rsid w:val="00017F94"/>
    <w:rsid w:val="00023842"/>
    <w:rsid w:val="000334F9"/>
    <w:rsid w:val="00045FEB"/>
    <w:rsid w:val="0007796D"/>
    <w:rsid w:val="000B7790"/>
    <w:rsid w:val="00111F2F"/>
    <w:rsid w:val="0014365E"/>
    <w:rsid w:val="00143C66"/>
    <w:rsid w:val="00176178"/>
    <w:rsid w:val="001A75F3"/>
    <w:rsid w:val="001F525A"/>
    <w:rsid w:val="00223272"/>
    <w:rsid w:val="0024779E"/>
    <w:rsid w:val="00257168"/>
    <w:rsid w:val="002744B8"/>
    <w:rsid w:val="002832AC"/>
    <w:rsid w:val="002D7C93"/>
    <w:rsid w:val="00305801"/>
    <w:rsid w:val="00370890"/>
    <w:rsid w:val="003916DE"/>
    <w:rsid w:val="00393B74"/>
    <w:rsid w:val="003D1594"/>
    <w:rsid w:val="00421996"/>
    <w:rsid w:val="00441C3B"/>
    <w:rsid w:val="00446FE5"/>
    <w:rsid w:val="00452396"/>
    <w:rsid w:val="004837D8"/>
    <w:rsid w:val="004B52FF"/>
    <w:rsid w:val="004E2EED"/>
    <w:rsid w:val="004E468C"/>
    <w:rsid w:val="005505B7"/>
    <w:rsid w:val="00573BE5"/>
    <w:rsid w:val="00586ED3"/>
    <w:rsid w:val="00596AA9"/>
    <w:rsid w:val="00630D29"/>
    <w:rsid w:val="0071601D"/>
    <w:rsid w:val="007A62E6"/>
    <w:rsid w:val="007F20FA"/>
    <w:rsid w:val="0080684C"/>
    <w:rsid w:val="00871C75"/>
    <w:rsid w:val="008776DC"/>
    <w:rsid w:val="009446C0"/>
    <w:rsid w:val="009705C8"/>
    <w:rsid w:val="009C1CF4"/>
    <w:rsid w:val="009F6B74"/>
    <w:rsid w:val="00A3029F"/>
    <w:rsid w:val="00A30353"/>
    <w:rsid w:val="00AC3823"/>
    <w:rsid w:val="00AE323C"/>
    <w:rsid w:val="00AF0CB5"/>
    <w:rsid w:val="00B00181"/>
    <w:rsid w:val="00B00B0D"/>
    <w:rsid w:val="00B45F2E"/>
    <w:rsid w:val="00B765F7"/>
    <w:rsid w:val="00BA0CA9"/>
    <w:rsid w:val="00C02897"/>
    <w:rsid w:val="00C97039"/>
    <w:rsid w:val="00D3439C"/>
    <w:rsid w:val="00DB1831"/>
    <w:rsid w:val="00DD3BFD"/>
    <w:rsid w:val="00DF6678"/>
    <w:rsid w:val="00E0299A"/>
    <w:rsid w:val="00E350E1"/>
    <w:rsid w:val="00E85C74"/>
    <w:rsid w:val="00EA6547"/>
    <w:rsid w:val="00EF2E22"/>
    <w:rsid w:val="00F35BAF"/>
    <w:rsid w:val="00F660DF"/>
    <w:rsid w:val="00F94664"/>
    <w:rsid w:val="00F9573C"/>
    <w:rsid w:val="00F95C08"/>
    <w:rsid w:val="00FC061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23B16A0-5547-47FE-812D-4354CB1D0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2770</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ECE/TRANS/WP.29/GRVA/2019/6</vt:lpstr>
      <vt:lpstr>ECE/TRANS/WP.29/GRVA/2019/6</vt:lpstr>
    </vt:vector>
  </TitlesOfParts>
  <Company>DCM</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ECE/TRANS/WP.29/GRVA/2019/6</dc:title>
  <dc:subject/>
  <dc:creator>Sandrine CLERE</dc:creator>
  <cp:keywords/>
  <cp:lastModifiedBy>Benedicte Boudol</cp:lastModifiedBy>
  <cp:revision>2</cp:revision>
  <cp:lastPrinted>2014-05-14T10:59:00Z</cp:lastPrinted>
  <dcterms:created xsi:type="dcterms:W3CDTF">2018-12-07T13:53:00Z</dcterms:created>
  <dcterms:modified xsi:type="dcterms:W3CDTF">2018-12-07T13:53:00Z</dcterms:modified>
</cp:coreProperties>
</file>