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09EFC1" w14:textId="77777777" w:rsidTr="00C97039">
        <w:trPr>
          <w:trHeight w:hRule="exact" w:val="851"/>
        </w:trPr>
        <w:tc>
          <w:tcPr>
            <w:tcW w:w="1276" w:type="dxa"/>
            <w:tcBorders>
              <w:bottom w:val="single" w:sz="4" w:space="0" w:color="auto"/>
            </w:tcBorders>
          </w:tcPr>
          <w:p w14:paraId="282963C8" w14:textId="77777777" w:rsidR="00F35BAF" w:rsidRPr="00DB58B5" w:rsidRDefault="00F35BAF" w:rsidP="00F817F9"/>
        </w:tc>
        <w:tc>
          <w:tcPr>
            <w:tcW w:w="2268" w:type="dxa"/>
            <w:tcBorders>
              <w:bottom w:val="single" w:sz="4" w:space="0" w:color="auto"/>
            </w:tcBorders>
            <w:vAlign w:val="bottom"/>
          </w:tcPr>
          <w:p w14:paraId="56E5A6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2E9B55" w14:textId="77777777" w:rsidR="00F35BAF" w:rsidRPr="00DB58B5" w:rsidRDefault="00F817F9" w:rsidP="00F817F9">
            <w:pPr>
              <w:jc w:val="right"/>
            </w:pPr>
            <w:r w:rsidRPr="00F817F9">
              <w:rPr>
                <w:sz w:val="40"/>
              </w:rPr>
              <w:t>ECE</w:t>
            </w:r>
            <w:r>
              <w:t>/TRANS/WP.29/GRSP/2019/37</w:t>
            </w:r>
          </w:p>
        </w:tc>
      </w:tr>
      <w:tr w:rsidR="00F35BAF" w:rsidRPr="00DB58B5" w14:paraId="0CD85133" w14:textId="77777777" w:rsidTr="00C97039">
        <w:trPr>
          <w:trHeight w:hRule="exact" w:val="2835"/>
        </w:trPr>
        <w:tc>
          <w:tcPr>
            <w:tcW w:w="1276" w:type="dxa"/>
            <w:tcBorders>
              <w:top w:val="single" w:sz="4" w:space="0" w:color="auto"/>
              <w:bottom w:val="single" w:sz="12" w:space="0" w:color="auto"/>
            </w:tcBorders>
          </w:tcPr>
          <w:p w14:paraId="0E3FC430" w14:textId="77777777" w:rsidR="00F35BAF" w:rsidRPr="00DB58B5" w:rsidRDefault="00F35BAF" w:rsidP="00C97039">
            <w:pPr>
              <w:spacing w:before="120"/>
              <w:jc w:val="center"/>
            </w:pPr>
            <w:r>
              <w:rPr>
                <w:noProof/>
                <w:lang w:eastAsia="fr-CH"/>
              </w:rPr>
              <w:drawing>
                <wp:inline distT="0" distB="0" distL="0" distR="0" wp14:anchorId="7FE22936" wp14:editId="225406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562FB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870735D" w14:textId="77777777" w:rsidR="00F35BAF" w:rsidRDefault="00F817F9" w:rsidP="00C97039">
            <w:pPr>
              <w:spacing w:before="240"/>
            </w:pPr>
            <w:r>
              <w:t>Distr. générale</w:t>
            </w:r>
          </w:p>
          <w:p w14:paraId="3D069D5D" w14:textId="77777777" w:rsidR="00F817F9" w:rsidRDefault="00F817F9" w:rsidP="00F817F9">
            <w:pPr>
              <w:spacing w:line="240" w:lineRule="exact"/>
            </w:pPr>
            <w:r>
              <w:t>25 septembre 2019</w:t>
            </w:r>
          </w:p>
          <w:p w14:paraId="41CFC5D0" w14:textId="77777777" w:rsidR="00F817F9" w:rsidRDefault="00F817F9" w:rsidP="00F817F9">
            <w:pPr>
              <w:spacing w:line="240" w:lineRule="exact"/>
            </w:pPr>
            <w:r>
              <w:t>Français</w:t>
            </w:r>
          </w:p>
          <w:p w14:paraId="5AE48BE9" w14:textId="77777777" w:rsidR="00F817F9" w:rsidRPr="00DB58B5" w:rsidRDefault="00F817F9" w:rsidP="00F817F9">
            <w:pPr>
              <w:spacing w:line="240" w:lineRule="exact"/>
            </w:pPr>
            <w:r>
              <w:t>Original : anglais</w:t>
            </w:r>
          </w:p>
        </w:tc>
      </w:tr>
    </w:tbl>
    <w:p w14:paraId="61AFC60D" w14:textId="77777777" w:rsidR="007F20FA" w:rsidRPr="000312C0" w:rsidRDefault="007F20FA" w:rsidP="007F20FA">
      <w:pPr>
        <w:spacing w:before="120"/>
        <w:rPr>
          <w:b/>
          <w:sz w:val="28"/>
          <w:szCs w:val="28"/>
        </w:rPr>
      </w:pPr>
      <w:r w:rsidRPr="000312C0">
        <w:rPr>
          <w:b/>
          <w:sz w:val="28"/>
          <w:szCs w:val="28"/>
        </w:rPr>
        <w:t>Commission économique pour l’Europe</w:t>
      </w:r>
    </w:p>
    <w:p w14:paraId="2F4DC73A" w14:textId="77777777" w:rsidR="007F20FA" w:rsidRDefault="007F20FA" w:rsidP="007F20FA">
      <w:pPr>
        <w:spacing w:before="120"/>
        <w:rPr>
          <w:sz w:val="28"/>
          <w:szCs w:val="28"/>
        </w:rPr>
      </w:pPr>
      <w:r w:rsidRPr="00685843">
        <w:rPr>
          <w:sz w:val="28"/>
          <w:szCs w:val="28"/>
        </w:rPr>
        <w:t>Comité des transports intérieurs</w:t>
      </w:r>
    </w:p>
    <w:p w14:paraId="55E0C221" w14:textId="77777777" w:rsidR="00F817F9" w:rsidRDefault="00F817F9"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A843F76" w14:textId="77777777" w:rsidR="00F817F9" w:rsidRDefault="00F817F9" w:rsidP="00257168">
      <w:pPr>
        <w:spacing w:before="120" w:after="120" w:line="240" w:lineRule="exact"/>
        <w:rPr>
          <w:b/>
        </w:rPr>
      </w:pPr>
      <w:r>
        <w:rPr>
          <w:b/>
        </w:rPr>
        <w:t>Groupe de travail de la sécurité passive</w:t>
      </w:r>
    </w:p>
    <w:p w14:paraId="2E8352AE" w14:textId="77777777" w:rsidR="00F817F9" w:rsidRDefault="00F817F9" w:rsidP="00257168">
      <w:pPr>
        <w:spacing w:before="120" w:line="240" w:lineRule="exact"/>
        <w:rPr>
          <w:b/>
        </w:rPr>
      </w:pPr>
      <w:r w:rsidRPr="00326BA7">
        <w:rPr>
          <w:b/>
          <w:bCs/>
          <w:lang w:val="fr-FR"/>
        </w:rPr>
        <w:t>Soixante-sixième</w:t>
      </w:r>
      <w:r>
        <w:rPr>
          <w:b/>
        </w:rPr>
        <w:t xml:space="preserve"> session</w:t>
      </w:r>
    </w:p>
    <w:p w14:paraId="7F07BB9E" w14:textId="77777777" w:rsidR="00F817F9" w:rsidRDefault="00F817F9" w:rsidP="00257168">
      <w:pPr>
        <w:spacing w:line="240" w:lineRule="exact"/>
      </w:pPr>
      <w:r>
        <w:t xml:space="preserve">Genève, </w:t>
      </w:r>
      <w:r w:rsidRPr="00326BA7">
        <w:rPr>
          <w:lang w:val="fr-FR"/>
        </w:rPr>
        <w:t>10-13 décembre 2019</w:t>
      </w:r>
    </w:p>
    <w:p w14:paraId="66B59781" w14:textId="77777777" w:rsidR="00F817F9" w:rsidRDefault="00F817F9" w:rsidP="00257168">
      <w:pPr>
        <w:spacing w:line="240" w:lineRule="exact"/>
      </w:pPr>
      <w:r>
        <w:t xml:space="preserve">Point </w:t>
      </w:r>
      <w:r w:rsidRPr="00326BA7">
        <w:rPr>
          <w:lang w:val="fr-FR"/>
        </w:rPr>
        <w:t>24 de l</w:t>
      </w:r>
      <w:r>
        <w:rPr>
          <w:lang w:val="fr-FR"/>
        </w:rPr>
        <w:t>’</w:t>
      </w:r>
      <w:r w:rsidRPr="00326BA7">
        <w:rPr>
          <w:lang w:val="fr-FR"/>
        </w:rPr>
        <w:t>ordre du jour provisoire</w:t>
      </w:r>
    </w:p>
    <w:p w14:paraId="5F821A7C" w14:textId="2791A68C" w:rsidR="00F817F9" w:rsidRPr="00102E39" w:rsidRDefault="00F817F9" w:rsidP="00102E39">
      <w:pPr>
        <w:spacing w:line="240" w:lineRule="exact"/>
        <w:rPr>
          <w:b/>
          <w:bCs/>
          <w:lang w:val="fr-FR"/>
        </w:rPr>
      </w:pPr>
      <w:bookmarkStart w:id="0" w:name="_Hlk24117813"/>
      <w:r w:rsidRPr="00102E39">
        <w:rPr>
          <w:b/>
          <w:bCs/>
          <w:lang w:val="fr-FR"/>
        </w:rPr>
        <w:t xml:space="preserve">Règlement ONU </w:t>
      </w:r>
      <w:r w:rsidR="00102E39" w:rsidRPr="00102E39">
        <w:rPr>
          <w:rFonts w:eastAsia="MS Mincho"/>
          <w:b/>
          <w:bCs/>
          <w:szCs w:val="22"/>
          <w:lang w:val="fr-FR"/>
        </w:rPr>
        <w:t>n</w:t>
      </w:r>
      <w:r w:rsidR="00102E39" w:rsidRPr="00102E39">
        <w:rPr>
          <w:rFonts w:eastAsia="MS Mincho"/>
          <w:b/>
          <w:bCs/>
          <w:szCs w:val="22"/>
          <w:vertAlign w:val="superscript"/>
          <w:lang w:val="fr-FR"/>
        </w:rPr>
        <w:t>o</w:t>
      </w:r>
      <w:r w:rsidR="00102E39">
        <w:rPr>
          <w:b/>
          <w:bCs/>
          <w:lang w:val="fr-FR"/>
        </w:rPr>
        <w:t> </w:t>
      </w:r>
      <w:r w:rsidRPr="00102E39">
        <w:rPr>
          <w:b/>
          <w:bCs/>
          <w:lang w:val="fr-FR"/>
        </w:rPr>
        <w:t xml:space="preserve">137 (Choc avant, l’accent </w:t>
      </w:r>
      <w:r w:rsidR="00270E59">
        <w:rPr>
          <w:b/>
          <w:bCs/>
          <w:lang w:val="fr-FR"/>
        </w:rPr>
        <w:br/>
      </w:r>
      <w:r w:rsidRPr="00102E39">
        <w:rPr>
          <w:b/>
          <w:bCs/>
          <w:lang w:val="fr-FR"/>
        </w:rPr>
        <w:t xml:space="preserve">étant </w:t>
      </w:r>
      <w:bookmarkStart w:id="1" w:name="_GoBack"/>
      <w:bookmarkEnd w:id="1"/>
      <w:r w:rsidRPr="00102E39">
        <w:rPr>
          <w:b/>
          <w:bCs/>
          <w:lang w:val="fr-FR"/>
        </w:rPr>
        <w:t>mis sur les systèmes de retenue)</w:t>
      </w:r>
      <w:bookmarkEnd w:id="0"/>
    </w:p>
    <w:p w14:paraId="1D3EF319" w14:textId="77777777" w:rsidR="00F817F9" w:rsidRPr="00326BA7" w:rsidRDefault="00F817F9" w:rsidP="00102E39">
      <w:pPr>
        <w:pStyle w:val="HChG"/>
        <w:rPr>
          <w:lang w:val="fr-FR"/>
        </w:rPr>
      </w:pPr>
      <w:r w:rsidRPr="00326BA7">
        <w:rPr>
          <w:lang w:val="fr-FR"/>
        </w:rPr>
        <w:tab/>
      </w:r>
      <w:r w:rsidRPr="00326BA7">
        <w:rPr>
          <w:lang w:val="fr-FR"/>
        </w:rPr>
        <w:tab/>
        <w:t>Proposition de complément 3 à la série 01 d</w:t>
      </w:r>
      <w:r>
        <w:rPr>
          <w:lang w:val="fr-FR"/>
        </w:rPr>
        <w:t>’</w:t>
      </w:r>
      <w:r w:rsidRPr="00326BA7">
        <w:rPr>
          <w:lang w:val="fr-FR"/>
        </w:rPr>
        <w:t xml:space="preserve">amendements </w:t>
      </w:r>
      <w:bookmarkStart w:id="2" w:name="_Hlk24118002"/>
      <w:r w:rsidR="00102E39">
        <w:rPr>
          <w:lang w:val="fr-FR"/>
        </w:rPr>
        <w:br/>
      </w:r>
      <w:r w:rsidRPr="00326BA7">
        <w:rPr>
          <w:lang w:val="fr-FR"/>
        </w:rPr>
        <w:t>au Règlement ONU n</w:t>
      </w:r>
      <w:r w:rsidRPr="00326BA7">
        <w:rPr>
          <w:vertAlign w:val="superscript"/>
          <w:lang w:val="fr-FR"/>
        </w:rPr>
        <w:t>o</w:t>
      </w:r>
      <w:r w:rsidRPr="00326BA7">
        <w:rPr>
          <w:lang w:val="fr-FR"/>
        </w:rPr>
        <w:t xml:space="preserve"> 137 </w:t>
      </w:r>
      <w:bookmarkEnd w:id="2"/>
      <w:r w:rsidRPr="00326BA7">
        <w:rPr>
          <w:lang w:val="fr-FR"/>
        </w:rPr>
        <w:t>(Choc avant, l</w:t>
      </w:r>
      <w:r>
        <w:rPr>
          <w:lang w:val="fr-FR"/>
        </w:rPr>
        <w:t>’</w:t>
      </w:r>
      <w:r w:rsidRPr="00326BA7">
        <w:rPr>
          <w:lang w:val="fr-FR"/>
        </w:rPr>
        <w:t xml:space="preserve">accent étant </w:t>
      </w:r>
      <w:r w:rsidR="00102E39">
        <w:rPr>
          <w:lang w:val="fr-FR"/>
        </w:rPr>
        <w:br/>
      </w:r>
      <w:r w:rsidRPr="00326BA7">
        <w:rPr>
          <w:lang w:val="fr-FR"/>
        </w:rPr>
        <w:t xml:space="preserve">mis sur les systèmes de retenue) </w:t>
      </w:r>
    </w:p>
    <w:p w14:paraId="1300B6B7" w14:textId="77777777" w:rsidR="00F817F9" w:rsidRPr="00326BA7" w:rsidRDefault="00F817F9" w:rsidP="00102E39">
      <w:pPr>
        <w:pStyle w:val="H1G"/>
        <w:rPr>
          <w:lang w:val="fr-FR"/>
        </w:rPr>
      </w:pPr>
      <w:r w:rsidRPr="00326BA7">
        <w:rPr>
          <w:lang w:val="fr-FR"/>
        </w:rPr>
        <w:tab/>
      </w:r>
      <w:r w:rsidRPr="00326BA7">
        <w:rPr>
          <w:lang w:val="fr-FR"/>
        </w:rPr>
        <w:tab/>
        <w:t>Communication de l</w:t>
      </w:r>
      <w:r>
        <w:rPr>
          <w:lang w:val="fr-FR"/>
        </w:rPr>
        <w:t>’</w:t>
      </w:r>
      <w:r w:rsidRPr="00326BA7">
        <w:rPr>
          <w:lang w:val="fr-FR"/>
        </w:rPr>
        <w:t xml:space="preserve">expert de la Commission européenne </w:t>
      </w:r>
      <w:r w:rsidR="00102E39">
        <w:rPr>
          <w:lang w:val="fr-FR"/>
        </w:rPr>
        <w:br/>
      </w:r>
      <w:r w:rsidRPr="00326BA7">
        <w:rPr>
          <w:lang w:val="fr-FR"/>
        </w:rPr>
        <w:t>au nom de l</w:t>
      </w:r>
      <w:r>
        <w:rPr>
          <w:lang w:val="fr-FR"/>
        </w:rPr>
        <w:t>’</w:t>
      </w:r>
      <w:r w:rsidRPr="00326BA7">
        <w:rPr>
          <w:lang w:val="fr-FR"/>
        </w:rPr>
        <w:t>équipe de rédaction</w:t>
      </w:r>
      <w:r w:rsidR="00102E39" w:rsidRPr="00B83D9D">
        <w:rPr>
          <w:rStyle w:val="Appelnotedebasdep"/>
          <w:b w:val="0"/>
          <w:sz w:val="20"/>
          <w:vertAlign w:val="baseline"/>
        </w:rPr>
        <w:footnoteReference w:customMarkFollows="1" w:id="2"/>
        <w:t>*</w:t>
      </w:r>
    </w:p>
    <w:p w14:paraId="1D6E398A" w14:textId="77777777" w:rsidR="00F817F9" w:rsidRPr="00326BA7" w:rsidRDefault="00F817F9" w:rsidP="00102E39">
      <w:pPr>
        <w:pStyle w:val="SingleTxtG"/>
        <w:ind w:firstLine="567"/>
        <w:rPr>
          <w:spacing w:val="-4"/>
          <w:lang w:val="fr-FR"/>
        </w:rPr>
      </w:pPr>
      <w:r w:rsidRPr="00326BA7">
        <w:rPr>
          <w:lang w:val="fr-FR"/>
        </w:rPr>
        <w:t xml:space="preserve">Le texte ci-après a été établi par </w:t>
      </w:r>
      <w:r w:rsidRPr="00326BA7">
        <w:rPr>
          <w:spacing w:val="1"/>
          <w:lang w:val="fr-FR"/>
        </w:rPr>
        <w:t>les experts</w:t>
      </w:r>
      <w:r w:rsidRPr="00326BA7">
        <w:rPr>
          <w:spacing w:val="-4"/>
          <w:lang w:val="fr-FR"/>
        </w:rPr>
        <w:t xml:space="preserve"> de l</w:t>
      </w:r>
      <w:r>
        <w:rPr>
          <w:spacing w:val="-4"/>
          <w:lang w:val="fr-FR"/>
        </w:rPr>
        <w:t>’</w:t>
      </w:r>
      <w:r w:rsidRPr="00326BA7">
        <w:rPr>
          <w:spacing w:val="-4"/>
          <w:lang w:val="fr-FR"/>
        </w:rPr>
        <w:t>équipe de rédaction :</w:t>
      </w:r>
    </w:p>
    <w:p w14:paraId="28A2194F" w14:textId="77777777" w:rsidR="00F817F9" w:rsidRPr="00326BA7" w:rsidRDefault="00F817F9" w:rsidP="00102E39">
      <w:pPr>
        <w:pStyle w:val="Bullet1G"/>
        <w:rPr>
          <w:lang w:val="fr-FR"/>
        </w:rPr>
      </w:pPr>
      <w:r w:rsidRPr="00326BA7">
        <w:rPr>
          <w:lang w:val="fr-FR"/>
        </w:rPr>
        <w:t>Pour harmoniser les dispositions des Règlements ONU avec celles de la version révisée du Règlement de l</w:t>
      </w:r>
      <w:r>
        <w:rPr>
          <w:lang w:val="fr-FR"/>
        </w:rPr>
        <w:t>’</w:t>
      </w:r>
      <w:r w:rsidRPr="00326BA7">
        <w:rPr>
          <w:lang w:val="fr-FR"/>
        </w:rPr>
        <w:t>Union européenne sur la sécurité générale des véhicules à moteurs, et, ce faisant, élargir le domaine d</w:t>
      </w:r>
      <w:r>
        <w:rPr>
          <w:lang w:val="fr-FR"/>
        </w:rPr>
        <w:t>’</w:t>
      </w:r>
      <w:r w:rsidRPr="00326BA7">
        <w:rPr>
          <w:lang w:val="fr-FR"/>
        </w:rPr>
        <w:t>application du Règlement ONU n</w:t>
      </w:r>
      <w:r w:rsidRPr="00326BA7">
        <w:rPr>
          <w:vertAlign w:val="superscript"/>
          <w:lang w:val="fr-FR"/>
        </w:rPr>
        <w:t>o</w:t>
      </w:r>
      <w:r w:rsidRPr="00326BA7">
        <w:rPr>
          <w:lang w:val="fr-FR"/>
        </w:rPr>
        <w:t> 137</w:t>
      </w:r>
      <w:r w:rsidR="00102E39">
        <w:rPr>
          <w:lang w:val="fr-FR"/>
        </w:rPr>
        <w:t> ;</w:t>
      </w:r>
    </w:p>
    <w:p w14:paraId="6DB1ABAF" w14:textId="77777777" w:rsidR="00F817F9" w:rsidRPr="00326BA7" w:rsidRDefault="00F817F9" w:rsidP="00102E39">
      <w:pPr>
        <w:pStyle w:val="Bullet1G"/>
        <w:rPr>
          <w:lang w:val="fr-FR"/>
        </w:rPr>
      </w:pPr>
      <w:r w:rsidRPr="00326BA7">
        <w:rPr>
          <w:lang w:val="fr-FR"/>
        </w:rPr>
        <w:t>Pour fournir des dispositions transitoires adéquates</w:t>
      </w:r>
      <w:r w:rsidR="00102E39">
        <w:rPr>
          <w:lang w:val="fr-FR"/>
        </w:rPr>
        <w:t xml:space="preserve"> ; </w:t>
      </w:r>
      <w:r w:rsidRPr="00326BA7">
        <w:rPr>
          <w:lang w:val="fr-FR"/>
        </w:rPr>
        <w:t xml:space="preserve">et </w:t>
      </w:r>
    </w:p>
    <w:p w14:paraId="54145D6C" w14:textId="77777777" w:rsidR="00F817F9" w:rsidRPr="00326BA7" w:rsidRDefault="00F817F9" w:rsidP="00102E39">
      <w:pPr>
        <w:pStyle w:val="Bullet1G"/>
        <w:rPr>
          <w:lang w:val="fr-FR"/>
        </w:rPr>
      </w:pPr>
      <w:r w:rsidRPr="00326BA7">
        <w:rPr>
          <w:lang w:val="fr-FR"/>
        </w:rPr>
        <w:t xml:space="preserve">Pour apporter des ajustements et des </w:t>
      </w:r>
      <w:r>
        <w:rPr>
          <w:lang w:val="fr-FR"/>
        </w:rPr>
        <w:t>éclaircissements</w:t>
      </w:r>
      <w:r w:rsidRPr="00326BA7">
        <w:rPr>
          <w:lang w:val="fr-FR"/>
        </w:rPr>
        <w:t xml:space="preserve"> mineurs aux prescriptions existantes.</w:t>
      </w:r>
    </w:p>
    <w:p w14:paraId="2C50D406" w14:textId="77777777" w:rsidR="00F817F9" w:rsidRDefault="00F817F9" w:rsidP="00102E39">
      <w:pPr>
        <w:pStyle w:val="SingleTxtG"/>
        <w:ind w:firstLine="567"/>
        <w:rPr>
          <w:lang w:val="fr-FR"/>
        </w:rPr>
      </w:pPr>
      <w:r w:rsidRPr="00326BA7">
        <w:rPr>
          <w:lang w:val="fr-FR"/>
        </w:rPr>
        <w:t>Ce texte est fondé sur le document GRSP-65-12, qui a été distribué pendant la soixante-cinquième session du Groupe de travail de la sécurité passive (GRSP). Les modifications qu</w:t>
      </w:r>
      <w:r>
        <w:rPr>
          <w:lang w:val="fr-FR"/>
        </w:rPr>
        <w:t>’</w:t>
      </w:r>
      <w:r w:rsidRPr="00326BA7">
        <w:rPr>
          <w:lang w:val="fr-FR"/>
        </w:rPr>
        <w:t>il est proposé d</w:t>
      </w:r>
      <w:r>
        <w:rPr>
          <w:lang w:val="fr-FR"/>
        </w:rPr>
        <w:t>’</w:t>
      </w:r>
      <w:r w:rsidRPr="00326BA7">
        <w:rPr>
          <w:lang w:val="fr-FR"/>
        </w:rPr>
        <w:t>apporter au texte actuel du Règlement ONU figurent en caractères gras pour les ajouts et biffés pour les suppressions.</w:t>
      </w:r>
    </w:p>
    <w:p w14:paraId="33E2B136" w14:textId="77777777" w:rsidR="00F817F9" w:rsidRPr="00326BA7" w:rsidRDefault="00F817F9" w:rsidP="00102E39">
      <w:pPr>
        <w:pStyle w:val="HChG"/>
        <w:rPr>
          <w:lang w:val="fr-FR"/>
        </w:rPr>
      </w:pPr>
      <w:r w:rsidRPr="00326BA7">
        <w:rPr>
          <w:lang w:val="fr-FR"/>
        </w:rPr>
        <w:br w:type="page"/>
      </w:r>
      <w:r w:rsidR="00102E39">
        <w:rPr>
          <w:lang w:val="fr-FR"/>
        </w:rPr>
        <w:lastRenderedPageBreak/>
        <w:tab/>
      </w:r>
      <w:r w:rsidRPr="00326BA7">
        <w:rPr>
          <w:lang w:val="fr-FR"/>
        </w:rPr>
        <w:t>I.</w:t>
      </w:r>
      <w:r w:rsidRPr="00326BA7">
        <w:rPr>
          <w:lang w:val="fr-FR"/>
        </w:rPr>
        <w:tab/>
        <w:t>Proposition</w:t>
      </w:r>
    </w:p>
    <w:p w14:paraId="1AB545F4" w14:textId="77777777" w:rsidR="00F817F9" w:rsidRPr="00326BA7" w:rsidRDefault="00F817F9" w:rsidP="00102E39">
      <w:pPr>
        <w:pStyle w:val="SingleTxtG"/>
        <w:rPr>
          <w:lang w:val="fr-FR"/>
        </w:rPr>
      </w:pPr>
      <w:r w:rsidRPr="00102E39">
        <w:rPr>
          <w:i/>
          <w:lang w:val="fr-FR"/>
        </w:rPr>
        <w:t>Paragraphe 1</w:t>
      </w:r>
      <w:r w:rsidRPr="00326BA7">
        <w:rPr>
          <w:iCs/>
          <w:lang w:val="fr-FR"/>
        </w:rPr>
        <w:t>, lire</w:t>
      </w:r>
      <w:r w:rsidR="00102E39">
        <w:rPr>
          <w:iCs/>
          <w:lang w:val="fr-FR"/>
        </w:rPr>
        <w:t> </w:t>
      </w:r>
      <w:r w:rsidRPr="00326BA7">
        <w:rPr>
          <w:iCs/>
          <w:lang w:val="fr-FR"/>
        </w:rPr>
        <w:t>:</w:t>
      </w:r>
    </w:p>
    <w:p w14:paraId="3749533E" w14:textId="77777777" w:rsidR="00F817F9" w:rsidRPr="00326BA7" w:rsidRDefault="002B6841" w:rsidP="005E4C80">
      <w:pPr>
        <w:pStyle w:val="H1G"/>
        <w:ind w:firstLine="0"/>
        <w:rPr>
          <w:lang w:val="fr-FR"/>
        </w:rPr>
      </w:pPr>
      <w:r w:rsidRPr="002B6841">
        <w:rPr>
          <w:b w:val="0"/>
          <w:lang w:val="fr-FR"/>
        </w:rPr>
        <w:t>«</w:t>
      </w:r>
      <w:r>
        <w:rPr>
          <w:lang w:val="fr-FR"/>
        </w:rPr>
        <w:t> </w:t>
      </w:r>
      <w:r w:rsidR="00F817F9" w:rsidRPr="00326BA7">
        <w:rPr>
          <w:lang w:val="fr-FR"/>
        </w:rPr>
        <w:t>1.</w:t>
      </w:r>
      <w:r w:rsidR="00F817F9" w:rsidRPr="00326BA7">
        <w:rPr>
          <w:lang w:val="fr-FR"/>
        </w:rPr>
        <w:tab/>
      </w:r>
      <w:bookmarkStart w:id="3" w:name="_Toc355617304"/>
      <w:r w:rsidR="00F817F9" w:rsidRPr="00326BA7">
        <w:rPr>
          <w:lang w:val="fr-FR"/>
        </w:rPr>
        <w:tab/>
      </w:r>
      <w:bookmarkEnd w:id="3"/>
      <w:r w:rsidR="00F817F9" w:rsidRPr="00326BA7">
        <w:rPr>
          <w:lang w:val="fr-FR"/>
        </w:rPr>
        <w:t xml:space="preserve">Domaine </w:t>
      </w:r>
    </w:p>
    <w:p w14:paraId="130B54CE" w14:textId="77777777" w:rsidR="00F817F9" w:rsidRDefault="00F817F9" w:rsidP="006867DB">
      <w:pPr>
        <w:pStyle w:val="SingleTxtG"/>
        <w:ind w:left="2268"/>
        <w:rPr>
          <w:lang w:val="fr-FR"/>
        </w:rPr>
      </w:pPr>
      <w:r w:rsidRPr="00326BA7">
        <w:rPr>
          <w:lang w:val="fr-FR"/>
        </w:rPr>
        <w:t>Le présent Règlement s</w:t>
      </w:r>
      <w:r>
        <w:rPr>
          <w:lang w:val="fr-FR"/>
        </w:rPr>
        <w:t>’</w:t>
      </w:r>
      <w:r w:rsidRPr="00326BA7">
        <w:rPr>
          <w:lang w:val="fr-FR"/>
        </w:rPr>
        <w:t>applique aux véhicules de la catégorie M</w:t>
      </w:r>
      <w:r w:rsidRPr="00326BA7">
        <w:rPr>
          <w:vertAlign w:val="subscript"/>
          <w:lang w:val="fr-FR"/>
        </w:rPr>
        <w:t>1</w:t>
      </w:r>
      <w:r w:rsidRPr="0098444E">
        <w:rPr>
          <w:rStyle w:val="Appelnotedebasdep"/>
        </w:rPr>
        <w:footnoteReference w:id="3"/>
      </w:r>
      <w:r w:rsidRPr="00326BA7">
        <w:rPr>
          <w:lang w:val="fr-FR"/>
        </w:rPr>
        <w:t xml:space="preserve"> dont la masse maximale admissible </w:t>
      </w:r>
      <w:r w:rsidRPr="00326BA7">
        <w:rPr>
          <w:strike/>
          <w:lang w:val="fr-FR"/>
        </w:rPr>
        <w:t>est inférieure à 3,5 tonnes</w:t>
      </w:r>
      <w:r w:rsidRPr="00326BA7">
        <w:rPr>
          <w:lang w:val="fr-FR"/>
        </w:rPr>
        <w:t xml:space="preserve"> </w:t>
      </w:r>
      <w:r w:rsidRPr="00326BA7">
        <w:rPr>
          <w:b/>
          <w:bCs/>
          <w:lang w:val="fr-FR"/>
        </w:rPr>
        <w:t>ne dépasse pas 3</w:t>
      </w:r>
      <w:r>
        <w:rPr>
          <w:b/>
          <w:bCs/>
          <w:lang w:val="fr-FR"/>
        </w:rPr>
        <w:t> </w:t>
      </w:r>
      <w:r w:rsidRPr="00326BA7">
        <w:rPr>
          <w:b/>
          <w:bCs/>
          <w:lang w:val="fr-FR"/>
        </w:rPr>
        <w:t>500 kilogrammes et aux véhicules de la catégorie N</w:t>
      </w:r>
      <w:r w:rsidRPr="00326BA7">
        <w:rPr>
          <w:b/>
          <w:bCs/>
          <w:vertAlign w:val="subscript"/>
          <w:lang w:val="fr-FR"/>
        </w:rPr>
        <w:t>1</w:t>
      </w:r>
      <w:r w:rsidRPr="00326BA7">
        <w:rPr>
          <w:lang w:val="fr-FR"/>
        </w:rPr>
        <w:t> </w:t>
      </w:r>
      <w:r w:rsidRPr="00326BA7">
        <w:rPr>
          <w:strike/>
          <w:lang w:val="fr-FR"/>
        </w:rPr>
        <w:t>; des véhicules d</w:t>
      </w:r>
      <w:r>
        <w:rPr>
          <w:strike/>
          <w:lang w:val="fr-FR"/>
        </w:rPr>
        <w:t>’</w:t>
      </w:r>
      <w:r w:rsidRPr="00326BA7">
        <w:rPr>
          <w:strike/>
          <w:lang w:val="fr-FR"/>
        </w:rPr>
        <w:t>autres catégories peuvent être homologués à la demande du constructeur</w:t>
      </w:r>
      <w:r w:rsidRPr="00326BA7">
        <w:rPr>
          <w:lang w:val="fr-FR"/>
        </w:rPr>
        <w:t>. »</w:t>
      </w:r>
      <w:r w:rsidR="002B6841">
        <w:rPr>
          <w:lang w:val="fr-FR"/>
        </w:rPr>
        <w:t>.</w:t>
      </w:r>
    </w:p>
    <w:p w14:paraId="34C1302A" w14:textId="77777777" w:rsidR="00F817F9" w:rsidRPr="00326BA7" w:rsidRDefault="00F817F9" w:rsidP="006867DB">
      <w:pPr>
        <w:pStyle w:val="SingleTxtG"/>
        <w:rPr>
          <w:i/>
          <w:lang w:val="fr-FR"/>
        </w:rPr>
      </w:pPr>
      <w:r w:rsidRPr="00326BA7">
        <w:rPr>
          <w:i/>
          <w:iCs/>
          <w:lang w:val="fr-FR"/>
        </w:rPr>
        <w:t>Ajouter le nouveau paragraphe 2.32</w:t>
      </w:r>
      <w:r w:rsidRPr="00326BA7">
        <w:rPr>
          <w:lang w:val="fr-FR"/>
        </w:rPr>
        <w:t>, libellé comme suit</w:t>
      </w:r>
      <w:r w:rsidR="006867DB">
        <w:rPr>
          <w:lang w:val="fr-FR"/>
        </w:rPr>
        <w:t> </w:t>
      </w:r>
      <w:r w:rsidRPr="00326BA7">
        <w:rPr>
          <w:lang w:val="fr-FR"/>
        </w:rPr>
        <w:t>:</w:t>
      </w:r>
    </w:p>
    <w:p w14:paraId="7261801D" w14:textId="77777777" w:rsidR="00F817F9" w:rsidRDefault="00F817F9" w:rsidP="006867DB">
      <w:pPr>
        <w:pStyle w:val="SingleTxtG"/>
        <w:ind w:left="2268" w:hanging="1134"/>
        <w:rPr>
          <w:lang w:val="fr-FR"/>
        </w:rPr>
      </w:pPr>
      <w:r w:rsidRPr="00326BA7">
        <w:rPr>
          <w:lang w:val="fr-FR"/>
        </w:rPr>
        <w:t>« </w:t>
      </w:r>
      <w:r w:rsidRPr="006867DB">
        <w:rPr>
          <w:b/>
          <w:lang w:val="fr-FR"/>
        </w:rPr>
        <w:t>2.32</w:t>
      </w:r>
      <w:r w:rsidRPr="00326BA7">
        <w:rPr>
          <w:lang w:val="fr-FR"/>
        </w:rPr>
        <w:tab/>
      </w:r>
      <w:r w:rsidRPr="00326BA7">
        <w:rPr>
          <w:b/>
          <w:bCs/>
          <w:lang w:val="fr-FR"/>
        </w:rPr>
        <w:t>“</w:t>
      </w:r>
      <w:r w:rsidRPr="00326BA7">
        <w:rPr>
          <w:b/>
          <w:bCs/>
          <w:i/>
          <w:iCs/>
          <w:lang w:val="fr-FR"/>
        </w:rPr>
        <w:t>Système de déplacement</w:t>
      </w:r>
      <w:r w:rsidRPr="00326BA7">
        <w:rPr>
          <w:b/>
          <w:bCs/>
          <w:lang w:val="fr-FR"/>
        </w:rPr>
        <w:t>”, un dispositif permettant une translation et/ou une rotation, sans position intermédiaire fixe, du siège ou de l</w:t>
      </w:r>
      <w:r>
        <w:rPr>
          <w:b/>
          <w:bCs/>
          <w:lang w:val="fr-FR"/>
        </w:rPr>
        <w:t>’</w:t>
      </w:r>
      <w:r w:rsidRPr="00326BA7">
        <w:rPr>
          <w:b/>
          <w:bCs/>
          <w:lang w:val="fr-FR"/>
        </w:rPr>
        <w:t>une de ses parties, pour faciliter l</w:t>
      </w:r>
      <w:r>
        <w:rPr>
          <w:b/>
          <w:bCs/>
          <w:lang w:val="fr-FR"/>
        </w:rPr>
        <w:t>’</w:t>
      </w:r>
      <w:r w:rsidRPr="00326BA7">
        <w:rPr>
          <w:b/>
          <w:bCs/>
          <w:lang w:val="fr-FR"/>
        </w:rPr>
        <w:t>accès des occupants à l</w:t>
      </w:r>
      <w:r>
        <w:rPr>
          <w:b/>
          <w:bCs/>
          <w:lang w:val="fr-FR"/>
        </w:rPr>
        <w:t>’</w:t>
      </w:r>
      <w:r w:rsidRPr="00326BA7">
        <w:rPr>
          <w:b/>
          <w:bCs/>
          <w:lang w:val="fr-FR"/>
        </w:rPr>
        <w:t>espace derrière le siège déplacé et leur sortie de cet espace. »</w:t>
      </w:r>
      <w:r w:rsidR="002B6841">
        <w:rPr>
          <w:b/>
          <w:bCs/>
          <w:lang w:val="fr-FR"/>
        </w:rPr>
        <w:t>.</w:t>
      </w:r>
    </w:p>
    <w:p w14:paraId="217CD5F8" w14:textId="77777777" w:rsidR="00F817F9" w:rsidRPr="00326BA7" w:rsidRDefault="00F817F9" w:rsidP="006867DB">
      <w:pPr>
        <w:pStyle w:val="SingleTxtG"/>
        <w:rPr>
          <w:i/>
          <w:lang w:val="fr-FR"/>
        </w:rPr>
      </w:pPr>
      <w:r w:rsidRPr="00326BA7">
        <w:rPr>
          <w:i/>
          <w:lang w:val="fr-FR"/>
        </w:rPr>
        <w:t>Paragraphe 5.2.1.2.3</w:t>
      </w:r>
      <w:r w:rsidRPr="00326BA7">
        <w:rPr>
          <w:iCs/>
          <w:lang w:val="fr-FR"/>
        </w:rPr>
        <w:t>, lire</w:t>
      </w:r>
      <w:r w:rsidR="006867DB">
        <w:rPr>
          <w:iCs/>
          <w:lang w:val="fr-FR"/>
        </w:rPr>
        <w:t> </w:t>
      </w:r>
      <w:r w:rsidRPr="00326BA7">
        <w:rPr>
          <w:iCs/>
          <w:lang w:val="fr-FR"/>
        </w:rPr>
        <w:t>:</w:t>
      </w:r>
    </w:p>
    <w:p w14:paraId="4D294144" w14:textId="77777777" w:rsidR="00F817F9" w:rsidRDefault="006867DB" w:rsidP="006867DB">
      <w:pPr>
        <w:pStyle w:val="SingleTxtG"/>
        <w:ind w:left="2268" w:hanging="1134"/>
        <w:rPr>
          <w:lang w:val="fr-FR"/>
        </w:rPr>
      </w:pPr>
      <w:r>
        <w:rPr>
          <w:lang w:val="fr-FR"/>
        </w:rPr>
        <w:t>« </w:t>
      </w:r>
      <w:r w:rsidR="00F817F9" w:rsidRPr="00326BA7">
        <w:rPr>
          <w:lang w:val="fr-FR"/>
        </w:rPr>
        <w:t>5.2.1.2.3</w:t>
      </w:r>
      <w:r w:rsidR="00F817F9" w:rsidRPr="00326BA7">
        <w:rPr>
          <w:lang w:val="fr-FR"/>
        </w:rPr>
        <w:tab/>
        <w:t>Le critère de compression du thorax (</w:t>
      </w:r>
      <w:proofErr w:type="spellStart"/>
      <w:r w:rsidR="00F817F9" w:rsidRPr="00326BA7">
        <w:rPr>
          <w:lang w:val="fr-FR"/>
        </w:rPr>
        <w:t>T</w:t>
      </w:r>
      <w:r w:rsidR="00B83D9D">
        <w:rPr>
          <w:lang w:val="fr-FR"/>
        </w:rPr>
        <w:t>h</w:t>
      </w:r>
      <w:r w:rsidR="00F817F9" w:rsidRPr="00326BA7">
        <w:rPr>
          <w:lang w:val="fr-FR"/>
        </w:rPr>
        <w:t>CC</w:t>
      </w:r>
      <w:proofErr w:type="spellEnd"/>
      <w:r w:rsidR="00F817F9" w:rsidRPr="00326BA7">
        <w:rPr>
          <w:lang w:val="fr-FR"/>
        </w:rPr>
        <w:t>) ne doit pas être supérieur à 34 mm</w:t>
      </w:r>
      <w:r w:rsidR="00F817F9" w:rsidRPr="0098444E">
        <w:rPr>
          <w:rStyle w:val="Appelnotedebasdep"/>
        </w:rPr>
        <w:footnoteReference w:id="4"/>
      </w:r>
      <w:r w:rsidR="00F817F9" w:rsidRPr="00326BA7">
        <w:rPr>
          <w:lang w:val="fr-FR"/>
        </w:rPr>
        <w:t xml:space="preserve"> </w:t>
      </w:r>
      <w:r w:rsidR="00F817F9" w:rsidRPr="00326BA7">
        <w:rPr>
          <w:b/>
          <w:bCs/>
          <w:lang w:val="fr-FR"/>
        </w:rPr>
        <w:t>dans le cas des véhicules de la catégorie M</w:t>
      </w:r>
      <w:r w:rsidR="00F817F9" w:rsidRPr="00326BA7">
        <w:rPr>
          <w:b/>
          <w:bCs/>
          <w:vertAlign w:val="subscript"/>
          <w:lang w:val="fr-FR"/>
        </w:rPr>
        <w:t xml:space="preserve">1 </w:t>
      </w:r>
      <w:r w:rsidR="00F817F9" w:rsidRPr="00326BA7">
        <w:rPr>
          <w:b/>
          <w:bCs/>
          <w:lang w:val="fr-FR"/>
        </w:rPr>
        <w:t>et à 42 mm dans le cas des véhicules de la catégorie N</w:t>
      </w:r>
      <w:r w:rsidR="00F817F9" w:rsidRPr="00326BA7">
        <w:rPr>
          <w:b/>
          <w:bCs/>
          <w:vertAlign w:val="subscript"/>
          <w:lang w:val="fr-FR"/>
        </w:rPr>
        <w:t>1</w:t>
      </w:r>
      <w:r w:rsidR="00F817F9" w:rsidRPr="00326BA7">
        <w:rPr>
          <w:b/>
          <w:bCs/>
          <w:lang w:val="fr-FR"/>
        </w:rPr>
        <w:t>.</w:t>
      </w:r>
      <w:r w:rsidR="00F817F9" w:rsidRPr="00326BA7">
        <w:rPr>
          <w:lang w:val="fr-FR"/>
        </w:rPr>
        <w:t> »</w:t>
      </w:r>
      <w:r w:rsidR="002B6841">
        <w:rPr>
          <w:lang w:val="fr-FR"/>
        </w:rPr>
        <w:t>.</w:t>
      </w:r>
    </w:p>
    <w:p w14:paraId="42B9B40E" w14:textId="77777777" w:rsidR="00F817F9" w:rsidRPr="00326BA7" w:rsidRDefault="00F817F9" w:rsidP="006867DB">
      <w:pPr>
        <w:pStyle w:val="SingleTxtG"/>
        <w:rPr>
          <w:lang w:val="fr-FR"/>
        </w:rPr>
      </w:pPr>
      <w:r w:rsidRPr="00326BA7">
        <w:rPr>
          <w:i/>
          <w:lang w:val="fr-FR"/>
        </w:rPr>
        <w:t>Paragraphe 5.2.5.1</w:t>
      </w:r>
      <w:r w:rsidRPr="00326BA7">
        <w:rPr>
          <w:iCs/>
          <w:lang w:val="fr-FR"/>
        </w:rPr>
        <w:t>,</w:t>
      </w:r>
      <w:r w:rsidRPr="00326BA7">
        <w:rPr>
          <w:i/>
          <w:lang w:val="fr-FR"/>
        </w:rPr>
        <w:t xml:space="preserve"> </w:t>
      </w:r>
      <w:r w:rsidRPr="00326BA7">
        <w:rPr>
          <w:iCs/>
          <w:lang w:val="fr-FR"/>
        </w:rPr>
        <w:t>lire</w:t>
      </w:r>
      <w:r w:rsidR="006867DB">
        <w:rPr>
          <w:i/>
          <w:lang w:val="fr-FR"/>
        </w:rPr>
        <w:t> </w:t>
      </w:r>
      <w:r w:rsidRPr="00326BA7">
        <w:rPr>
          <w:lang w:val="fr-FR"/>
        </w:rPr>
        <w:t>:</w:t>
      </w:r>
    </w:p>
    <w:p w14:paraId="693D5B91" w14:textId="1C7E26CC" w:rsidR="00F817F9" w:rsidRPr="00326BA7" w:rsidRDefault="006867DB" w:rsidP="006867DB">
      <w:pPr>
        <w:pStyle w:val="SingleTxtG"/>
        <w:ind w:left="2268" w:hanging="1134"/>
        <w:rPr>
          <w:lang w:val="fr-FR"/>
        </w:rPr>
      </w:pPr>
      <w:r>
        <w:rPr>
          <w:lang w:val="fr-FR"/>
        </w:rPr>
        <w:t>« </w:t>
      </w:r>
      <w:r w:rsidR="00F817F9" w:rsidRPr="00326BA7">
        <w:rPr>
          <w:lang w:val="fr-FR"/>
        </w:rPr>
        <w:t>5.2.5.1</w:t>
      </w:r>
      <w:r w:rsidR="00F817F9" w:rsidRPr="00326BA7">
        <w:rPr>
          <w:lang w:val="fr-FR"/>
        </w:rPr>
        <w:tab/>
        <w:t>D</w:t>
      </w:r>
      <w:r w:rsidR="00F817F9">
        <w:rPr>
          <w:lang w:val="fr-FR"/>
        </w:rPr>
        <w:t>’</w:t>
      </w:r>
      <w:r w:rsidR="00F817F9" w:rsidRPr="00326BA7">
        <w:rPr>
          <w:lang w:val="fr-FR"/>
        </w:rPr>
        <w:t>ouvrir au moins une porte</w:t>
      </w:r>
      <w:r w:rsidR="00F817F9" w:rsidRPr="00326BA7">
        <w:rPr>
          <w:strike/>
          <w:lang w:val="fr-FR"/>
        </w:rPr>
        <w:t>, s</w:t>
      </w:r>
      <w:r w:rsidR="00F817F9">
        <w:rPr>
          <w:strike/>
          <w:lang w:val="fr-FR"/>
        </w:rPr>
        <w:t>’</w:t>
      </w:r>
      <w:r w:rsidR="00F817F9" w:rsidRPr="00326BA7">
        <w:rPr>
          <w:strike/>
          <w:lang w:val="fr-FR"/>
        </w:rPr>
        <w:t>il y en a une,</w:t>
      </w:r>
      <w:r w:rsidR="00F817F9" w:rsidRPr="00326BA7">
        <w:rPr>
          <w:lang w:val="fr-FR"/>
        </w:rPr>
        <w:t xml:space="preserve"> par rangée de sièges</w:t>
      </w:r>
      <w:r w:rsidR="00F817F9" w:rsidRPr="00326BA7">
        <w:rPr>
          <w:b/>
          <w:bCs/>
          <w:lang w:val="fr-FR"/>
        </w:rPr>
        <w:t>.</w:t>
      </w:r>
      <w:r w:rsidR="00F817F9" w:rsidRPr="00326BA7">
        <w:rPr>
          <w:strike/>
          <w:lang w:val="fr-FR"/>
        </w:rPr>
        <w:t>, et, si nécessaire, l</w:t>
      </w:r>
      <w:r w:rsidR="00F817F9" w:rsidRPr="00326BA7">
        <w:rPr>
          <w:b/>
          <w:bCs/>
          <w:lang w:val="fr-FR"/>
        </w:rPr>
        <w:t>L</w:t>
      </w:r>
      <w:r w:rsidR="00F817F9" w:rsidRPr="00326BA7">
        <w:rPr>
          <w:lang w:val="fr-FR"/>
        </w:rPr>
        <w:t>orsqu</w:t>
      </w:r>
      <w:r w:rsidR="00F817F9">
        <w:rPr>
          <w:lang w:val="fr-FR"/>
        </w:rPr>
        <w:t>’</w:t>
      </w:r>
      <w:r w:rsidR="00F817F9" w:rsidRPr="00326BA7">
        <w:rPr>
          <w:lang w:val="fr-FR"/>
        </w:rPr>
        <w:t>il n</w:t>
      </w:r>
      <w:r w:rsidR="00F817F9">
        <w:rPr>
          <w:lang w:val="fr-FR"/>
        </w:rPr>
        <w:t>’</w:t>
      </w:r>
      <w:r w:rsidR="00F817F9" w:rsidRPr="00326BA7">
        <w:rPr>
          <w:lang w:val="fr-FR"/>
        </w:rPr>
        <w:t xml:space="preserve">y a pas de porte, </w:t>
      </w:r>
      <w:r w:rsidR="00F817F9" w:rsidRPr="00326BA7">
        <w:rPr>
          <w:strike/>
          <w:lang w:val="fr-FR"/>
        </w:rPr>
        <w:t>de déplacer les sièges ou rabattre leurs dossiers afin</w:t>
      </w:r>
      <w:r w:rsidR="00F817F9" w:rsidRPr="00326BA7">
        <w:rPr>
          <w:lang w:val="fr-FR"/>
        </w:rPr>
        <w:t xml:space="preserve"> </w:t>
      </w:r>
      <w:r w:rsidR="00F817F9" w:rsidRPr="00326BA7">
        <w:rPr>
          <w:b/>
          <w:bCs/>
          <w:lang w:val="fr-FR"/>
        </w:rPr>
        <w:t>il doit être possible</w:t>
      </w:r>
      <w:r w:rsidR="00F817F9" w:rsidRPr="00326BA7">
        <w:rPr>
          <w:lang w:val="fr-FR"/>
        </w:rPr>
        <w:t xml:space="preserve"> </w:t>
      </w:r>
      <w:r w:rsidR="00B83D9D" w:rsidRPr="00B83D9D">
        <w:rPr>
          <w:b/>
          <w:lang w:val="fr-FR"/>
        </w:rPr>
        <w:t>d’</w:t>
      </w:r>
      <w:r w:rsidR="00F817F9" w:rsidRPr="00550539">
        <w:rPr>
          <w:strike/>
          <w:lang w:val="fr-FR"/>
        </w:rPr>
        <w:t xml:space="preserve">de </w:t>
      </w:r>
      <w:proofErr w:type="spellStart"/>
      <w:r w:rsidR="00F817F9" w:rsidRPr="00550539">
        <w:rPr>
          <w:strike/>
          <w:lang w:val="fr-FR"/>
        </w:rPr>
        <w:t>pouvoir</w:t>
      </w:r>
      <w:r w:rsidR="00F817F9" w:rsidRPr="00326BA7">
        <w:rPr>
          <w:lang w:val="fr-FR"/>
        </w:rPr>
        <w:t>évacuer</w:t>
      </w:r>
      <w:proofErr w:type="spellEnd"/>
      <w:r w:rsidR="00F817F9" w:rsidRPr="00326BA7">
        <w:rPr>
          <w:lang w:val="fr-FR"/>
        </w:rPr>
        <w:t xml:space="preserve"> tous les occupants</w:t>
      </w:r>
      <w:r w:rsidR="00F817F9" w:rsidRPr="00326BA7">
        <w:rPr>
          <w:b/>
          <w:bCs/>
          <w:lang w:val="fr-FR"/>
        </w:rPr>
        <w:t xml:space="preserve"> en activant le système de déplacement </w:t>
      </w:r>
      <w:r w:rsidR="00F817F9">
        <w:rPr>
          <w:b/>
          <w:bCs/>
          <w:lang w:val="fr-FR"/>
        </w:rPr>
        <w:t xml:space="preserve">des sièges, </w:t>
      </w:r>
      <w:r w:rsidR="00F817F9" w:rsidRPr="00326BA7">
        <w:rPr>
          <w:b/>
          <w:bCs/>
          <w:lang w:val="fr-FR"/>
        </w:rPr>
        <w:t>si nécessaire.</w:t>
      </w:r>
      <w:r w:rsidR="00F817F9" w:rsidRPr="00326BA7">
        <w:rPr>
          <w:strike/>
          <w:lang w:val="fr-FR"/>
        </w:rPr>
        <w:t> ; cette mesure ne s</w:t>
      </w:r>
      <w:r w:rsidR="00F817F9">
        <w:rPr>
          <w:strike/>
          <w:lang w:val="fr-FR"/>
        </w:rPr>
        <w:t>’</w:t>
      </w:r>
      <w:r w:rsidR="00F817F9" w:rsidRPr="00326BA7">
        <w:rPr>
          <w:strike/>
          <w:lang w:val="fr-FR"/>
        </w:rPr>
        <w:t>applique cependant qu</w:t>
      </w:r>
      <w:r w:rsidR="00F817F9">
        <w:rPr>
          <w:strike/>
          <w:lang w:val="fr-FR"/>
        </w:rPr>
        <w:t>’</w:t>
      </w:r>
      <w:r w:rsidR="00F817F9" w:rsidRPr="00326BA7">
        <w:rPr>
          <w:strike/>
          <w:lang w:val="fr-FR"/>
        </w:rPr>
        <w:t>aux véhicules équipés d</w:t>
      </w:r>
      <w:r w:rsidR="00F817F9">
        <w:rPr>
          <w:strike/>
          <w:lang w:val="fr-FR"/>
        </w:rPr>
        <w:t>’</w:t>
      </w:r>
      <w:r w:rsidR="00F817F9" w:rsidRPr="00326BA7">
        <w:rPr>
          <w:strike/>
          <w:lang w:val="fr-FR"/>
        </w:rPr>
        <w:t>un toit rigide ;</w:t>
      </w:r>
      <w:r w:rsidR="00F817F9" w:rsidRPr="00326BA7">
        <w:rPr>
          <w:lang w:val="fr-FR"/>
        </w:rPr>
        <w:t>-</w:t>
      </w:r>
      <w:r w:rsidR="00F817F9" w:rsidRPr="00326BA7">
        <w:rPr>
          <w:b/>
          <w:bCs/>
          <w:lang w:val="fr-FR"/>
        </w:rPr>
        <w:t xml:space="preserve">Cette disposition </w:t>
      </w:r>
      <w:r w:rsidR="00F817F9">
        <w:rPr>
          <w:b/>
          <w:bCs/>
          <w:lang w:val="fr-FR"/>
        </w:rPr>
        <w:t>ne s’applique pas</w:t>
      </w:r>
      <w:r w:rsidR="00F817F9" w:rsidRPr="00326BA7">
        <w:rPr>
          <w:b/>
          <w:bCs/>
          <w:lang w:val="fr-FR"/>
        </w:rPr>
        <w:t xml:space="preserve"> aux cabriolets dont le toit peut être facilement ouvert pour faciliter l</w:t>
      </w:r>
      <w:r w:rsidR="00F817F9">
        <w:rPr>
          <w:b/>
          <w:bCs/>
          <w:lang w:val="fr-FR"/>
        </w:rPr>
        <w:t>’</w:t>
      </w:r>
      <w:r w:rsidR="00F817F9" w:rsidRPr="00326BA7">
        <w:rPr>
          <w:b/>
          <w:bCs/>
          <w:lang w:val="fr-FR"/>
        </w:rPr>
        <w:t>évacuation des occupants.</w:t>
      </w:r>
    </w:p>
    <w:p w14:paraId="71EECBC0" w14:textId="77777777" w:rsidR="00F817F9" w:rsidRPr="00326BA7" w:rsidRDefault="00F817F9" w:rsidP="006867DB">
      <w:pPr>
        <w:pStyle w:val="SingleTxtG"/>
        <w:ind w:left="2268"/>
        <w:rPr>
          <w:b/>
          <w:bCs/>
          <w:lang w:val="fr-FR"/>
        </w:rPr>
      </w:pPr>
      <w:r w:rsidRPr="00326BA7">
        <w:rPr>
          <w:lang w:val="fr-FR"/>
        </w:rPr>
        <w:tab/>
      </w:r>
      <w:r w:rsidRPr="00326BA7">
        <w:rPr>
          <w:b/>
          <w:bCs/>
          <w:lang w:val="fr-FR"/>
        </w:rPr>
        <w:t>Cette possibilité doit être évaluée pour toutes les configurations ou pour la configuration la plus défavorable pour ce qui est du nombre de portes de chaque côté du véhicule, et pour les véhicules à conduite à gauche tout comme pour les véhicules à conduite à droite, selon le cas. »</w:t>
      </w:r>
      <w:r w:rsidR="002B6841">
        <w:rPr>
          <w:b/>
          <w:bCs/>
          <w:lang w:val="fr-FR"/>
        </w:rPr>
        <w:t>.</w:t>
      </w:r>
    </w:p>
    <w:p w14:paraId="710B6B2D" w14:textId="77777777" w:rsidR="00F817F9" w:rsidRPr="00326BA7" w:rsidRDefault="00B458DF" w:rsidP="006867DB">
      <w:pPr>
        <w:pStyle w:val="HChG"/>
        <w:rPr>
          <w:lang w:val="fr-FR"/>
        </w:rPr>
      </w:pPr>
      <w:r>
        <w:rPr>
          <w:lang w:val="fr-FR"/>
        </w:rPr>
        <w:tab/>
      </w:r>
      <w:r w:rsidR="00F817F9" w:rsidRPr="00326BA7">
        <w:rPr>
          <w:lang w:val="fr-FR"/>
        </w:rPr>
        <w:t>II.</w:t>
      </w:r>
      <w:r w:rsidR="00F817F9" w:rsidRPr="00326BA7">
        <w:rPr>
          <w:lang w:val="fr-FR"/>
        </w:rPr>
        <w:tab/>
        <w:t>Justification</w:t>
      </w:r>
    </w:p>
    <w:p w14:paraId="5E1B82E0" w14:textId="77777777" w:rsidR="00F817F9" w:rsidRPr="00326BA7" w:rsidRDefault="00F817F9" w:rsidP="005E4C80">
      <w:pPr>
        <w:pStyle w:val="SingleTxtG"/>
        <w:rPr>
          <w:b/>
          <w:lang w:val="fr-FR"/>
        </w:rPr>
      </w:pPr>
      <w:r w:rsidRPr="00326BA7">
        <w:rPr>
          <w:lang w:val="fr-FR"/>
        </w:rPr>
        <w:t>1.</w:t>
      </w:r>
      <w:r w:rsidRPr="00326BA7">
        <w:rPr>
          <w:lang w:val="fr-FR"/>
        </w:rPr>
        <w:tab/>
        <w:t>L</w:t>
      </w:r>
      <w:r>
        <w:rPr>
          <w:lang w:val="fr-FR"/>
        </w:rPr>
        <w:t>’</w:t>
      </w:r>
      <w:r w:rsidRPr="00326BA7">
        <w:rPr>
          <w:lang w:val="fr-FR"/>
        </w:rPr>
        <w:t>Union européenne adoptera en 2019 la version révisée du Règlement sur la sécurité générale des véhicules à moteur, qui introduit un ensemble de nouveaux dispositifs de sécurité. Il convient de noter que ce Règlement établit aussi un certain nombre d</w:t>
      </w:r>
      <w:r>
        <w:rPr>
          <w:lang w:val="fr-FR"/>
        </w:rPr>
        <w:t>’</w:t>
      </w:r>
      <w:r w:rsidRPr="00326BA7">
        <w:rPr>
          <w:lang w:val="fr-FR"/>
        </w:rPr>
        <w:t>exemptions applicables aux prescriptions essentielles en matière de sécurité des véhicules, par exemple pour les véhicules utilitaires légers tels que les fourgons.</w:t>
      </w:r>
    </w:p>
    <w:p w14:paraId="6078AA02" w14:textId="77777777" w:rsidR="00F817F9" w:rsidRPr="00326BA7" w:rsidRDefault="00F817F9" w:rsidP="005E4C80">
      <w:pPr>
        <w:pStyle w:val="SingleTxtG"/>
        <w:rPr>
          <w:lang w:val="fr-FR"/>
        </w:rPr>
      </w:pPr>
      <w:r w:rsidRPr="00326BA7">
        <w:rPr>
          <w:lang w:val="fr-FR"/>
        </w:rPr>
        <w:t>2.</w:t>
      </w:r>
      <w:r w:rsidRPr="00326BA7">
        <w:rPr>
          <w:lang w:val="fr-FR"/>
        </w:rPr>
        <w:tab/>
        <w:t xml:space="preserve">Ces exemptions ne se justifient plus compte tenu de la protection des travailleurs utilisant des véhicules utilitaires légers.  </w:t>
      </w:r>
    </w:p>
    <w:p w14:paraId="101EF861" w14:textId="2EA31F93" w:rsidR="00F817F9" w:rsidRPr="00326BA7" w:rsidRDefault="00F817F9" w:rsidP="00E92BBA">
      <w:pPr>
        <w:pStyle w:val="SingleTxtG"/>
        <w:keepNext/>
        <w:keepLines/>
        <w:rPr>
          <w:lang w:val="fr-FR"/>
        </w:rPr>
      </w:pPr>
      <w:r w:rsidRPr="00326BA7">
        <w:rPr>
          <w:lang w:val="fr-FR"/>
        </w:rPr>
        <w:lastRenderedPageBreak/>
        <w:t>3.</w:t>
      </w:r>
      <w:r w:rsidRPr="00326BA7">
        <w:rPr>
          <w:lang w:val="fr-FR"/>
        </w:rPr>
        <w:tab/>
        <w:t>Dans les véhicules larges, il n</w:t>
      </w:r>
      <w:r>
        <w:rPr>
          <w:lang w:val="fr-FR"/>
        </w:rPr>
        <w:t>’</w:t>
      </w:r>
      <w:r w:rsidRPr="00326BA7">
        <w:rPr>
          <w:lang w:val="fr-FR"/>
        </w:rPr>
        <w:t>est peut-être pas nécessaire que les sièges avant soient munis d</w:t>
      </w:r>
      <w:r>
        <w:rPr>
          <w:lang w:val="fr-FR"/>
        </w:rPr>
        <w:t>’</w:t>
      </w:r>
      <w:r w:rsidRPr="00326BA7">
        <w:rPr>
          <w:lang w:val="fr-FR"/>
        </w:rPr>
        <w:t>un système de déplacement (conformément au Règlement ONU n</w:t>
      </w:r>
      <w:r w:rsidRPr="00326BA7">
        <w:rPr>
          <w:vertAlign w:val="superscript"/>
          <w:lang w:val="fr-FR"/>
        </w:rPr>
        <w:t>o</w:t>
      </w:r>
      <w:r w:rsidRPr="00326BA7">
        <w:rPr>
          <w:lang w:val="fr-FR"/>
        </w:rPr>
        <w:t> 17), car les occupants peuvent se déplacer entre les sièges. Le présent Règlement devrait aussi prévoir une telle possibilité afin que les occupants assis à l</w:t>
      </w:r>
      <w:r>
        <w:rPr>
          <w:lang w:val="fr-FR"/>
        </w:rPr>
        <w:t>’</w:t>
      </w:r>
      <w:r w:rsidRPr="00326BA7">
        <w:rPr>
          <w:lang w:val="fr-FR"/>
        </w:rPr>
        <w:t xml:space="preserve">arrière puissent évacuer par une porte avant en cas de collision. La modification suivante du texte </w:t>
      </w:r>
      <w:r w:rsidR="00B458DF">
        <w:rPr>
          <w:lang w:val="fr-FR"/>
        </w:rPr>
        <w:t>− </w:t>
      </w:r>
      <w:r w:rsidRPr="00326BA7">
        <w:rPr>
          <w:lang w:val="fr-FR"/>
        </w:rPr>
        <w:t>« en activant le système de déplacement des sièges, si nécessaire »</w:t>
      </w:r>
      <w:r w:rsidR="00B458DF">
        <w:rPr>
          <w:lang w:val="fr-FR"/>
        </w:rPr>
        <w:t> −</w:t>
      </w:r>
      <w:r w:rsidRPr="00326BA7">
        <w:rPr>
          <w:lang w:val="fr-FR"/>
        </w:rPr>
        <w:t xml:space="preserve"> correspond à cette possibilité.</w:t>
      </w:r>
    </w:p>
    <w:p w14:paraId="0F2B5910" w14:textId="77777777" w:rsidR="00F9573C" w:rsidRDefault="00F817F9" w:rsidP="005E4C80">
      <w:pPr>
        <w:pStyle w:val="SingleTxtG"/>
        <w:rPr>
          <w:lang w:val="fr-FR"/>
        </w:rPr>
      </w:pPr>
      <w:r w:rsidRPr="00326BA7">
        <w:rPr>
          <w:lang w:val="fr-FR"/>
        </w:rPr>
        <w:t>4.</w:t>
      </w:r>
      <w:r w:rsidRPr="00326BA7">
        <w:rPr>
          <w:lang w:val="fr-FR"/>
        </w:rPr>
        <w:tab/>
        <w:t>Pour éviter toute interprétation contradictoire de la part des services techniques et des autorités d</w:t>
      </w:r>
      <w:r>
        <w:rPr>
          <w:lang w:val="fr-FR"/>
        </w:rPr>
        <w:t>’</w:t>
      </w:r>
      <w:r w:rsidRPr="00326BA7">
        <w:rPr>
          <w:lang w:val="fr-FR"/>
        </w:rPr>
        <w:t xml:space="preserve">homologation de type, la configuration la plus défavorable a été définie pour faire en sorte que les portes latérales </w:t>
      </w:r>
      <w:r>
        <w:rPr>
          <w:lang w:val="fr-FR"/>
        </w:rPr>
        <w:t>soient</w:t>
      </w:r>
      <w:r w:rsidRPr="00326BA7">
        <w:rPr>
          <w:lang w:val="fr-FR"/>
        </w:rPr>
        <w:t xml:space="preserve"> vérifiées et pour éviter que certaines configurations ne soient pas soumises aux essais</w:t>
      </w:r>
      <w:r w:rsidR="005E4C80">
        <w:rPr>
          <w:lang w:val="fr-FR"/>
        </w:rPr>
        <w:t>.</w:t>
      </w:r>
    </w:p>
    <w:p w14:paraId="0D047AA8" w14:textId="77777777" w:rsidR="005E4C80" w:rsidRPr="005E4C80" w:rsidRDefault="005E4C80" w:rsidP="005E4C80">
      <w:pPr>
        <w:pStyle w:val="SingleTxtG"/>
        <w:spacing w:before="240" w:after="0"/>
        <w:jc w:val="center"/>
        <w:rPr>
          <w:u w:val="single"/>
        </w:rPr>
      </w:pPr>
      <w:r>
        <w:rPr>
          <w:u w:val="single"/>
        </w:rPr>
        <w:tab/>
      </w:r>
      <w:r>
        <w:rPr>
          <w:u w:val="single"/>
        </w:rPr>
        <w:tab/>
      </w:r>
      <w:r>
        <w:rPr>
          <w:u w:val="single"/>
        </w:rPr>
        <w:tab/>
      </w:r>
    </w:p>
    <w:sectPr w:rsidR="005E4C80" w:rsidRPr="005E4C80" w:rsidSect="00F817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6990" w14:textId="77777777" w:rsidR="00612E67" w:rsidRDefault="00612E67" w:rsidP="00F95C08">
      <w:pPr>
        <w:spacing w:line="240" w:lineRule="auto"/>
      </w:pPr>
    </w:p>
  </w:endnote>
  <w:endnote w:type="continuationSeparator" w:id="0">
    <w:p w14:paraId="2568F6DD" w14:textId="77777777" w:rsidR="00612E67" w:rsidRPr="00AC3823" w:rsidRDefault="00612E67" w:rsidP="00AC3823">
      <w:pPr>
        <w:pStyle w:val="Pieddepage"/>
      </w:pPr>
    </w:p>
  </w:endnote>
  <w:endnote w:type="continuationNotice" w:id="1">
    <w:p w14:paraId="322377C0" w14:textId="77777777" w:rsidR="00612E67" w:rsidRDefault="00612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ECD6" w14:textId="77777777" w:rsidR="00F817F9" w:rsidRPr="00F817F9" w:rsidRDefault="00F817F9" w:rsidP="00F817F9">
    <w:pPr>
      <w:pStyle w:val="Pieddepage"/>
      <w:tabs>
        <w:tab w:val="right" w:pos="9638"/>
      </w:tabs>
    </w:pPr>
    <w:r w:rsidRPr="00F817F9">
      <w:rPr>
        <w:b/>
        <w:sz w:val="18"/>
      </w:rPr>
      <w:fldChar w:fldCharType="begin"/>
    </w:r>
    <w:r w:rsidRPr="00F817F9">
      <w:rPr>
        <w:b/>
        <w:sz w:val="18"/>
      </w:rPr>
      <w:instrText xml:space="preserve"> PAGE  \* MERGEFORMAT </w:instrText>
    </w:r>
    <w:r w:rsidRPr="00F817F9">
      <w:rPr>
        <w:b/>
        <w:sz w:val="18"/>
      </w:rPr>
      <w:fldChar w:fldCharType="separate"/>
    </w:r>
    <w:r w:rsidRPr="00F817F9">
      <w:rPr>
        <w:b/>
        <w:noProof/>
        <w:sz w:val="18"/>
      </w:rPr>
      <w:t>2</w:t>
    </w:r>
    <w:r w:rsidRPr="00F817F9">
      <w:rPr>
        <w:b/>
        <w:sz w:val="18"/>
      </w:rPr>
      <w:fldChar w:fldCharType="end"/>
    </w:r>
    <w:r>
      <w:rPr>
        <w:b/>
        <w:sz w:val="18"/>
      </w:rPr>
      <w:tab/>
    </w:r>
    <w:r>
      <w:t>GE.19-16502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8114" w14:textId="77777777" w:rsidR="00F817F9" w:rsidRPr="00F817F9" w:rsidRDefault="00F817F9" w:rsidP="00F817F9">
    <w:pPr>
      <w:pStyle w:val="Pieddepage"/>
      <w:tabs>
        <w:tab w:val="right" w:pos="9638"/>
      </w:tabs>
      <w:rPr>
        <w:b/>
        <w:sz w:val="18"/>
      </w:rPr>
    </w:pPr>
    <w:r>
      <w:t>GE.19-16502</w:t>
    </w:r>
    <w:r>
      <w:tab/>
    </w:r>
    <w:r w:rsidRPr="00F817F9">
      <w:rPr>
        <w:b/>
        <w:sz w:val="18"/>
      </w:rPr>
      <w:fldChar w:fldCharType="begin"/>
    </w:r>
    <w:r w:rsidRPr="00F817F9">
      <w:rPr>
        <w:b/>
        <w:sz w:val="18"/>
      </w:rPr>
      <w:instrText xml:space="preserve"> PAGE  \* MERGEFORMAT </w:instrText>
    </w:r>
    <w:r w:rsidRPr="00F817F9">
      <w:rPr>
        <w:b/>
        <w:sz w:val="18"/>
      </w:rPr>
      <w:fldChar w:fldCharType="separate"/>
    </w:r>
    <w:r w:rsidRPr="00F817F9">
      <w:rPr>
        <w:b/>
        <w:noProof/>
        <w:sz w:val="18"/>
      </w:rPr>
      <w:t>3</w:t>
    </w:r>
    <w:r w:rsidRPr="00F817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8456" w14:textId="77777777" w:rsidR="007F20FA" w:rsidRPr="00F817F9" w:rsidRDefault="00F817F9" w:rsidP="00F817F9">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C8B6ECA" wp14:editId="0C26284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19-16502  (F)</w:t>
    </w:r>
    <w:r w:rsidR="00102E39">
      <w:rPr>
        <w:sz w:val="20"/>
      </w:rPr>
      <w:t xml:space="preserve">    151119    181119</w:t>
    </w:r>
    <w:r>
      <w:rPr>
        <w:sz w:val="20"/>
      </w:rPr>
      <w:br/>
    </w:r>
    <w:r w:rsidRPr="00F817F9">
      <w:rPr>
        <w:rFonts w:ascii="C39T30Lfz" w:hAnsi="C39T30Lfz"/>
        <w:sz w:val="56"/>
      </w:rPr>
      <w:t></w:t>
    </w:r>
    <w:r w:rsidRPr="00F817F9">
      <w:rPr>
        <w:rFonts w:ascii="C39T30Lfz" w:hAnsi="C39T30Lfz"/>
        <w:sz w:val="56"/>
      </w:rPr>
      <w:t></w:t>
    </w:r>
    <w:r w:rsidRPr="00F817F9">
      <w:rPr>
        <w:rFonts w:ascii="C39T30Lfz" w:hAnsi="C39T30Lfz"/>
        <w:sz w:val="56"/>
      </w:rPr>
      <w:t></w:t>
    </w:r>
    <w:r w:rsidRPr="00F817F9">
      <w:rPr>
        <w:rFonts w:ascii="C39T30Lfz" w:hAnsi="C39T30Lfz"/>
        <w:sz w:val="56"/>
      </w:rPr>
      <w:t></w:t>
    </w:r>
    <w:r w:rsidRPr="00F817F9">
      <w:rPr>
        <w:rFonts w:ascii="C39T30Lfz" w:hAnsi="C39T30Lfz"/>
        <w:sz w:val="56"/>
      </w:rPr>
      <w:t></w:t>
    </w:r>
    <w:r w:rsidRPr="00F817F9">
      <w:rPr>
        <w:rFonts w:ascii="C39T30Lfz" w:hAnsi="C39T30Lfz"/>
        <w:sz w:val="56"/>
      </w:rPr>
      <w:t></w:t>
    </w:r>
    <w:r w:rsidRPr="00F817F9">
      <w:rPr>
        <w:rFonts w:ascii="C39T30Lfz" w:hAnsi="C39T30Lfz"/>
        <w:sz w:val="56"/>
      </w:rPr>
      <w:t></w:t>
    </w:r>
    <w:r w:rsidRPr="00F817F9">
      <w:rPr>
        <w:rFonts w:ascii="C39T30Lfz" w:hAnsi="C39T30Lfz"/>
        <w:sz w:val="56"/>
      </w:rPr>
      <w:t></w:t>
    </w:r>
    <w:r w:rsidRPr="00F817F9">
      <w:rPr>
        <w:rFonts w:ascii="C39T30Lfz" w:hAnsi="C39T30Lfz"/>
        <w:sz w:val="56"/>
      </w:rPr>
      <w:t></w:t>
    </w:r>
    <w:r>
      <w:rPr>
        <w:noProof/>
        <w:sz w:val="20"/>
      </w:rPr>
      <w:drawing>
        <wp:anchor distT="0" distB="0" distL="114300" distR="114300" simplePos="0" relativeHeight="251658240" behindDoc="0" locked="0" layoutInCell="1" allowOverlap="1" wp14:anchorId="2EE31C9B" wp14:editId="59CD3BB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E4A8" w14:textId="77777777" w:rsidR="00612E67" w:rsidRPr="00AC3823" w:rsidRDefault="00612E67" w:rsidP="00AC3823">
      <w:pPr>
        <w:pStyle w:val="Pieddepage"/>
        <w:tabs>
          <w:tab w:val="right" w:pos="2155"/>
        </w:tabs>
        <w:spacing w:after="80" w:line="240" w:lineRule="atLeast"/>
        <w:ind w:left="680"/>
        <w:rPr>
          <w:u w:val="single"/>
        </w:rPr>
      </w:pPr>
      <w:r>
        <w:rPr>
          <w:u w:val="single"/>
        </w:rPr>
        <w:tab/>
      </w:r>
    </w:p>
  </w:footnote>
  <w:footnote w:type="continuationSeparator" w:id="0">
    <w:p w14:paraId="72365ADB" w14:textId="77777777" w:rsidR="00612E67" w:rsidRPr="00AC3823" w:rsidRDefault="00612E67" w:rsidP="00AC3823">
      <w:pPr>
        <w:pStyle w:val="Pieddepage"/>
        <w:tabs>
          <w:tab w:val="right" w:pos="2155"/>
        </w:tabs>
        <w:spacing w:after="80" w:line="240" w:lineRule="atLeast"/>
        <w:ind w:left="680"/>
        <w:rPr>
          <w:u w:val="single"/>
        </w:rPr>
      </w:pPr>
      <w:r>
        <w:rPr>
          <w:u w:val="single"/>
        </w:rPr>
        <w:tab/>
      </w:r>
    </w:p>
  </w:footnote>
  <w:footnote w:type="continuationNotice" w:id="1">
    <w:p w14:paraId="36B23287" w14:textId="77777777" w:rsidR="00612E67" w:rsidRPr="00AC3823" w:rsidRDefault="00612E67">
      <w:pPr>
        <w:spacing w:line="240" w:lineRule="auto"/>
        <w:rPr>
          <w:sz w:val="2"/>
          <w:szCs w:val="2"/>
        </w:rPr>
      </w:pPr>
    </w:p>
  </w:footnote>
  <w:footnote w:id="2">
    <w:p w14:paraId="31792B1C" w14:textId="77777777" w:rsidR="00102E39" w:rsidRPr="00102E39" w:rsidRDefault="00102E39">
      <w:pPr>
        <w:pStyle w:val="Notedebasdepage"/>
      </w:pPr>
      <w:r>
        <w:rPr>
          <w:rStyle w:val="Appelnotedebasdep"/>
        </w:rPr>
        <w:tab/>
      </w:r>
      <w:r w:rsidRPr="00102E39">
        <w:rPr>
          <w:rStyle w:val="Appelnotedebasdep"/>
          <w:sz w:val="20"/>
          <w:vertAlign w:val="baseline"/>
        </w:rPr>
        <w:t>*</w:t>
      </w:r>
      <w:r>
        <w:rPr>
          <w:rStyle w:val="Appelnotedebasdep"/>
          <w:sz w:val="20"/>
          <w:vertAlign w:val="baseline"/>
        </w:rPr>
        <w:tab/>
      </w:r>
      <w:r w:rsidRPr="00326BA7">
        <w:rPr>
          <w:lang w:val="fr-FR"/>
        </w:rPr>
        <w:t>Conformément au programme de travail du Comité des transports intérieurs pour la période 2018</w:t>
      </w:r>
      <w:r w:rsidR="00B500EF">
        <w:rPr>
          <w:lang w:val="fr-FR"/>
        </w:rPr>
        <w:noBreakHyphen/>
      </w:r>
      <w:r w:rsidRPr="00326BA7">
        <w:rPr>
          <w:lang w:val="fr-FR"/>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1077912A" w14:textId="77777777" w:rsidR="00F817F9" w:rsidRPr="001F5DAE" w:rsidRDefault="00F817F9" w:rsidP="00F817F9">
      <w:pPr>
        <w:pStyle w:val="Notedebasdepage"/>
        <w:rPr>
          <w:spacing w:val="5"/>
          <w:w w:val="104"/>
          <w:lang w:val="fr-FR"/>
        </w:rPr>
      </w:pPr>
      <w:r w:rsidRPr="00326BA7">
        <w:rPr>
          <w:lang w:val="fr-FR"/>
        </w:rPr>
        <w:tab/>
      </w:r>
      <w:r w:rsidRPr="0098444E">
        <w:rPr>
          <w:rStyle w:val="Appelnotedebasdep"/>
        </w:rPr>
        <w:footnoteRef/>
      </w:r>
      <w:r w:rsidRPr="001F5DAE">
        <w:rPr>
          <w:lang w:val="fr-FR"/>
        </w:rPr>
        <w:tab/>
        <w:t>Tels que définis dans la Résolution d’ensemble sur la construction des véhicules (R.E.3), document ECE/TRANS/WP.29/78/Rev.6, par. 2 − www.unece.org/trans/main/wp29/wp29wgs/</w:t>
      </w:r>
      <w:r w:rsidRPr="001F5DAE">
        <w:rPr>
          <w:lang w:val="fr-FR"/>
        </w:rPr>
        <w:br/>
        <w:t>wp29gen/wp29resolutions.html.</w:t>
      </w:r>
    </w:p>
  </w:footnote>
  <w:footnote w:id="4">
    <w:p w14:paraId="5608B061" w14:textId="77777777" w:rsidR="00F817F9" w:rsidRPr="001F5DAE" w:rsidRDefault="00F817F9" w:rsidP="00F817F9">
      <w:pPr>
        <w:pStyle w:val="Notedebasdepage"/>
        <w:rPr>
          <w:lang w:val="fr-FR"/>
        </w:rPr>
      </w:pPr>
      <w:r w:rsidRPr="00326BA7">
        <w:rPr>
          <w:lang w:val="fr-FR"/>
        </w:rPr>
        <w:tab/>
      </w:r>
      <w:r w:rsidRPr="0098444E">
        <w:rPr>
          <w:rStyle w:val="Appelnotedebasdep"/>
        </w:rPr>
        <w:footnoteRef/>
      </w:r>
      <w:r w:rsidRPr="001F5DAE">
        <w:rPr>
          <w:lang w:val="fr-FR"/>
        </w:rPr>
        <w:tab/>
      </w:r>
      <w:r w:rsidRPr="00326BA7">
        <w:rPr>
          <w:lang w:val="fr-FR"/>
        </w:rPr>
        <w:t>Cette valeur limite se fonde sur les critères de blessure applicables au mannequin Hybrid III Femme du 5</w:t>
      </w:r>
      <w:r w:rsidRPr="00326BA7">
        <w:rPr>
          <w:vertAlign w:val="superscript"/>
          <w:lang w:val="fr-FR"/>
        </w:rPr>
        <w:t>e</w:t>
      </w:r>
      <w:r w:rsidRPr="00326BA7">
        <w:rPr>
          <w:lang w:val="fr-FR"/>
        </w:rPr>
        <w:t> centile âgée de 65 ans, et il devrait s’appliquer uniquement au siège passager latéral avant dans les conditions de charge et d’essai spécifiées dans le présent Règlement. Il conviendra de n’en étendre l’utilisation qu’après des études plus poussées</w:t>
      </w:r>
      <w:r w:rsidRPr="001F5DAE">
        <w:rPr>
          <w:rFonts w:eastAsia="MS Mincho"/>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FD9D" w14:textId="2A431AD8" w:rsidR="00F817F9" w:rsidRPr="00F817F9" w:rsidRDefault="00455B6B">
    <w:pPr>
      <w:pStyle w:val="En-tte"/>
    </w:pPr>
    <w:r>
      <w:fldChar w:fldCharType="begin"/>
    </w:r>
    <w:r>
      <w:instrText xml:space="preserve"> TITLE  \* MERGEFORMAT </w:instrText>
    </w:r>
    <w:r>
      <w:fldChar w:fldCharType="separate"/>
    </w:r>
    <w:r>
      <w:t>ECE/TRANS/WP.29/GRSP/2019/37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B14A" w14:textId="4AC6A346" w:rsidR="00F817F9" w:rsidRPr="00F817F9" w:rsidRDefault="00455B6B" w:rsidP="00F817F9">
    <w:pPr>
      <w:pStyle w:val="En-tte"/>
      <w:jc w:val="right"/>
    </w:pPr>
    <w:r>
      <w:fldChar w:fldCharType="begin"/>
    </w:r>
    <w:r>
      <w:instrText xml:space="preserve"> TITLE  \* MERGEFORMAT </w:instrText>
    </w:r>
    <w:r>
      <w:fldChar w:fldCharType="separate"/>
    </w:r>
    <w:r>
      <w:t>ECE/TRANS/WP.29/GRSP/2019/37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2E67"/>
    <w:rsid w:val="00017F94"/>
    <w:rsid w:val="00023842"/>
    <w:rsid w:val="000334F9"/>
    <w:rsid w:val="00045FEB"/>
    <w:rsid w:val="0007796D"/>
    <w:rsid w:val="00086B40"/>
    <w:rsid w:val="000B7790"/>
    <w:rsid w:val="00102E39"/>
    <w:rsid w:val="00111F2F"/>
    <w:rsid w:val="0014365E"/>
    <w:rsid w:val="00143C66"/>
    <w:rsid w:val="00176178"/>
    <w:rsid w:val="001F525A"/>
    <w:rsid w:val="00223272"/>
    <w:rsid w:val="0024779E"/>
    <w:rsid w:val="00252768"/>
    <w:rsid w:val="00257168"/>
    <w:rsid w:val="00270E59"/>
    <w:rsid w:val="002744B8"/>
    <w:rsid w:val="002832AC"/>
    <w:rsid w:val="002B6841"/>
    <w:rsid w:val="002D7C93"/>
    <w:rsid w:val="00305801"/>
    <w:rsid w:val="003916DE"/>
    <w:rsid w:val="00421996"/>
    <w:rsid w:val="00441C3B"/>
    <w:rsid w:val="00446FE5"/>
    <w:rsid w:val="00452396"/>
    <w:rsid w:val="00455B6B"/>
    <w:rsid w:val="00477910"/>
    <w:rsid w:val="004837D8"/>
    <w:rsid w:val="004E2EED"/>
    <w:rsid w:val="004E468C"/>
    <w:rsid w:val="005505B7"/>
    <w:rsid w:val="00573BE5"/>
    <w:rsid w:val="00586ED3"/>
    <w:rsid w:val="00596AA9"/>
    <w:rsid w:val="005E4C80"/>
    <w:rsid w:val="00612E67"/>
    <w:rsid w:val="006867DB"/>
    <w:rsid w:val="0071601D"/>
    <w:rsid w:val="00721C20"/>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8DF"/>
    <w:rsid w:val="00B45F2E"/>
    <w:rsid w:val="00B500EF"/>
    <w:rsid w:val="00B765F7"/>
    <w:rsid w:val="00B83D9D"/>
    <w:rsid w:val="00BA0CA9"/>
    <w:rsid w:val="00C02897"/>
    <w:rsid w:val="00C97039"/>
    <w:rsid w:val="00CA3D8D"/>
    <w:rsid w:val="00D3439C"/>
    <w:rsid w:val="00DB1831"/>
    <w:rsid w:val="00DD3BFD"/>
    <w:rsid w:val="00DF6678"/>
    <w:rsid w:val="00E0299A"/>
    <w:rsid w:val="00E85C74"/>
    <w:rsid w:val="00E92BBA"/>
    <w:rsid w:val="00EA6547"/>
    <w:rsid w:val="00EF2E22"/>
    <w:rsid w:val="00F35BAF"/>
    <w:rsid w:val="00F660DF"/>
    <w:rsid w:val="00F817F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2E2D7"/>
  <w15:docId w15:val="{E6341346-BF97-41BB-9A83-6A89184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584</Words>
  <Characters>4090</Characters>
  <Application>Microsoft Office Word</Application>
  <DocSecurity>0</DocSecurity>
  <Lines>340</Lines>
  <Paragraphs>186</Paragraphs>
  <ScaleCrop>false</ScaleCrop>
  <HeadingPairs>
    <vt:vector size="2" baseType="variant">
      <vt:variant>
        <vt:lpstr>Titre</vt:lpstr>
      </vt:variant>
      <vt:variant>
        <vt:i4>1</vt:i4>
      </vt:variant>
    </vt:vector>
  </HeadingPairs>
  <TitlesOfParts>
    <vt:vector size="1" baseType="lpstr">
      <vt:lpstr>ECE/TRANS/WP.29/GRSP/2019/37</vt:lpstr>
    </vt:vector>
  </TitlesOfParts>
  <Company>DCM</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ECE/TRANS/WP.29/GRSP/2019/37</dc:title>
  <dc:subject/>
  <dc:creator>Valerie BERTIN</dc:creator>
  <cp:keywords/>
  <cp:lastModifiedBy>Valerie Bertin</cp:lastModifiedBy>
  <cp:revision>3</cp:revision>
  <cp:lastPrinted>2019-11-18T10:31:00Z</cp:lastPrinted>
  <dcterms:created xsi:type="dcterms:W3CDTF">2019-11-18T10:31:00Z</dcterms:created>
  <dcterms:modified xsi:type="dcterms:W3CDTF">2019-11-18T10:31:00Z</dcterms:modified>
</cp:coreProperties>
</file>