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A3C41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11C284" w14:textId="77777777" w:rsidR="002D5AAC" w:rsidRDefault="002D5AAC" w:rsidP="002C1E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6019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B270F1" w14:textId="77777777" w:rsidR="002D5AAC" w:rsidRDefault="002C1E1A" w:rsidP="002C1E1A">
            <w:pPr>
              <w:jc w:val="right"/>
            </w:pPr>
            <w:r w:rsidRPr="002C1E1A">
              <w:rPr>
                <w:sz w:val="40"/>
              </w:rPr>
              <w:t>ECE</w:t>
            </w:r>
            <w:r>
              <w:t>/TRANS/WP.29/GRSP/2019/20</w:t>
            </w:r>
          </w:p>
        </w:tc>
      </w:tr>
      <w:tr w:rsidR="002D5AAC" w:rsidRPr="00FA01CA" w14:paraId="69787A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A6677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E8D788" wp14:editId="30A179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DC3A8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BD9E37" w14:textId="77777777" w:rsidR="002D5AAC" w:rsidRDefault="002C1E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6B69AB" w14:textId="77777777" w:rsidR="002C1E1A" w:rsidRDefault="002C1E1A" w:rsidP="002C1E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25C175C0" w14:textId="77777777" w:rsidR="002C1E1A" w:rsidRDefault="002C1E1A" w:rsidP="002C1E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CF1C2C" w14:textId="77777777" w:rsidR="002C1E1A" w:rsidRPr="008D53B6" w:rsidRDefault="002C1E1A" w:rsidP="002C1E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F336E2" w14:textId="77777777" w:rsidR="002C1E1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8D5A97" w14:textId="77777777" w:rsidR="00C957A4" w:rsidRPr="000D528F" w:rsidRDefault="00C957A4" w:rsidP="00C957A4">
      <w:pPr>
        <w:spacing w:before="120"/>
        <w:rPr>
          <w:sz w:val="28"/>
          <w:szCs w:val="28"/>
        </w:rPr>
      </w:pPr>
      <w:r w:rsidRPr="000D528F">
        <w:rPr>
          <w:sz w:val="28"/>
          <w:szCs w:val="28"/>
        </w:rPr>
        <w:t>Комитет по внутреннему транспорту</w:t>
      </w:r>
    </w:p>
    <w:p w14:paraId="77D90834" w14:textId="77777777" w:rsidR="00C957A4" w:rsidRPr="000D528F" w:rsidRDefault="00C957A4" w:rsidP="00C957A4">
      <w:pPr>
        <w:spacing w:before="120"/>
        <w:rPr>
          <w:b/>
          <w:sz w:val="24"/>
          <w:szCs w:val="24"/>
        </w:rPr>
      </w:pPr>
      <w:r w:rsidRPr="000D528F">
        <w:rPr>
          <w:b/>
          <w:bCs/>
          <w:sz w:val="24"/>
          <w:szCs w:val="24"/>
        </w:rPr>
        <w:t>Всемирный форум для согласования правил</w:t>
      </w:r>
      <w:r w:rsidRPr="000D528F">
        <w:rPr>
          <w:b/>
          <w:bCs/>
          <w:sz w:val="24"/>
          <w:szCs w:val="24"/>
        </w:rPr>
        <w:br/>
        <w:t>в области транспортных средств</w:t>
      </w:r>
    </w:p>
    <w:p w14:paraId="5C1C9951" w14:textId="77777777" w:rsidR="00C957A4" w:rsidRPr="000D528F" w:rsidRDefault="00C957A4" w:rsidP="00C957A4">
      <w:pPr>
        <w:spacing w:before="120"/>
        <w:rPr>
          <w:b/>
        </w:rPr>
      </w:pPr>
      <w:r w:rsidRPr="000D528F">
        <w:rPr>
          <w:b/>
          <w:bCs/>
        </w:rPr>
        <w:t>Рабочая группа по пассивной безопасности</w:t>
      </w:r>
    </w:p>
    <w:p w14:paraId="50329DF4" w14:textId="77777777" w:rsidR="00C957A4" w:rsidRPr="000D528F" w:rsidRDefault="00C957A4" w:rsidP="00C957A4">
      <w:pPr>
        <w:spacing w:before="120"/>
        <w:rPr>
          <w:b/>
        </w:rPr>
      </w:pPr>
      <w:r w:rsidRPr="000D528F">
        <w:rPr>
          <w:b/>
        </w:rPr>
        <w:t xml:space="preserve">Шестьдесят шестая </w:t>
      </w:r>
      <w:r w:rsidRPr="000D528F">
        <w:rPr>
          <w:b/>
          <w:bCs/>
        </w:rPr>
        <w:t>сессия</w:t>
      </w:r>
    </w:p>
    <w:p w14:paraId="40E27833" w14:textId="77777777" w:rsidR="00C957A4" w:rsidRPr="000D528F" w:rsidRDefault="00C957A4" w:rsidP="00C957A4">
      <w:r w:rsidRPr="000D528F">
        <w:t>Женева, 10–13 декабря 2019 года</w:t>
      </w:r>
    </w:p>
    <w:p w14:paraId="4B2A1F35" w14:textId="77777777" w:rsidR="00C957A4" w:rsidRPr="000D528F" w:rsidRDefault="00C957A4" w:rsidP="00C957A4">
      <w:r w:rsidRPr="000D528F">
        <w:t>Пункт 2 предварительной повестки дня</w:t>
      </w:r>
    </w:p>
    <w:p w14:paraId="29FC1690" w14:textId="77777777" w:rsidR="00C957A4" w:rsidRPr="000D528F" w:rsidRDefault="00C957A4" w:rsidP="00C957A4">
      <w:pPr>
        <w:rPr>
          <w:b/>
          <w:bCs/>
        </w:rPr>
      </w:pPr>
      <w:r w:rsidRPr="000D528F">
        <w:rPr>
          <w:b/>
          <w:bCs/>
        </w:rPr>
        <w:t xml:space="preserve">Глобальные технические правила № 7 ООН </w:t>
      </w:r>
      <w:r w:rsidR="0010583F">
        <w:rPr>
          <w:b/>
          <w:bCs/>
        </w:rPr>
        <w:br/>
      </w:r>
      <w:r w:rsidRPr="000D528F">
        <w:rPr>
          <w:b/>
          <w:bCs/>
        </w:rPr>
        <w:t>(подголовники)</w:t>
      </w:r>
    </w:p>
    <w:p w14:paraId="46FA51C7" w14:textId="77777777" w:rsidR="00C957A4" w:rsidRPr="000D528F" w:rsidRDefault="00C957A4" w:rsidP="00C957A4">
      <w:pPr>
        <w:pStyle w:val="HChG"/>
        <w:rPr>
          <w:bCs/>
        </w:rPr>
      </w:pPr>
      <w:r w:rsidRPr="000D528F">
        <w:tab/>
      </w:r>
      <w:r w:rsidRPr="000D528F">
        <w:tab/>
      </w:r>
      <w:r w:rsidRPr="000D528F">
        <w:rPr>
          <w:bCs/>
        </w:rPr>
        <w:t>Предложение по поправке 1 на этапе 2 разработки Глобальных технических правил № 7 ООН (подголовники)</w:t>
      </w:r>
    </w:p>
    <w:p w14:paraId="0C20135E" w14:textId="77777777" w:rsidR="00C957A4" w:rsidRPr="000D528F" w:rsidRDefault="00C957A4" w:rsidP="00C957A4">
      <w:pPr>
        <w:pStyle w:val="H1G"/>
      </w:pPr>
      <w:r w:rsidRPr="000D528F">
        <w:tab/>
      </w:r>
      <w:r w:rsidRPr="000D528F">
        <w:tab/>
        <w:t>Представлено экспертом от Европейской ассоциации поставщиков автомобильных деталей</w:t>
      </w:r>
      <w:r w:rsidRPr="00C957A4">
        <w:rPr>
          <w:rStyle w:val="aa"/>
          <w:b w:val="0"/>
          <w:sz w:val="20"/>
          <w:szCs w:val="24"/>
          <w:vertAlign w:val="baseline"/>
        </w:rPr>
        <w:footnoteReference w:customMarkFollows="1" w:id="1"/>
        <w:t>*</w:t>
      </w:r>
    </w:p>
    <w:p w14:paraId="4593A8FB" w14:textId="77777777" w:rsidR="00C957A4" w:rsidRPr="000D528F" w:rsidRDefault="00C957A4" w:rsidP="00C957A4">
      <w:pPr>
        <w:pStyle w:val="SingleTxtG"/>
        <w:ind w:firstLine="567"/>
      </w:pPr>
      <w:r w:rsidRPr="000D528F">
        <w:t xml:space="preserve">Воспроизведенный ниже текст был подготовлен экспертом от Европейской ассоциации поставщиков автомобильных деталей (КСАОД) с целью внесения изменений в предложение по поправке 1 (ECE/TRANS/WP.29/GRSP/2019/5 </w:t>
      </w:r>
      <w:r w:rsidRPr="000D528F">
        <w:rPr>
          <w:shd w:val="clear" w:color="auto" w:fill="FFFFFF"/>
        </w:rPr>
        <w:t xml:space="preserve">с поправками на основании документа </w:t>
      </w:r>
      <w:r w:rsidRPr="000D528F">
        <w:t>GRSP-65-24) к Глобальным техническим правилам № 7 по подголовникам, представленное Японией и неофициальной рабочей группой по этапу 2 разработки ГТП № 7. Настоящий документ основан на документе ECE/TRANS/WP.29/GRSP/2019/10 и заменяет его. Изменения к существующему тексту Глобальных технических правил № 7 ООН (ECE/TRANS/180/Add.7) выделены жирным шрифтом в случае новых положений или зачеркиванием в случае исключенных элементов.</w:t>
      </w:r>
    </w:p>
    <w:p w14:paraId="4CC688FD" w14:textId="77777777" w:rsidR="00C957A4" w:rsidRPr="000D528F" w:rsidRDefault="00C957A4" w:rsidP="00C957A4">
      <w:pPr>
        <w:suppressAutoHyphens w:val="0"/>
        <w:spacing w:line="240" w:lineRule="auto"/>
      </w:pPr>
      <w:r w:rsidRPr="000D528F">
        <w:br w:type="page"/>
      </w:r>
    </w:p>
    <w:p w14:paraId="778229A6" w14:textId="77777777" w:rsidR="00C957A4" w:rsidRPr="000D528F" w:rsidRDefault="00C957A4" w:rsidP="00C957A4">
      <w:pPr>
        <w:pStyle w:val="HChG"/>
        <w:rPr>
          <w:bCs/>
        </w:rPr>
      </w:pPr>
      <w:r w:rsidRPr="000D528F">
        <w:rPr>
          <w:bCs/>
        </w:rPr>
        <w:lastRenderedPageBreak/>
        <w:tab/>
      </w:r>
      <w:bookmarkStart w:id="0" w:name="_Hlk20827246"/>
      <w:r w:rsidRPr="000D528F">
        <w:rPr>
          <w:bCs/>
        </w:rPr>
        <w:t>I.</w:t>
      </w:r>
      <w:r w:rsidRPr="000D528F">
        <w:rPr>
          <w:bCs/>
        </w:rPr>
        <w:tab/>
        <w:t>Предложение</w:t>
      </w:r>
      <w:bookmarkEnd w:id="0"/>
    </w:p>
    <w:p w14:paraId="5784BA0B" w14:textId="77777777" w:rsidR="00C957A4" w:rsidRPr="000D528F" w:rsidRDefault="00C957A4" w:rsidP="00C957A4">
      <w:pPr>
        <w:spacing w:after="120"/>
        <w:ind w:left="1134" w:right="1134"/>
        <w:jc w:val="both"/>
        <w:rPr>
          <w:iCs/>
          <w:lang w:bidi="th-TH"/>
        </w:rPr>
      </w:pPr>
      <w:r w:rsidRPr="000D528F">
        <w:rPr>
          <w:i/>
          <w:lang w:bidi="th-TH"/>
        </w:rPr>
        <w:t>Пункт 5.4.4.5</w:t>
      </w:r>
      <w:r w:rsidRPr="000D528F">
        <w:rPr>
          <w:iCs/>
          <w:lang w:bidi="th-TH"/>
        </w:rPr>
        <w:t xml:space="preserve"> </w:t>
      </w:r>
      <w:r w:rsidRPr="000D528F">
        <w:t>изменить следующим образом</w:t>
      </w:r>
      <w:r w:rsidRPr="000D528F">
        <w:rPr>
          <w:iCs/>
          <w:lang w:bidi="th-TH"/>
        </w:rPr>
        <w:t>:</w:t>
      </w:r>
    </w:p>
    <w:p w14:paraId="19E211D6" w14:textId="77777777" w:rsidR="00C957A4" w:rsidRPr="000D528F" w:rsidRDefault="00C957A4" w:rsidP="00C957A4">
      <w:pPr>
        <w:spacing w:after="120"/>
        <w:ind w:left="2268" w:right="1134" w:hanging="1134"/>
        <w:jc w:val="both"/>
        <w:rPr>
          <w:lang w:bidi="th-TH"/>
        </w:rPr>
      </w:pPr>
      <w:r>
        <w:rPr>
          <w:lang w:bidi="th-TH"/>
        </w:rPr>
        <w:t>«</w:t>
      </w:r>
      <w:r w:rsidRPr="000D528F">
        <w:rPr>
          <w:lang w:bidi="th-TH"/>
        </w:rPr>
        <w:t>5.4.4.5</w:t>
      </w:r>
      <w:r w:rsidRPr="000D528F">
        <w:rPr>
          <w:lang w:bidi="th-TH"/>
        </w:rPr>
        <w:tab/>
      </w:r>
      <w:r w:rsidRPr="000D528F">
        <w:rPr>
          <w:b/>
          <w:bCs/>
        </w:rPr>
        <w:t>Для информирования о возможности установки в неиспользуемое положение</w:t>
      </w:r>
      <w:r w:rsidRPr="000D528F">
        <w:t xml:space="preserve"> </w:t>
      </w:r>
      <w:proofErr w:type="spellStart"/>
      <w:r w:rsidRPr="000D528F">
        <w:rPr>
          <w:strike/>
        </w:rPr>
        <w:t>Н</w:t>
      </w:r>
      <w:r w:rsidRPr="000D528F">
        <w:rPr>
          <w:b/>
          <w:bCs/>
        </w:rPr>
        <w:t>н</w:t>
      </w:r>
      <w:r w:rsidRPr="000D528F">
        <w:t>а</w:t>
      </w:r>
      <w:proofErr w:type="spellEnd"/>
      <w:r w:rsidRPr="000D528F">
        <w:t xml:space="preserve"> подголовник наносится маркировочный знак в виде пиктограммы, которая может включать пояснительный текст. Маркировочный знак либо указывает на то, что подголовник находится в неиспользуемом положении, либо содержит информацию, позволяющую пассажиру определить, находится ли подголовник в неиспользуемом положении. Маркировочный знак должен быть прочно прикреплен и расположен таким образом, чтобы пассажир, который садится в машину на соответствующее сидячее место, мог его четко видеть. </w:t>
      </w:r>
      <w:r w:rsidRPr="000D528F">
        <w:rPr>
          <w:b/>
          <w:bCs/>
        </w:rPr>
        <w:t>Число требуемых маркировочных знаков может не превышать число подголовников с возможностью установки в неиспользуемое положение.</w:t>
      </w:r>
      <w:r w:rsidRPr="000D528F">
        <w:t xml:space="preserve"> Примеры возможных схем пиктограмм показаны на рис. 1.</w:t>
      </w:r>
    </w:p>
    <w:p w14:paraId="10D3106B" w14:textId="77777777" w:rsidR="00C957A4" w:rsidRPr="000D528F" w:rsidRDefault="00C957A4" w:rsidP="00C957A4">
      <w:pPr>
        <w:spacing w:after="120"/>
        <w:ind w:left="2268" w:right="1134"/>
        <w:jc w:val="both"/>
        <w:rPr>
          <w:lang w:bidi="th-TH"/>
        </w:rPr>
      </w:pPr>
      <w:r w:rsidRPr="000D528F">
        <w:rPr>
          <w:lang w:bidi="th-TH"/>
        </w:rPr>
        <w:t>…</w:t>
      </w:r>
      <w:r>
        <w:rPr>
          <w:lang w:bidi="th-TH"/>
        </w:rPr>
        <w:t>»</w:t>
      </w:r>
    </w:p>
    <w:p w14:paraId="0C298BE7" w14:textId="77777777" w:rsidR="00C957A4" w:rsidRPr="000D528F" w:rsidRDefault="00C957A4" w:rsidP="00C957A4">
      <w:pPr>
        <w:spacing w:after="120"/>
        <w:ind w:left="1134" w:right="1134"/>
        <w:jc w:val="both"/>
        <w:rPr>
          <w:iCs/>
          <w:lang w:bidi="th-TH"/>
        </w:rPr>
      </w:pPr>
      <w:r w:rsidRPr="000D528F">
        <w:rPr>
          <w:i/>
          <w:lang w:bidi="th-TH"/>
        </w:rPr>
        <w:t>Приложение 2, пункт 2.1</w:t>
      </w:r>
      <w:r w:rsidRPr="000D528F">
        <w:rPr>
          <w:iCs/>
          <w:lang w:bidi="th-TH"/>
        </w:rPr>
        <w:t xml:space="preserve"> </w:t>
      </w:r>
      <w:r w:rsidRPr="000D528F">
        <w:t>изменить следующим образом</w:t>
      </w:r>
      <w:r w:rsidRPr="000D528F">
        <w:rPr>
          <w:iCs/>
          <w:lang w:bidi="th-TH"/>
        </w:rPr>
        <w:t>:</w:t>
      </w:r>
    </w:p>
    <w:p w14:paraId="30E8C4C8" w14:textId="77777777" w:rsidR="00C957A4" w:rsidRPr="000D528F" w:rsidRDefault="00C957A4" w:rsidP="00C957A4">
      <w:pPr>
        <w:pStyle w:val="SingleTxtG"/>
        <w:ind w:left="2268" w:hanging="1134"/>
        <w:rPr>
          <w:bCs/>
        </w:rPr>
      </w:pPr>
      <w:r>
        <w:rPr>
          <w:bCs/>
          <w:lang w:bidi="th-TH"/>
        </w:rPr>
        <w:t>«</w:t>
      </w:r>
      <w:r w:rsidRPr="000D528F">
        <w:rPr>
          <w:bCs/>
          <w:lang w:bidi="th-TH"/>
        </w:rPr>
        <w:t>2.1</w:t>
      </w:r>
      <w:r w:rsidRPr="000D528F">
        <w:rPr>
          <w:bCs/>
          <w:lang w:bidi="th-TH"/>
        </w:rPr>
        <w:tab/>
      </w:r>
      <w:r w:rsidRPr="000D528F">
        <w:t>Сиденье регулируется таким образом, чтобы его точка Н совпала с точкой R; если спинка сиденья регулируется, то ее устанавливают под конструкционным углом наклона; обе регулировки осуществляют в соответствии с требованиями пункта 2.1 приложения 1.</w:t>
      </w:r>
    </w:p>
    <w:p w14:paraId="6CD1F868" w14:textId="77777777" w:rsidR="00C957A4" w:rsidRPr="000D528F" w:rsidRDefault="00C957A4" w:rsidP="00C957A4">
      <w:pPr>
        <w:spacing w:after="120"/>
        <w:ind w:left="2268" w:right="1134" w:hanging="1134"/>
        <w:jc w:val="both"/>
        <w:rPr>
          <w:bCs/>
          <w:lang w:bidi="th-TH"/>
        </w:rPr>
      </w:pPr>
      <w:r w:rsidRPr="000D528F">
        <w:tab/>
      </w:r>
      <w:r w:rsidRPr="000D528F">
        <w:rPr>
          <w:b/>
          <w:bCs/>
        </w:rPr>
        <w:t>Подголовник устанавливают в самое высокое и крайнее заднее положение по отношению к спинке сиденья</w:t>
      </w:r>
      <w:r>
        <w:rPr>
          <w:bCs/>
          <w:lang w:bidi="th-TH"/>
        </w:rPr>
        <w:t>»</w:t>
      </w:r>
      <w:r w:rsidRPr="000D528F">
        <w:rPr>
          <w:bCs/>
          <w:lang w:bidi="th-TH"/>
        </w:rPr>
        <w:t>.</w:t>
      </w:r>
    </w:p>
    <w:p w14:paraId="4E33A01F" w14:textId="77777777" w:rsidR="00C957A4" w:rsidRPr="000D528F" w:rsidRDefault="00C957A4" w:rsidP="00C957A4">
      <w:pPr>
        <w:spacing w:after="120"/>
        <w:ind w:left="1134" w:right="1134"/>
        <w:jc w:val="both"/>
        <w:rPr>
          <w:bCs/>
          <w:snapToGrid w:val="0"/>
          <w:lang w:bidi="th-TH"/>
        </w:rPr>
      </w:pPr>
      <w:r w:rsidRPr="000D528F">
        <w:rPr>
          <w:i/>
          <w:lang w:bidi="th-TH"/>
        </w:rPr>
        <w:t>Приложение 3, пункт 2.3</w:t>
      </w:r>
      <w:r w:rsidRPr="000D528F">
        <w:rPr>
          <w:iCs/>
          <w:lang w:bidi="th-TH"/>
        </w:rPr>
        <w:t xml:space="preserve"> </w:t>
      </w:r>
      <w:r w:rsidRPr="000D528F">
        <w:t>изменить следующим образом</w:t>
      </w:r>
      <w:r w:rsidRPr="000D528F">
        <w:rPr>
          <w:iCs/>
          <w:lang w:bidi="th-TH"/>
        </w:rPr>
        <w:t>:</w:t>
      </w:r>
    </w:p>
    <w:p w14:paraId="2D92A64C" w14:textId="77777777" w:rsidR="00C957A4" w:rsidRPr="000D528F" w:rsidRDefault="00C957A4" w:rsidP="00343C64">
      <w:pPr>
        <w:snapToGrid w:val="0"/>
        <w:spacing w:after="120"/>
        <w:ind w:left="2268" w:right="1134" w:hanging="1134"/>
        <w:jc w:val="both"/>
        <w:rPr>
          <w:bCs/>
          <w:lang w:bidi="th-TH"/>
        </w:rPr>
      </w:pPr>
      <w:r>
        <w:rPr>
          <w:bCs/>
          <w:lang w:bidi="th-TH"/>
        </w:rPr>
        <w:t>«</w:t>
      </w:r>
      <w:r w:rsidRPr="000D528F">
        <w:rPr>
          <w:bCs/>
          <w:lang w:bidi="th-TH"/>
        </w:rPr>
        <w:t>2.3</w:t>
      </w:r>
      <w:r w:rsidRPr="000D528F">
        <w:rPr>
          <w:bCs/>
          <w:lang w:bidi="th-TH"/>
        </w:rPr>
        <w:tab/>
      </w:r>
      <w:r w:rsidRPr="000D528F">
        <w:t xml:space="preserve">Зоной измерения является любая точка между двумя вертикальными продольными плоскостями, проходящими на расстоянии 85 мм с той и с другой стороны от исходной линии туловища и </w:t>
      </w:r>
      <w:r w:rsidRPr="000D528F">
        <w:rPr>
          <w:strike/>
        </w:rPr>
        <w:t>выше верха спинки сиденья</w:t>
      </w:r>
      <w:r w:rsidRPr="000D528F">
        <w:t xml:space="preserve"> </w:t>
      </w:r>
      <w:r w:rsidRPr="000D528F">
        <w:rPr>
          <w:b/>
          <w:bCs/>
        </w:rPr>
        <w:t>расположенными на высоте более 540 мм</w:t>
      </w:r>
      <w:r>
        <w:rPr>
          <w:bCs/>
          <w:lang w:bidi="th-TH"/>
        </w:rPr>
        <w:t>»</w:t>
      </w:r>
      <w:r w:rsidRPr="000D528F">
        <w:rPr>
          <w:bCs/>
          <w:lang w:bidi="th-TH"/>
        </w:rPr>
        <w:t>.</w:t>
      </w:r>
    </w:p>
    <w:p w14:paraId="6E026DB3" w14:textId="77777777" w:rsidR="00C957A4" w:rsidRPr="000D528F" w:rsidRDefault="00C957A4" w:rsidP="00C957A4">
      <w:pPr>
        <w:spacing w:after="120"/>
        <w:ind w:left="1134" w:right="1134"/>
        <w:jc w:val="both"/>
        <w:rPr>
          <w:bCs/>
          <w:snapToGrid w:val="0"/>
          <w:lang w:bidi="th-TH"/>
        </w:rPr>
      </w:pPr>
      <w:r w:rsidRPr="000D528F">
        <w:rPr>
          <w:i/>
          <w:lang w:bidi="th-TH"/>
        </w:rPr>
        <w:t>Приложение 3, пункт 2.5</w:t>
      </w:r>
      <w:r w:rsidRPr="000D528F">
        <w:rPr>
          <w:iCs/>
          <w:lang w:bidi="th-TH"/>
        </w:rPr>
        <w:t xml:space="preserve"> </w:t>
      </w:r>
      <w:r w:rsidRPr="000D528F">
        <w:t>изменить следующим образом</w:t>
      </w:r>
      <w:r w:rsidRPr="000D528F">
        <w:rPr>
          <w:iCs/>
          <w:lang w:bidi="th-TH"/>
        </w:rPr>
        <w:t>:</w:t>
      </w:r>
    </w:p>
    <w:p w14:paraId="6E375FCA" w14:textId="77777777" w:rsidR="00C957A4" w:rsidRPr="000D528F" w:rsidRDefault="00C957A4" w:rsidP="00B11AEB">
      <w:pPr>
        <w:pStyle w:val="SingleTxtG"/>
        <w:ind w:left="2268" w:hanging="1134"/>
        <w:rPr>
          <w:bCs/>
          <w:lang w:bidi="th-TH"/>
        </w:rPr>
      </w:pPr>
      <w:r>
        <w:rPr>
          <w:bCs/>
          <w:lang w:bidi="th-TH"/>
        </w:rPr>
        <w:t>«</w:t>
      </w:r>
      <w:r w:rsidRPr="000D528F">
        <w:rPr>
          <w:bCs/>
          <w:lang w:bidi="th-TH"/>
        </w:rPr>
        <w:t>2.5</w:t>
      </w:r>
      <w:r w:rsidRPr="000D528F">
        <w:rPr>
          <w:bCs/>
          <w:lang w:bidi="th-TH"/>
        </w:rPr>
        <w:tab/>
      </w:r>
      <w:r w:rsidR="00B11AEB">
        <w:tab/>
      </w:r>
      <w:r w:rsidRPr="000D528F">
        <w:t>Определить размер проема путем измерения расстояния по прямой линии между внутренними краями двух наиболее удаленных точек контакта, как показано на рис. 3-1</w:t>
      </w:r>
      <w:r w:rsidRPr="000D528F">
        <w:rPr>
          <w:b/>
          <w:bCs/>
        </w:rPr>
        <w:t>,</w:t>
      </w:r>
      <w:r w:rsidRPr="000D528F">
        <w:t xml:space="preserve"> </w:t>
      </w:r>
      <w:r w:rsidRPr="000D528F">
        <w:rPr>
          <w:strike/>
        </w:rPr>
        <w:t xml:space="preserve">и </w:t>
      </w:r>
      <w:r w:rsidRPr="000D528F">
        <w:t xml:space="preserve">3-2 </w:t>
      </w:r>
      <w:r w:rsidRPr="000D528F">
        <w:rPr>
          <w:b/>
          <w:bCs/>
        </w:rPr>
        <w:t>и 3-3</w:t>
      </w:r>
      <w:r>
        <w:rPr>
          <w:bCs/>
          <w:lang w:bidi="th-TH"/>
        </w:rPr>
        <w:t>»</w:t>
      </w:r>
      <w:r w:rsidRPr="000D528F">
        <w:rPr>
          <w:bCs/>
          <w:lang w:bidi="th-TH"/>
        </w:rPr>
        <w:t>.</w:t>
      </w:r>
    </w:p>
    <w:p w14:paraId="5D62BAA6" w14:textId="77777777" w:rsidR="00C957A4" w:rsidRPr="000D528F" w:rsidRDefault="00C957A4" w:rsidP="00C957A4">
      <w:pPr>
        <w:pageBreakBefore/>
        <w:spacing w:after="120"/>
        <w:ind w:left="567" w:right="1134" w:firstLine="567"/>
        <w:jc w:val="both"/>
        <w:rPr>
          <w:rFonts w:eastAsia="Yu Mincho"/>
          <w:iCs/>
        </w:rPr>
      </w:pPr>
      <w:r w:rsidRPr="000D528F">
        <w:rPr>
          <w:i/>
          <w:lang w:bidi="th-TH"/>
        </w:rPr>
        <w:lastRenderedPageBreak/>
        <w:t xml:space="preserve">Приложение </w:t>
      </w:r>
      <w:r w:rsidRPr="000D528F">
        <w:rPr>
          <w:rFonts w:eastAsia="Yu Mincho"/>
          <w:i/>
        </w:rPr>
        <w:t xml:space="preserve">3, включить новый рис. 3-3 </w:t>
      </w:r>
      <w:r w:rsidRPr="000D528F">
        <w:rPr>
          <w:rFonts w:eastAsia="Yu Mincho"/>
        </w:rPr>
        <w:t>следующего содержания</w:t>
      </w:r>
      <w:r w:rsidRPr="000D528F">
        <w:rPr>
          <w:rFonts w:eastAsia="Yu Mincho"/>
          <w:iCs/>
        </w:rPr>
        <w:t>:</w:t>
      </w:r>
    </w:p>
    <w:p w14:paraId="2F9F4C4B" w14:textId="77777777" w:rsidR="00C957A4" w:rsidRPr="000D528F" w:rsidRDefault="00C957A4" w:rsidP="00C957A4">
      <w:pPr>
        <w:spacing w:after="360"/>
        <w:ind w:left="1134" w:right="1134"/>
        <w:rPr>
          <w:iCs/>
        </w:rPr>
      </w:pPr>
      <w:r>
        <w:rPr>
          <w:rFonts w:eastAsia="Yu Mincho"/>
          <w:iCs/>
        </w:rPr>
        <w:t>«</w:t>
      </w:r>
      <w:r w:rsidRPr="000D528F">
        <w:rPr>
          <w:rFonts w:eastAsia="Yu Mincho"/>
          <w:iCs/>
        </w:rPr>
        <w:t>Рис. 3-3</w:t>
      </w:r>
      <w:r w:rsidRPr="000D528F">
        <w:rPr>
          <w:rFonts w:eastAsia="Yu Mincho"/>
          <w:b/>
          <w:snapToGrid w:val="0"/>
        </w:rPr>
        <w:t xml:space="preserve"> </w:t>
      </w:r>
      <w:r w:rsidRPr="000D528F">
        <w:rPr>
          <w:rFonts w:eastAsia="Yu Mincho"/>
          <w:b/>
          <w:snapToGrid w:val="0"/>
        </w:rPr>
        <w:br/>
      </w:r>
      <w:r w:rsidRPr="000D528F">
        <w:rPr>
          <w:b/>
          <w:bCs/>
        </w:rPr>
        <w:t>Часть проема выше 540 мм</w:t>
      </w:r>
    </w:p>
    <w:p w14:paraId="0D3EB8DC" w14:textId="77777777" w:rsidR="00C957A4" w:rsidRPr="00C957A4" w:rsidRDefault="00C957A4" w:rsidP="00C957A4">
      <w:pPr>
        <w:pStyle w:val="para"/>
        <w:suppressAutoHyphens/>
        <w:jc w:val="center"/>
        <w:rPr>
          <w:bCs/>
          <w:lang w:val="ru-RU" w:bidi="th-TH"/>
        </w:rPr>
      </w:pPr>
      <w:r w:rsidRPr="000D528F">
        <w:rPr>
          <w:bCs/>
          <w:noProof/>
          <w:snapToGrid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2044B" wp14:editId="715B8863">
                <wp:simplePos x="0" y="0"/>
                <wp:positionH relativeFrom="column">
                  <wp:posOffset>1529446</wp:posOffset>
                </wp:positionH>
                <wp:positionV relativeFrom="paragraph">
                  <wp:posOffset>27527</wp:posOffset>
                </wp:positionV>
                <wp:extent cx="2636614" cy="2737590"/>
                <wp:effectExtent l="0" t="0" r="0" b="571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614" cy="2737590"/>
                          <a:chOff x="-22440" y="0"/>
                          <a:chExt cx="2636614" cy="2737590"/>
                        </a:xfrm>
                      </wpg:grpSpPr>
                      <wps:wsp>
                        <wps:cNvPr id="5" name="Надпись 5"/>
                        <wps:cNvSpPr txBox="1"/>
                        <wps:spPr>
                          <a:xfrm>
                            <a:off x="308539" y="0"/>
                            <a:ext cx="2086852" cy="241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117E67" w14:textId="77777777" w:rsidR="00C957A4" w:rsidRPr="00351208" w:rsidRDefault="00C957A4" w:rsidP="00C957A4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51208">
                                <w:rPr>
                                  <w:b/>
                                  <w:sz w:val="18"/>
                                  <w:szCs w:val="18"/>
                                </w:rPr>
                                <w:t>Крайнее нижнее рабочее положение регулировки по высоте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-22440" y="549762"/>
                            <a:ext cx="847082" cy="28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62BAC1" w14:textId="77777777" w:rsidR="00C957A4" w:rsidRPr="00765D3B" w:rsidRDefault="00C957A4" w:rsidP="00C957A4">
                              <w:pPr>
                                <w:spacing w:line="21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5D3B">
                                <w:rPr>
                                  <w:b/>
                                  <w:sz w:val="18"/>
                                  <w:szCs w:val="18"/>
                                </w:rPr>
                                <w:t>Часть проема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765D3B">
                                <w:rPr>
                                  <w:b/>
                                  <w:sz w:val="18"/>
                                  <w:szCs w:val="18"/>
                                </w:rPr>
                                <w:t>выше 540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847083" y="1598798"/>
                            <a:ext cx="847082" cy="16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9A3B81" w14:textId="77777777" w:rsidR="00C957A4" w:rsidRPr="00A4423A" w:rsidRDefault="00C957A4" w:rsidP="00C957A4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423A">
                                <w:rPr>
                                  <w:b/>
                                  <w:sz w:val="18"/>
                                  <w:szCs w:val="18"/>
                                </w:rPr>
                                <w:t>Весь проем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2109290" y="2058802"/>
                            <a:ext cx="504884" cy="16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5CF635" w14:textId="77777777" w:rsidR="00C957A4" w:rsidRPr="00A4423A" w:rsidRDefault="00C957A4" w:rsidP="00C957A4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540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218783" y="2574906"/>
                            <a:ext cx="504884" cy="16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9B3A97" w14:textId="77777777" w:rsidR="00C957A4" w:rsidRPr="00A4423A" w:rsidRDefault="00C957A4" w:rsidP="00C957A4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423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Точка </w:t>
                              </w:r>
                              <w:r w:rsidRPr="00A4423A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2044B" id="Группа 4" o:spid="_x0000_s1026" style="position:absolute;left:0;text-align:left;margin-left:120.45pt;margin-top:2.15pt;width:207.6pt;height:215.55pt;z-index:251659264;mso-width-relative:margin" coordorigin="-224" coordsize="26366,2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3085;width:2086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p w14:paraId="1B117E67" w14:textId="77777777" w:rsidR="00C957A4" w:rsidRPr="00351208" w:rsidRDefault="00C957A4" w:rsidP="00C957A4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1208">
                          <w:rPr>
                            <w:b/>
                            <w:sz w:val="18"/>
                            <w:szCs w:val="18"/>
                          </w:rPr>
                          <w:t>Крайнее нижнее рабочее положение регулировки по высоте</w:t>
                        </w:r>
                      </w:p>
                    </w:txbxContent>
                  </v:textbox>
                </v:shape>
                <v:shape id="Надпись 6" o:spid="_x0000_s1028" type="#_x0000_t202" style="position:absolute;left:-224;top:5497;width:8470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" fillcolor="white [3201]" stroked="f" strokeweight=".5pt">
                  <v:textbox inset="0,0,0,0">
                    <w:txbxContent>
                      <w:p w14:paraId="5262BAC1" w14:textId="77777777" w:rsidR="00C957A4" w:rsidRPr="00765D3B" w:rsidRDefault="00C957A4" w:rsidP="00C957A4">
                        <w:pPr>
                          <w:spacing w:line="216" w:lineRule="auto"/>
                          <w:rPr>
                            <w:sz w:val="18"/>
                            <w:szCs w:val="18"/>
                          </w:rPr>
                        </w:pPr>
                        <w:r w:rsidRPr="00765D3B">
                          <w:rPr>
                            <w:b/>
                            <w:sz w:val="18"/>
                            <w:szCs w:val="18"/>
                          </w:rPr>
                          <w:t>Часть проема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765D3B">
                          <w:rPr>
                            <w:b/>
                            <w:sz w:val="18"/>
                            <w:szCs w:val="18"/>
                          </w:rPr>
                          <w:t>выше 540 мм</w:t>
                        </w:r>
                      </w:p>
                    </w:txbxContent>
                  </v:textbox>
                </v:shape>
                <v:shape id="Надпись 7" o:spid="_x0000_s1029" type="#_x0000_t202" style="position:absolute;left:8470;top:15987;width:8471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  <v:textbox inset="0,0,0,0">
                    <w:txbxContent>
                      <w:p w14:paraId="059A3B81" w14:textId="77777777" w:rsidR="00C957A4" w:rsidRPr="00A4423A" w:rsidRDefault="00C957A4" w:rsidP="00C957A4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423A">
                          <w:rPr>
                            <w:b/>
                            <w:sz w:val="18"/>
                            <w:szCs w:val="18"/>
                          </w:rPr>
                          <w:t>Весь проем</w:t>
                        </w:r>
                      </w:p>
                    </w:txbxContent>
                  </v:textbox>
                </v:shape>
                <v:shape id="Надпись 8" o:spid="_x0000_s1030" type="#_x0000_t202" style="position:absolute;left:21092;top:20588;width:504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" fillcolor="white [3201]" stroked="f" strokeweight=".5pt">
                  <v:textbox inset="0,0,0,0">
                    <w:txbxContent>
                      <w:p w14:paraId="025CF635" w14:textId="77777777" w:rsidR="00C957A4" w:rsidRPr="00A4423A" w:rsidRDefault="00C957A4" w:rsidP="00C957A4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540 мм</w:t>
                        </w:r>
                      </w:p>
                    </w:txbxContent>
                  </v:textbox>
                </v:shape>
                <v:shape id="Надпись 9" o:spid="_x0000_s1031" type="#_x0000_t202" style="position:absolute;left:2187;top:25749;width:5049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" fillcolor="white [3201]" stroked="f" strokeweight=".5pt">
                  <v:textbox inset="0,0,0,0">
                    <w:txbxContent>
                      <w:p w14:paraId="0A9B3A97" w14:textId="77777777" w:rsidR="00C957A4" w:rsidRPr="00A4423A" w:rsidRDefault="00C957A4" w:rsidP="00C957A4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423A">
                          <w:rPr>
                            <w:b/>
                            <w:sz w:val="18"/>
                            <w:szCs w:val="18"/>
                          </w:rPr>
                          <w:t xml:space="preserve">Точка </w:t>
                        </w:r>
                        <w:r w:rsidRPr="00A4423A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528F">
        <w:rPr>
          <w:bCs/>
          <w:noProof/>
          <w:lang w:val="en-US"/>
        </w:rPr>
        <w:drawing>
          <wp:inline distT="0" distB="0" distL="0" distR="0" wp14:anchorId="5F8C2151" wp14:editId="1DE71B3C">
            <wp:extent cx="3097530" cy="3101457"/>
            <wp:effectExtent l="0" t="0" r="7620" b="381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1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ru-RU" w:bidi="th-TH"/>
        </w:rPr>
        <w:t>»</w:t>
      </w:r>
    </w:p>
    <w:p w14:paraId="3A467AB5" w14:textId="77777777" w:rsidR="00C957A4" w:rsidRPr="000D528F" w:rsidRDefault="00C957A4" w:rsidP="00C957A4">
      <w:pPr>
        <w:spacing w:after="120"/>
        <w:ind w:left="567" w:right="1134" w:firstLine="567"/>
        <w:jc w:val="both"/>
        <w:rPr>
          <w:bCs/>
          <w:iCs/>
          <w:snapToGrid w:val="0"/>
          <w:lang w:bidi="th-TH"/>
        </w:rPr>
      </w:pPr>
      <w:r w:rsidRPr="000D528F">
        <w:rPr>
          <w:i/>
          <w:lang w:bidi="th-TH"/>
        </w:rPr>
        <w:t>Приложение 3, пункт 3.3</w:t>
      </w:r>
      <w:r w:rsidRPr="000D528F">
        <w:rPr>
          <w:iCs/>
          <w:lang w:bidi="th-TH"/>
        </w:rPr>
        <w:t xml:space="preserve"> </w:t>
      </w:r>
      <w:r w:rsidRPr="000D528F">
        <w:t>изменить следующим образом</w:t>
      </w:r>
      <w:r w:rsidRPr="000D528F">
        <w:rPr>
          <w:iCs/>
          <w:lang w:bidi="th-TH"/>
        </w:rPr>
        <w:t>:</w:t>
      </w:r>
    </w:p>
    <w:p w14:paraId="3CDE40BB" w14:textId="77777777" w:rsidR="00C957A4" w:rsidRPr="000D528F" w:rsidRDefault="00C957A4" w:rsidP="00C957A4">
      <w:pPr>
        <w:pStyle w:val="SingleTxtG"/>
        <w:ind w:left="2268" w:hanging="1134"/>
        <w:rPr>
          <w:bCs/>
          <w:lang w:bidi="th-TH"/>
        </w:rPr>
      </w:pPr>
      <w:r>
        <w:rPr>
          <w:bCs/>
          <w:lang w:bidi="th-TH"/>
        </w:rPr>
        <w:t>«</w:t>
      </w:r>
      <w:r w:rsidRPr="000D528F">
        <w:rPr>
          <w:bCs/>
          <w:lang w:bidi="th-TH"/>
        </w:rPr>
        <w:t>3.3</w:t>
      </w:r>
      <w:r w:rsidRPr="000D528F">
        <w:rPr>
          <w:bCs/>
          <w:lang w:bidi="th-TH"/>
        </w:rPr>
        <w:tab/>
      </w:r>
      <w:r>
        <w:rPr>
          <w:bCs/>
          <w:lang w:bidi="th-TH"/>
        </w:rPr>
        <w:tab/>
      </w:r>
      <w:r w:rsidRPr="000D528F">
        <w:t>Проем между низом подголовника и верхом сиденья измеряется в качестве расстояния, перпендикулярного обеим параллельным плоскостям, как это описано ниже (см. рис. 3-</w:t>
      </w:r>
      <w:r w:rsidRPr="000D528F">
        <w:rPr>
          <w:strike/>
        </w:rPr>
        <w:t>3</w:t>
      </w:r>
      <w:r w:rsidRPr="000D528F">
        <w:rPr>
          <w:b/>
          <w:bCs/>
        </w:rPr>
        <w:t>4</w:t>
      </w:r>
      <w:r w:rsidRPr="000D528F">
        <w:t>)</w:t>
      </w:r>
      <w:r w:rsidRPr="000D528F">
        <w:rPr>
          <w:bCs/>
          <w:lang w:bidi="th-TH"/>
        </w:rPr>
        <w:t>:</w:t>
      </w:r>
      <w:r>
        <w:rPr>
          <w:bCs/>
          <w:lang w:bidi="th-TH"/>
        </w:rPr>
        <w:t>».</w:t>
      </w:r>
    </w:p>
    <w:p w14:paraId="35660AA5" w14:textId="77777777" w:rsidR="00C957A4" w:rsidRPr="000D528F" w:rsidRDefault="00C957A4" w:rsidP="00C957A4">
      <w:pPr>
        <w:spacing w:after="120"/>
        <w:ind w:left="1134" w:right="1134"/>
        <w:jc w:val="both"/>
        <w:rPr>
          <w:rFonts w:eastAsia="Yu Mincho"/>
        </w:rPr>
      </w:pPr>
      <w:r w:rsidRPr="000D528F">
        <w:rPr>
          <w:i/>
          <w:lang w:bidi="th-TH"/>
        </w:rPr>
        <w:t xml:space="preserve">Приложение </w:t>
      </w:r>
      <w:r w:rsidRPr="000D528F">
        <w:rPr>
          <w:rFonts w:eastAsia="Yu Mincho"/>
          <w:i/>
        </w:rPr>
        <w:t>3, рис. 3-3 (прежний)</w:t>
      </w:r>
      <w:r w:rsidRPr="000D528F">
        <w:rPr>
          <w:rFonts w:eastAsia="Yu Mincho"/>
          <w:iCs/>
        </w:rPr>
        <w:t xml:space="preserve"> </w:t>
      </w:r>
      <w:r w:rsidRPr="000D528F">
        <w:rPr>
          <w:rFonts w:eastAsia="MS Mincho"/>
          <w:bCs/>
        </w:rPr>
        <w:t>пронумеровать как рис.</w:t>
      </w:r>
      <w:r w:rsidRPr="000D528F">
        <w:rPr>
          <w:rFonts w:eastAsia="Yu Mincho"/>
          <w:i/>
        </w:rPr>
        <w:t xml:space="preserve"> </w:t>
      </w:r>
      <w:r w:rsidRPr="000D528F">
        <w:rPr>
          <w:rFonts w:eastAsia="Yu Mincho"/>
          <w:iCs/>
        </w:rPr>
        <w:t>3-4</w:t>
      </w:r>
      <w:r w:rsidRPr="000D528F">
        <w:rPr>
          <w:rFonts w:eastAsia="Yu Mincho"/>
        </w:rPr>
        <w:t>.</w:t>
      </w:r>
    </w:p>
    <w:p w14:paraId="26B32513" w14:textId="77777777" w:rsidR="00C957A4" w:rsidRPr="000D528F" w:rsidRDefault="00C957A4" w:rsidP="00C957A4">
      <w:pPr>
        <w:spacing w:after="120"/>
        <w:ind w:left="1134" w:right="1134"/>
        <w:jc w:val="both"/>
        <w:rPr>
          <w:rFonts w:eastAsia="Yu Mincho"/>
          <w:i/>
        </w:rPr>
      </w:pPr>
      <w:r w:rsidRPr="000D528F">
        <w:rPr>
          <w:i/>
          <w:lang w:bidi="th-TH"/>
        </w:rPr>
        <w:t xml:space="preserve">Приложение </w:t>
      </w:r>
      <w:r w:rsidRPr="000D528F">
        <w:rPr>
          <w:rFonts w:eastAsia="Yu Mincho"/>
          <w:i/>
        </w:rPr>
        <w:t xml:space="preserve">4 </w:t>
      </w:r>
      <w:r w:rsidRPr="000D528F">
        <w:rPr>
          <w:rFonts w:eastAsia="Yu Mincho"/>
          <w:iCs/>
        </w:rPr>
        <w:t>исключить</w:t>
      </w:r>
      <w:r w:rsidRPr="000D528F">
        <w:rPr>
          <w:rFonts w:eastAsia="Yu Mincho"/>
          <w:i/>
        </w:rPr>
        <w:t>.</w:t>
      </w:r>
    </w:p>
    <w:p w14:paraId="41A2082B" w14:textId="77777777" w:rsidR="00C957A4" w:rsidRPr="000D528F" w:rsidRDefault="00C957A4" w:rsidP="00C957A4">
      <w:pPr>
        <w:spacing w:after="120"/>
        <w:ind w:left="1134" w:right="1134"/>
        <w:jc w:val="both"/>
        <w:rPr>
          <w:rFonts w:eastAsia="Yu Mincho"/>
          <w:iCs/>
        </w:rPr>
      </w:pPr>
      <w:r w:rsidRPr="000D528F">
        <w:rPr>
          <w:rFonts w:eastAsia="MS Mincho"/>
          <w:bCs/>
          <w:i/>
          <w:iCs/>
        </w:rPr>
        <w:t xml:space="preserve">Приложения </w:t>
      </w:r>
      <w:r w:rsidRPr="000D528F">
        <w:rPr>
          <w:rFonts w:eastAsia="Yu Mincho"/>
          <w:i/>
        </w:rPr>
        <w:t>5</w:t>
      </w:r>
      <w:r w:rsidRPr="000D528F">
        <w:rPr>
          <w:i/>
        </w:rPr>
        <w:t>–</w:t>
      </w:r>
      <w:r w:rsidRPr="000D528F">
        <w:rPr>
          <w:rFonts w:eastAsia="Yu Mincho"/>
          <w:i/>
        </w:rPr>
        <w:t>7 (</w:t>
      </w:r>
      <w:r w:rsidRPr="000D528F">
        <w:rPr>
          <w:rFonts w:eastAsia="MS Mincho"/>
          <w:bCs/>
          <w:i/>
          <w:iCs/>
        </w:rPr>
        <w:t>прежние</w:t>
      </w:r>
      <w:r w:rsidRPr="000D528F">
        <w:rPr>
          <w:rFonts w:eastAsia="Yu Mincho"/>
          <w:i/>
        </w:rPr>
        <w:t>)</w:t>
      </w:r>
      <w:r w:rsidRPr="000D528F">
        <w:rPr>
          <w:rFonts w:eastAsia="Yu Mincho"/>
          <w:iCs/>
        </w:rPr>
        <w:t xml:space="preserve"> </w:t>
      </w:r>
      <w:r w:rsidRPr="000D528F">
        <w:rPr>
          <w:rFonts w:eastAsia="MS Mincho"/>
          <w:bCs/>
        </w:rPr>
        <w:t xml:space="preserve">пронумеровать как приложения </w:t>
      </w:r>
      <w:r w:rsidRPr="000D528F">
        <w:rPr>
          <w:rFonts w:eastAsia="Yu Mincho"/>
          <w:iCs/>
        </w:rPr>
        <w:t>4</w:t>
      </w:r>
      <w:r w:rsidRPr="000D528F">
        <w:rPr>
          <w:i/>
        </w:rPr>
        <w:t>–</w:t>
      </w:r>
      <w:r w:rsidRPr="000D528F">
        <w:rPr>
          <w:rFonts w:eastAsia="Yu Mincho"/>
          <w:iCs/>
        </w:rPr>
        <w:t>6.</w:t>
      </w:r>
    </w:p>
    <w:p w14:paraId="0020314B" w14:textId="77777777" w:rsidR="00C957A4" w:rsidRPr="000D528F" w:rsidRDefault="00C957A4" w:rsidP="00C957A4">
      <w:pPr>
        <w:spacing w:after="120"/>
        <w:ind w:left="1134" w:right="1134"/>
        <w:jc w:val="both"/>
        <w:rPr>
          <w:iCs/>
          <w:lang w:bidi="th-TH"/>
        </w:rPr>
      </w:pPr>
      <w:r w:rsidRPr="000D528F">
        <w:rPr>
          <w:i/>
          <w:lang w:bidi="th-TH"/>
        </w:rPr>
        <w:t xml:space="preserve">Приложение 8 (прежнее) </w:t>
      </w:r>
      <w:r w:rsidRPr="000D528F">
        <w:rPr>
          <w:rFonts w:eastAsia="MS Mincho"/>
          <w:bCs/>
        </w:rPr>
        <w:t>пронумеровать как приложение</w:t>
      </w:r>
      <w:r w:rsidRPr="000D528F">
        <w:rPr>
          <w:iCs/>
          <w:lang w:bidi="th-TH"/>
        </w:rPr>
        <w:t xml:space="preserve"> 7 и </w:t>
      </w:r>
      <w:r w:rsidRPr="000D528F">
        <w:rPr>
          <w:i/>
          <w:iCs/>
          <w:lang w:bidi="th-TH"/>
        </w:rPr>
        <w:t>включить новый пункт</w:t>
      </w:r>
      <w:r>
        <w:rPr>
          <w:i/>
          <w:iCs/>
          <w:lang w:bidi="th-TH"/>
        </w:rPr>
        <w:t> </w:t>
      </w:r>
      <w:r w:rsidRPr="000D528F">
        <w:rPr>
          <w:i/>
          <w:iCs/>
          <w:lang w:bidi="th-TH"/>
        </w:rPr>
        <w:t>2.10</w:t>
      </w:r>
      <w:r w:rsidRPr="000D528F">
        <w:rPr>
          <w:iCs/>
          <w:lang w:bidi="th-TH"/>
        </w:rPr>
        <w:t xml:space="preserve"> </w:t>
      </w:r>
      <w:r w:rsidRPr="000D528F">
        <w:rPr>
          <w:rFonts w:eastAsia="Yu Mincho"/>
        </w:rPr>
        <w:t>следующего содержания:</w:t>
      </w:r>
    </w:p>
    <w:p w14:paraId="6E0FAB49" w14:textId="77777777" w:rsidR="00C957A4" w:rsidRPr="000D528F" w:rsidRDefault="00C957A4" w:rsidP="00C957A4">
      <w:pPr>
        <w:spacing w:after="120"/>
        <w:ind w:left="2268" w:right="1134" w:hanging="1134"/>
        <w:jc w:val="both"/>
        <w:rPr>
          <w:rFonts w:eastAsia="MS Mincho"/>
          <w:b/>
        </w:rPr>
      </w:pPr>
      <w:r>
        <w:rPr>
          <w:rFonts w:eastAsia="MS Mincho"/>
          <w:bCs/>
        </w:rPr>
        <w:t>«</w:t>
      </w:r>
      <w:r w:rsidRPr="000D528F">
        <w:rPr>
          <w:rFonts w:eastAsia="MS Mincho"/>
          <w:b/>
        </w:rPr>
        <w:t>2.10</w:t>
      </w:r>
      <w:r w:rsidRPr="000D528F">
        <w:rPr>
          <w:rFonts w:eastAsia="MS Mincho"/>
          <w:b/>
        </w:rPr>
        <w:tab/>
      </w:r>
      <w:r w:rsidRPr="000D528F">
        <w:rPr>
          <w:b/>
          <w:bCs/>
        </w:rPr>
        <w:t>В качестве альтернативы, если изготовитель демонстрирует, что разница между исходными положениями цилиндра, измеренная согласно пунктам 2.3 и 2.6 настоящего приложения, меньше значения, предписанного в пункте 5.2.2 настоящих Правил, результат испытания также будет соответствовать пункту 5.2.2 настоящих Правил.</w:t>
      </w:r>
      <w:r w:rsidRPr="000D528F">
        <w:t xml:space="preserve"> </w:t>
      </w:r>
      <w:r w:rsidRPr="000D528F">
        <w:rPr>
          <w:b/>
          <w:bCs/>
        </w:rPr>
        <w:t>В этом случае регистрировать измерения, предусмотренные в пунктах 2.4 и 2.7 приложения 7, не нужно</w:t>
      </w:r>
      <w:r>
        <w:rPr>
          <w:rFonts w:eastAsia="MS Mincho"/>
          <w:bCs/>
        </w:rPr>
        <w:t>»</w:t>
      </w:r>
      <w:r w:rsidRPr="000D528F">
        <w:rPr>
          <w:rFonts w:eastAsia="MS Mincho"/>
          <w:bCs/>
        </w:rPr>
        <w:t>.</w:t>
      </w:r>
    </w:p>
    <w:p w14:paraId="6A2B13B1" w14:textId="77777777" w:rsidR="00C957A4" w:rsidRPr="000D528F" w:rsidRDefault="00C957A4" w:rsidP="00C957A4">
      <w:pPr>
        <w:spacing w:after="120"/>
        <w:ind w:left="2268" w:right="1134" w:hanging="1134"/>
        <w:jc w:val="both"/>
        <w:rPr>
          <w:rFonts w:eastAsia="MS Mincho"/>
          <w:b/>
        </w:rPr>
      </w:pPr>
      <w:r w:rsidRPr="000D528F">
        <w:rPr>
          <w:rFonts w:eastAsia="MS Mincho"/>
          <w:bCs/>
          <w:i/>
          <w:iCs/>
        </w:rPr>
        <w:t>Приложения 9</w:t>
      </w:r>
      <w:r w:rsidRPr="000D528F">
        <w:rPr>
          <w:i/>
        </w:rPr>
        <w:t>–</w:t>
      </w:r>
      <w:r w:rsidRPr="000D528F">
        <w:rPr>
          <w:rFonts w:eastAsia="MS Mincho"/>
          <w:bCs/>
          <w:i/>
          <w:iCs/>
        </w:rPr>
        <w:t>13 (прежние)</w:t>
      </w:r>
      <w:r w:rsidRPr="000D528F">
        <w:rPr>
          <w:rFonts w:eastAsia="MS Mincho"/>
          <w:bCs/>
        </w:rPr>
        <w:t xml:space="preserve"> пронумеровать как приложения </w:t>
      </w:r>
      <w:r w:rsidRPr="000D528F">
        <w:rPr>
          <w:rFonts w:eastAsia="Yu Mincho"/>
          <w:iCs/>
        </w:rPr>
        <w:t>8</w:t>
      </w:r>
      <w:r w:rsidRPr="000D528F">
        <w:rPr>
          <w:i/>
        </w:rPr>
        <w:t>–</w:t>
      </w:r>
      <w:r w:rsidRPr="000D528F">
        <w:rPr>
          <w:rFonts w:eastAsia="Yu Mincho"/>
          <w:iCs/>
        </w:rPr>
        <w:t>12.</w:t>
      </w:r>
    </w:p>
    <w:p w14:paraId="119F656A" w14:textId="77777777" w:rsidR="00C957A4" w:rsidRPr="000D528F" w:rsidRDefault="00C957A4" w:rsidP="00C957A4">
      <w:pPr>
        <w:pStyle w:val="HChG"/>
        <w:rPr>
          <w:bCs/>
        </w:rPr>
      </w:pPr>
      <w:r w:rsidRPr="000D528F">
        <w:rPr>
          <w:bCs/>
        </w:rPr>
        <w:tab/>
        <w:t>II.</w:t>
      </w:r>
      <w:r w:rsidRPr="000D528F">
        <w:rPr>
          <w:bCs/>
        </w:rPr>
        <w:tab/>
      </w:r>
      <w:r w:rsidRPr="000D528F">
        <w:t>Обоснование</w:t>
      </w:r>
    </w:p>
    <w:p w14:paraId="2B024D81" w14:textId="77777777" w:rsidR="00C957A4" w:rsidRPr="000D528F" w:rsidRDefault="00C957A4" w:rsidP="00C957A4">
      <w:pPr>
        <w:pStyle w:val="SingleTxtG"/>
        <w:spacing w:before="240" w:after="0"/>
      </w:pPr>
      <w:r w:rsidRPr="000D528F">
        <w:t>1.</w:t>
      </w:r>
      <w:r w:rsidRPr="000D528F">
        <w:tab/>
        <w:t>В настоящем документе уточняется подход к применению и пониманию альтернативных положений, касающихся требований в статических условиях, этапа 2 ГТП № 7, по которым – как выяснилось – не имеется полн</w:t>
      </w:r>
      <w:r w:rsidRPr="000D528F">
        <w:rPr>
          <w:shd w:val="clear" w:color="auto" w:fill="FFFFFF"/>
        </w:rPr>
        <w:t xml:space="preserve">ой явности. Он также предусматривает приведение предписаний в отношении </w:t>
      </w:r>
      <w:r w:rsidRPr="000D528F">
        <w:t>зоны, в которой производится измерение проема,</w:t>
      </w:r>
      <w:r w:rsidRPr="000D528F">
        <w:rPr>
          <w:shd w:val="clear" w:color="auto" w:fill="FFFFFF"/>
        </w:rPr>
        <w:t xml:space="preserve"> в соответствие с фактической практикой согласно Правилам № 17 ООН и </w:t>
      </w:r>
      <w:r w:rsidRPr="000D528F">
        <w:t>Федеральному стандарту по безопасности механических транспортных средств</w:t>
      </w:r>
      <w:r>
        <w:t> </w:t>
      </w:r>
      <w:r w:rsidRPr="000D528F">
        <w:t>№ 202, когда проемы измеряются только в зоне, расположенной выше</w:t>
      </w:r>
      <w:r>
        <w:t xml:space="preserve"> </w:t>
      </w:r>
      <w:r w:rsidRPr="000D528F">
        <w:t>540</w:t>
      </w:r>
      <w:r>
        <w:t> </w:t>
      </w:r>
      <w:r w:rsidRPr="000D528F">
        <w:t>мм.</w:t>
      </w:r>
    </w:p>
    <w:p w14:paraId="126417F8" w14:textId="77777777" w:rsidR="00C957A4" w:rsidRPr="000D528F" w:rsidRDefault="00C957A4" w:rsidP="00C957A4">
      <w:pPr>
        <w:pStyle w:val="SingleTxtG"/>
        <w:spacing w:before="240" w:after="0"/>
      </w:pPr>
      <w:r w:rsidRPr="000D528F">
        <w:lastRenderedPageBreak/>
        <w:t>2.</w:t>
      </w:r>
      <w:r w:rsidRPr="000D528F">
        <w:tab/>
        <w:t xml:space="preserve">Новый пункт 2.10 для приложения 7 </w:t>
      </w:r>
      <w:r>
        <w:t>«</w:t>
      </w:r>
      <w:r w:rsidRPr="000D528F">
        <w:t>Испытание на удержание подголовника на установленной высоте</w:t>
      </w:r>
      <w:r>
        <w:t>»</w:t>
      </w:r>
      <w:r w:rsidRPr="000D528F">
        <w:t xml:space="preserve"> направлен на облегчение проведения испытания в лабораторных условиях, когда измерить величину смещения в верхней части подголовника значительно проще. Поскольку верх подголовника смещается больше, чем его низ, то любой подголовник, отвечающий предъявляемому к смещению требованию в 25 мм уже в его верхней части, для целей испытания на удержание подголовника на устан</w:t>
      </w:r>
      <w:bookmarkStart w:id="1" w:name="_GoBack"/>
      <w:bookmarkEnd w:id="1"/>
      <w:r w:rsidRPr="000D528F">
        <w:t>овленной высоте будет считаться также соответствующим требованию в отношении смещения.</w:t>
      </w:r>
    </w:p>
    <w:p w14:paraId="24F85139" w14:textId="77777777" w:rsidR="00C957A4" w:rsidRPr="000D528F" w:rsidRDefault="00C957A4" w:rsidP="00C957A4">
      <w:pPr>
        <w:spacing w:before="240"/>
        <w:jc w:val="center"/>
        <w:rPr>
          <w:u w:val="single"/>
        </w:rPr>
      </w:pPr>
      <w:r w:rsidRPr="000D528F">
        <w:rPr>
          <w:u w:val="single"/>
        </w:rPr>
        <w:tab/>
      </w:r>
      <w:r w:rsidRPr="000D528F">
        <w:rPr>
          <w:u w:val="single"/>
        </w:rPr>
        <w:tab/>
      </w:r>
      <w:r w:rsidRPr="000D528F">
        <w:rPr>
          <w:u w:val="single"/>
        </w:rPr>
        <w:tab/>
      </w:r>
    </w:p>
    <w:p w14:paraId="6550C029" w14:textId="77777777" w:rsidR="00E12C5F" w:rsidRPr="008D53B6" w:rsidRDefault="00E12C5F" w:rsidP="00D9145B"/>
    <w:sectPr w:rsidR="00E12C5F" w:rsidRPr="008D53B6" w:rsidSect="002C1E1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085A" w14:textId="77777777" w:rsidR="0043422F" w:rsidRPr="00A312BC" w:rsidRDefault="0043422F" w:rsidP="00A312BC"/>
  </w:endnote>
  <w:endnote w:type="continuationSeparator" w:id="0">
    <w:p w14:paraId="5C034E42" w14:textId="77777777" w:rsidR="0043422F" w:rsidRPr="00A312BC" w:rsidRDefault="004342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0F7B" w14:textId="77777777" w:rsidR="002C1E1A" w:rsidRPr="002C1E1A" w:rsidRDefault="002C1E1A">
    <w:pPr>
      <w:pStyle w:val="a8"/>
    </w:pPr>
    <w:r w:rsidRPr="002C1E1A">
      <w:rPr>
        <w:b/>
        <w:sz w:val="18"/>
      </w:rPr>
      <w:fldChar w:fldCharType="begin"/>
    </w:r>
    <w:r w:rsidRPr="002C1E1A">
      <w:rPr>
        <w:b/>
        <w:sz w:val="18"/>
      </w:rPr>
      <w:instrText xml:space="preserve"> PAGE  \* MERGEFORMAT </w:instrText>
    </w:r>
    <w:r w:rsidRPr="002C1E1A">
      <w:rPr>
        <w:b/>
        <w:sz w:val="18"/>
      </w:rPr>
      <w:fldChar w:fldCharType="separate"/>
    </w:r>
    <w:r w:rsidRPr="002C1E1A">
      <w:rPr>
        <w:b/>
        <w:noProof/>
        <w:sz w:val="18"/>
      </w:rPr>
      <w:t>2</w:t>
    </w:r>
    <w:r w:rsidRPr="002C1E1A">
      <w:rPr>
        <w:b/>
        <w:sz w:val="18"/>
      </w:rPr>
      <w:fldChar w:fldCharType="end"/>
    </w:r>
    <w:r>
      <w:rPr>
        <w:b/>
        <w:sz w:val="18"/>
      </w:rPr>
      <w:tab/>
    </w:r>
    <w:r>
      <w:t>GE.19-16529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1178" w14:textId="77777777" w:rsidR="002C1E1A" w:rsidRPr="002C1E1A" w:rsidRDefault="002C1E1A" w:rsidP="002C1E1A">
    <w:pPr>
      <w:pStyle w:val="a8"/>
      <w:tabs>
        <w:tab w:val="clear" w:pos="9639"/>
        <w:tab w:val="right" w:pos="9638"/>
      </w:tabs>
      <w:rPr>
        <w:b/>
        <w:sz w:val="18"/>
      </w:rPr>
    </w:pPr>
    <w:r>
      <w:t>GE.19-16529</w:t>
    </w:r>
    <w:r>
      <w:tab/>
    </w:r>
    <w:r w:rsidRPr="002C1E1A">
      <w:rPr>
        <w:b/>
        <w:sz w:val="18"/>
      </w:rPr>
      <w:fldChar w:fldCharType="begin"/>
    </w:r>
    <w:r w:rsidRPr="002C1E1A">
      <w:rPr>
        <w:b/>
        <w:sz w:val="18"/>
      </w:rPr>
      <w:instrText xml:space="preserve"> PAGE  \* MERGEFORMAT </w:instrText>
    </w:r>
    <w:r w:rsidRPr="002C1E1A">
      <w:rPr>
        <w:b/>
        <w:sz w:val="18"/>
      </w:rPr>
      <w:fldChar w:fldCharType="separate"/>
    </w:r>
    <w:r w:rsidRPr="002C1E1A">
      <w:rPr>
        <w:b/>
        <w:noProof/>
        <w:sz w:val="18"/>
      </w:rPr>
      <w:t>3</w:t>
    </w:r>
    <w:r w:rsidRPr="002C1E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FB60" w14:textId="77777777" w:rsidR="00042B72" w:rsidRPr="002C1E1A" w:rsidRDefault="002C1E1A" w:rsidP="002C1E1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B40D3F" wp14:editId="436CE4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16529  (</w:t>
    </w:r>
    <w:proofErr w:type="gramEnd"/>
    <w:r>
      <w:t>R)  031019  0</w:t>
    </w:r>
    <w:r w:rsidR="00FA01CA">
      <w:t>7</w:t>
    </w:r>
    <w:r>
      <w:t>1019</w:t>
    </w:r>
    <w:r>
      <w:br/>
    </w:r>
    <w:r w:rsidRPr="002C1E1A">
      <w:rPr>
        <w:rFonts w:ascii="C39T30Lfz" w:hAnsi="C39T30Lfz"/>
        <w:kern w:val="14"/>
        <w:sz w:val="56"/>
      </w:rPr>
      <w:t></w:t>
    </w:r>
    <w:r w:rsidRPr="002C1E1A">
      <w:rPr>
        <w:rFonts w:ascii="C39T30Lfz" w:hAnsi="C39T30Lfz"/>
        <w:kern w:val="14"/>
        <w:sz w:val="56"/>
      </w:rPr>
      <w:t></w:t>
    </w:r>
    <w:r w:rsidRPr="002C1E1A">
      <w:rPr>
        <w:rFonts w:ascii="C39T30Lfz" w:hAnsi="C39T30Lfz"/>
        <w:kern w:val="14"/>
        <w:sz w:val="56"/>
      </w:rPr>
      <w:t></w:t>
    </w:r>
    <w:r w:rsidRPr="002C1E1A">
      <w:rPr>
        <w:rFonts w:ascii="C39T30Lfz" w:hAnsi="C39T30Lfz"/>
        <w:kern w:val="14"/>
        <w:sz w:val="56"/>
      </w:rPr>
      <w:t></w:t>
    </w:r>
    <w:r w:rsidRPr="002C1E1A">
      <w:rPr>
        <w:rFonts w:ascii="C39T30Lfz" w:hAnsi="C39T30Lfz"/>
        <w:kern w:val="14"/>
        <w:sz w:val="56"/>
      </w:rPr>
      <w:t></w:t>
    </w:r>
    <w:r w:rsidRPr="002C1E1A">
      <w:rPr>
        <w:rFonts w:ascii="C39T30Lfz" w:hAnsi="C39T30Lfz"/>
        <w:kern w:val="14"/>
        <w:sz w:val="56"/>
      </w:rPr>
      <w:t></w:t>
    </w:r>
    <w:r w:rsidRPr="002C1E1A">
      <w:rPr>
        <w:rFonts w:ascii="C39T30Lfz" w:hAnsi="C39T30Lfz"/>
        <w:kern w:val="14"/>
        <w:sz w:val="56"/>
      </w:rPr>
      <w:t></w:t>
    </w:r>
    <w:r w:rsidRPr="002C1E1A">
      <w:rPr>
        <w:rFonts w:ascii="C39T30Lfz" w:hAnsi="C39T30Lfz"/>
        <w:kern w:val="14"/>
        <w:sz w:val="56"/>
      </w:rPr>
      <w:t></w:t>
    </w:r>
    <w:r w:rsidRPr="002C1E1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805E6E" wp14:editId="2EB37B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4027" w14:textId="77777777" w:rsidR="0043422F" w:rsidRPr="001075E9" w:rsidRDefault="004342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8A2693" w14:textId="77777777" w:rsidR="0043422F" w:rsidRDefault="004342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9E5946" w14:textId="77777777" w:rsidR="00C957A4" w:rsidRPr="00C957A4" w:rsidRDefault="00C957A4">
      <w:pPr>
        <w:pStyle w:val="ad"/>
        <w:rPr>
          <w:sz w:val="20"/>
        </w:rPr>
      </w:pPr>
      <w:r>
        <w:tab/>
      </w:r>
      <w:r w:rsidRPr="00C957A4">
        <w:rPr>
          <w:rStyle w:val="aa"/>
          <w:sz w:val="20"/>
          <w:vertAlign w:val="baseline"/>
        </w:rPr>
        <w:t>*</w:t>
      </w:r>
      <w:r w:rsidRPr="00C957A4">
        <w:rPr>
          <w:rStyle w:val="aa"/>
          <w:vertAlign w:val="baseline"/>
        </w:rPr>
        <w:tab/>
      </w:r>
      <w:r w:rsidRPr="002B7FED">
        <w:t>В соответствии с программой работы Комитета по внутреннему транспорту на 2018−2019 годы (</w:t>
      </w:r>
      <w:r>
        <w:t>ECE</w:t>
      </w:r>
      <w:r w:rsidRPr="002B7FED">
        <w:t>/</w:t>
      </w:r>
      <w:r>
        <w:t>TRANS</w:t>
      </w:r>
      <w:r w:rsidRPr="002B7FED">
        <w:t xml:space="preserve">/274, пункт 123, и </w:t>
      </w:r>
      <w:r>
        <w:t>ECE</w:t>
      </w:r>
      <w:r w:rsidRPr="002B7FED">
        <w:t>/</w:t>
      </w:r>
      <w:r>
        <w:t>TRANS</w:t>
      </w:r>
      <w:r w:rsidRPr="002B7FED">
        <w:t>/2018/21/</w:t>
      </w:r>
      <w:r>
        <w:t>Add</w:t>
      </w:r>
      <w:r w:rsidRPr="002B7FED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</w:t>
      </w:r>
      <w:r w:rsidRPr="00C957A4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12E0" w14:textId="1D2FC4DA" w:rsidR="002C1E1A" w:rsidRPr="002C1E1A" w:rsidRDefault="00D76C5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D9B5" w14:textId="2054C776" w:rsidR="002C1E1A" w:rsidRPr="002C1E1A" w:rsidRDefault="00D76C55" w:rsidP="002C1E1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2F"/>
    <w:rsid w:val="00033EE1"/>
    <w:rsid w:val="00042B72"/>
    <w:rsid w:val="000558BD"/>
    <w:rsid w:val="000B57E7"/>
    <w:rsid w:val="000B6373"/>
    <w:rsid w:val="000E4E5B"/>
    <w:rsid w:val="000F09DF"/>
    <w:rsid w:val="000F61B2"/>
    <w:rsid w:val="0010583F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1E1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C6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22F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FBB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AEB"/>
    <w:rsid w:val="00B335BC"/>
    <w:rsid w:val="00B36DF7"/>
    <w:rsid w:val="00B539E7"/>
    <w:rsid w:val="00B62458"/>
    <w:rsid w:val="00BC18B2"/>
    <w:rsid w:val="00BD33EE"/>
    <w:rsid w:val="00BE1CC7"/>
    <w:rsid w:val="00C0234C"/>
    <w:rsid w:val="00C106D6"/>
    <w:rsid w:val="00C119AE"/>
    <w:rsid w:val="00C60F0C"/>
    <w:rsid w:val="00C71E84"/>
    <w:rsid w:val="00C805C9"/>
    <w:rsid w:val="00C92939"/>
    <w:rsid w:val="00C957A4"/>
    <w:rsid w:val="00CA1679"/>
    <w:rsid w:val="00CB151C"/>
    <w:rsid w:val="00CE5A1A"/>
    <w:rsid w:val="00CF55F6"/>
    <w:rsid w:val="00D33D63"/>
    <w:rsid w:val="00D5253A"/>
    <w:rsid w:val="00D76C5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1C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E921B"/>
  <w15:docId w15:val="{8CB5CA73-D468-485E-9D76-6D782EC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957A4"/>
    <w:rPr>
      <w:lang w:val="ru-RU" w:eastAsia="en-US"/>
    </w:rPr>
  </w:style>
  <w:style w:type="character" w:customStyle="1" w:styleId="HChGChar">
    <w:name w:val="_ H _Ch_G Char"/>
    <w:link w:val="HChG"/>
    <w:rsid w:val="00C957A4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C957A4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C957A4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6C78-DE7C-4A11-82E8-C49F744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690</Words>
  <Characters>4557</Characters>
  <Application>Microsoft Office Word</Application>
  <DocSecurity>0</DocSecurity>
  <Lines>106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ECE/TRANS/WP.29/GRSP/2019/20</vt:lpstr>
      <vt:lpstr>A/</vt:lpstr>
      <vt:lpstr>A/</vt:lpstr>
    </vt:vector>
  </TitlesOfParts>
  <Company>DCM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ECE/TRANS/WP.29/GRSP/2019/20</dc:title>
  <dc:subject/>
  <dc:creator>Ekaterina SALYNSKAYA</dc:creator>
  <cp:keywords/>
  <cp:lastModifiedBy>Ekaterina SALYNSKAYA</cp:lastModifiedBy>
  <cp:revision>3</cp:revision>
  <cp:lastPrinted>2019-10-07T09:32:00Z</cp:lastPrinted>
  <dcterms:created xsi:type="dcterms:W3CDTF">2019-10-07T09:32:00Z</dcterms:created>
  <dcterms:modified xsi:type="dcterms:W3CDTF">2019-10-07T09:33:00Z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