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C4CC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C4CC6" w:rsidP="006C4CC6">
            <w:pPr>
              <w:jc w:val="right"/>
            </w:pPr>
            <w:r w:rsidRPr="006C4CC6">
              <w:rPr>
                <w:sz w:val="40"/>
              </w:rPr>
              <w:t>ECE</w:t>
            </w:r>
            <w:r>
              <w:t>/TRANS/WP.29/GRSP/2019/20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C4CC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C4CC6" w:rsidRDefault="006C4CC6" w:rsidP="006C4CC6">
            <w:pPr>
              <w:spacing w:line="240" w:lineRule="exact"/>
            </w:pPr>
            <w:r>
              <w:t>2</w:t>
            </w:r>
            <w:r w:rsidR="00D762E6">
              <w:t>6</w:t>
            </w:r>
            <w:r>
              <w:t xml:space="preserve"> septembre 2019</w:t>
            </w:r>
          </w:p>
          <w:p w:rsidR="006C4CC6" w:rsidRDefault="006C4CC6" w:rsidP="006C4CC6">
            <w:pPr>
              <w:spacing w:line="240" w:lineRule="exact"/>
            </w:pPr>
            <w:r>
              <w:t>Français</w:t>
            </w:r>
          </w:p>
          <w:p w:rsidR="006C4CC6" w:rsidRPr="00DB58B5" w:rsidRDefault="006C4CC6" w:rsidP="006C4CC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56B5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A6F85" w:rsidRDefault="001A6F8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56B5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A6F85" w:rsidRDefault="001A6F85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1A6F85" w:rsidRDefault="001A6F85" w:rsidP="00257168">
      <w:pPr>
        <w:spacing w:before="120" w:line="240" w:lineRule="exact"/>
        <w:rPr>
          <w:b/>
        </w:rPr>
      </w:pPr>
      <w:r w:rsidRPr="005B4349">
        <w:rPr>
          <w:b/>
          <w:szCs w:val="24"/>
        </w:rPr>
        <w:t xml:space="preserve">Soixante-sixième </w:t>
      </w:r>
      <w:r>
        <w:rPr>
          <w:b/>
        </w:rPr>
        <w:t>session</w:t>
      </w:r>
    </w:p>
    <w:p w:rsidR="001A6F85" w:rsidRPr="005B4349" w:rsidRDefault="001A6F85" w:rsidP="001A6F85">
      <w:pPr>
        <w:spacing w:line="240" w:lineRule="auto"/>
        <w:rPr>
          <w:bCs/>
          <w:szCs w:val="24"/>
        </w:rPr>
      </w:pPr>
      <w:r w:rsidRPr="005B4349">
        <w:rPr>
          <w:bCs/>
          <w:szCs w:val="24"/>
        </w:rPr>
        <w:t>Genève, 10</w:t>
      </w:r>
      <w:r w:rsidRPr="005B4349">
        <w:rPr>
          <w:szCs w:val="24"/>
        </w:rPr>
        <w:t>-</w:t>
      </w:r>
      <w:r w:rsidRPr="005B4349">
        <w:rPr>
          <w:bCs/>
          <w:szCs w:val="24"/>
        </w:rPr>
        <w:t xml:space="preserve">13 </w:t>
      </w:r>
      <w:r>
        <w:rPr>
          <w:bCs/>
          <w:szCs w:val="24"/>
        </w:rPr>
        <w:t>décembre</w:t>
      </w:r>
      <w:r w:rsidRPr="005B4349">
        <w:rPr>
          <w:bCs/>
          <w:szCs w:val="24"/>
        </w:rPr>
        <w:t xml:space="preserve"> 2019</w:t>
      </w:r>
    </w:p>
    <w:p w:rsidR="001A6F85" w:rsidRPr="005B4349" w:rsidRDefault="001A6F85" w:rsidP="001A6F85">
      <w:pPr>
        <w:spacing w:line="240" w:lineRule="auto"/>
        <w:rPr>
          <w:bCs/>
          <w:szCs w:val="24"/>
        </w:rPr>
      </w:pPr>
      <w:r w:rsidRPr="005B4349">
        <w:rPr>
          <w:bCs/>
          <w:szCs w:val="24"/>
        </w:rPr>
        <w:t>Point 2 de l</w:t>
      </w:r>
      <w:r w:rsidR="00856B55">
        <w:rPr>
          <w:bCs/>
          <w:szCs w:val="24"/>
        </w:rPr>
        <w:t>’</w:t>
      </w:r>
      <w:r>
        <w:rPr>
          <w:bCs/>
          <w:szCs w:val="24"/>
        </w:rPr>
        <w:t>ordre du jour provisoire</w:t>
      </w:r>
    </w:p>
    <w:p w:rsidR="001A6F85" w:rsidRPr="005B4349" w:rsidRDefault="001A6F85" w:rsidP="001A6F85">
      <w:pPr>
        <w:spacing w:line="240" w:lineRule="auto"/>
        <w:rPr>
          <w:b/>
          <w:bCs/>
          <w:szCs w:val="24"/>
        </w:rPr>
      </w:pPr>
      <w:r w:rsidRPr="005B4349">
        <w:rPr>
          <w:b/>
          <w:bCs/>
          <w:szCs w:val="24"/>
        </w:rPr>
        <w:t xml:space="preserve">Règlement technique mondial ONU </w:t>
      </w:r>
      <w:r w:rsidR="003C5C26" w:rsidRPr="003C5C26">
        <w:rPr>
          <w:rFonts w:eastAsia="MS Mincho"/>
          <w:b/>
          <w:bCs/>
          <w:szCs w:val="22"/>
        </w:rPr>
        <w:t>n</w:t>
      </w:r>
      <w:r w:rsidR="003C5C26" w:rsidRPr="003C5C26">
        <w:rPr>
          <w:rFonts w:eastAsia="MS Mincho"/>
          <w:b/>
          <w:bCs/>
          <w:szCs w:val="22"/>
          <w:vertAlign w:val="superscript"/>
        </w:rPr>
        <w:t>o</w:t>
      </w:r>
      <w:r w:rsidR="003C5C26">
        <w:rPr>
          <w:b/>
          <w:bCs/>
          <w:szCs w:val="24"/>
        </w:rPr>
        <w:t> </w:t>
      </w:r>
      <w:r w:rsidRPr="005B4349">
        <w:rPr>
          <w:b/>
          <w:bCs/>
          <w:szCs w:val="24"/>
        </w:rPr>
        <w:t>7 (Appuie-tête)</w:t>
      </w:r>
    </w:p>
    <w:p w:rsidR="001A6F85" w:rsidRPr="005B4349" w:rsidRDefault="001A6F85" w:rsidP="003C5C26">
      <w:pPr>
        <w:pStyle w:val="HChG"/>
      </w:pPr>
      <w:r w:rsidRPr="005B4349">
        <w:tab/>
      </w:r>
      <w:r w:rsidRPr="005B4349">
        <w:tab/>
      </w:r>
      <w:r>
        <w:t>P</w:t>
      </w:r>
      <w:r w:rsidRPr="005B4349">
        <w:t>roposition d</w:t>
      </w:r>
      <w:r w:rsidR="00856B55">
        <w:t>’</w:t>
      </w:r>
      <w:r w:rsidRPr="005B4349">
        <w:t xml:space="preserve">amendement 1 (phase 2) au Règlement technique mondial </w:t>
      </w:r>
      <w:bookmarkStart w:id="0" w:name="_Hlk22109674"/>
      <w:r w:rsidRPr="005B4349">
        <w:t xml:space="preserve">ONU </w:t>
      </w:r>
      <w:r w:rsidR="003C5C26" w:rsidRPr="003C5C26">
        <w:rPr>
          <w:rFonts w:eastAsia="MS Mincho"/>
          <w:szCs w:val="22"/>
        </w:rPr>
        <w:t>n</w:t>
      </w:r>
      <w:r w:rsidR="003C5C26" w:rsidRPr="003C5C26">
        <w:rPr>
          <w:rFonts w:eastAsia="MS Mincho"/>
          <w:szCs w:val="22"/>
          <w:vertAlign w:val="superscript"/>
        </w:rPr>
        <w:t>o</w:t>
      </w:r>
      <w:r w:rsidR="003C5C26" w:rsidRPr="003C5C26">
        <w:t> </w:t>
      </w:r>
      <w:r w:rsidRPr="005B4349">
        <w:t>7 (Appuie-tête)</w:t>
      </w:r>
      <w:bookmarkEnd w:id="0"/>
    </w:p>
    <w:p w:rsidR="00F9573C" w:rsidRDefault="001A6F85" w:rsidP="003C5C26">
      <w:pPr>
        <w:pStyle w:val="H1G"/>
        <w:rPr>
          <w:b w:val="0"/>
          <w:sz w:val="20"/>
        </w:rPr>
      </w:pPr>
      <w:r w:rsidRPr="005B4349">
        <w:tab/>
      </w:r>
      <w:r w:rsidRPr="005B4349">
        <w:tab/>
        <w:t>Communication de l</w:t>
      </w:r>
      <w:r w:rsidR="00856B55">
        <w:t>’</w:t>
      </w:r>
      <w:r w:rsidRPr="005B4349">
        <w:t>expert de l</w:t>
      </w:r>
      <w:r w:rsidR="00856B55">
        <w:t>’</w:t>
      </w:r>
      <w:r w:rsidRPr="005B4349">
        <w:t xml:space="preserve">Association européenne </w:t>
      </w:r>
      <w:r w:rsidR="003C5C26">
        <w:br/>
      </w:r>
      <w:r w:rsidRPr="005B4349">
        <w:t>des fournisseurs de l</w:t>
      </w:r>
      <w:r w:rsidR="00856B55">
        <w:t>’</w:t>
      </w:r>
      <w:r w:rsidRPr="005B4349">
        <w:t>automobile</w:t>
      </w:r>
      <w:r w:rsidRPr="003C5C2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50423A" w:rsidRPr="00E24307" w:rsidRDefault="003C5C26" w:rsidP="003C5C26">
      <w:pPr>
        <w:pStyle w:val="SingleTxtG"/>
        <w:ind w:firstLine="567"/>
      </w:pPr>
      <w:r w:rsidRPr="00E24307">
        <w:t>Le texte ci-après a été établi par l</w:t>
      </w:r>
      <w:r w:rsidR="00856B55" w:rsidRPr="00E24307">
        <w:t>’</w:t>
      </w:r>
      <w:r w:rsidRPr="00E24307">
        <w:t>expert de l</w:t>
      </w:r>
      <w:r w:rsidR="00856B55" w:rsidRPr="00E24307">
        <w:t>’</w:t>
      </w:r>
      <w:r w:rsidRPr="00E24307">
        <w:t>Association européenne des fournisseurs de l</w:t>
      </w:r>
      <w:r w:rsidR="00856B55" w:rsidRPr="00E24307">
        <w:t>’</w:t>
      </w:r>
      <w:r w:rsidRPr="00E24307">
        <w:t>automobile (CLEPA) en vue de modifier la proposition d</w:t>
      </w:r>
      <w:r w:rsidR="00856B55" w:rsidRPr="00E24307">
        <w:t>’</w:t>
      </w:r>
      <w:r w:rsidRPr="00E24307">
        <w:t xml:space="preserve">amendement 1 au Règlement technique mondial ONU </w:t>
      </w:r>
      <w:r w:rsidR="0050423A" w:rsidRPr="00E24307">
        <w:rPr>
          <w:rFonts w:eastAsia="MS Mincho"/>
          <w:szCs w:val="22"/>
        </w:rPr>
        <w:t>n</w:t>
      </w:r>
      <w:r w:rsidR="0050423A" w:rsidRPr="00E24307">
        <w:rPr>
          <w:rFonts w:eastAsia="MS Mincho"/>
          <w:szCs w:val="22"/>
          <w:vertAlign w:val="superscript"/>
        </w:rPr>
        <w:t>o</w:t>
      </w:r>
      <w:r w:rsidR="0050423A" w:rsidRPr="00E24307">
        <w:t> </w:t>
      </w:r>
      <w:r w:rsidRPr="00E24307">
        <w:t>7 (Appuie-tête) (ECE/TRANS/WP.29/</w:t>
      </w:r>
      <w:r w:rsidR="0050423A" w:rsidRPr="00E24307">
        <w:t xml:space="preserve"> </w:t>
      </w:r>
      <w:r w:rsidRPr="00E24307">
        <w:t>GRSP/2019/5, tel que modifié par le document GRSP-65-24) présentée par le Japon et par</w:t>
      </w:r>
      <w:r w:rsidR="0027586D">
        <w:t> </w:t>
      </w:r>
      <w:r w:rsidRPr="00E24307">
        <w:t xml:space="preserve">le groupe de travail informel chargé de la phase 2 du Règlement technique mondial ONU </w:t>
      </w:r>
      <w:r w:rsidR="0050423A" w:rsidRPr="00E24307">
        <w:rPr>
          <w:rFonts w:eastAsia="MS Mincho"/>
          <w:szCs w:val="22"/>
        </w:rPr>
        <w:t>n</w:t>
      </w:r>
      <w:r w:rsidR="0050423A" w:rsidRPr="00E24307">
        <w:rPr>
          <w:rFonts w:eastAsia="MS Mincho"/>
          <w:szCs w:val="22"/>
          <w:vertAlign w:val="superscript"/>
        </w:rPr>
        <w:t>o</w:t>
      </w:r>
      <w:r w:rsidR="0050423A" w:rsidRPr="00E24307">
        <w:t> </w:t>
      </w:r>
      <w:r w:rsidRPr="00E24307">
        <w:t>7. Le présent document est fondé sur le document ECE/TRANS/WP.29/</w:t>
      </w:r>
      <w:r w:rsidR="0027586D">
        <w:t xml:space="preserve"> </w:t>
      </w:r>
      <w:r w:rsidRPr="00E24307">
        <w:t>GRSP/2019/10, qu</w:t>
      </w:r>
      <w:r w:rsidR="00856B55" w:rsidRPr="00E24307">
        <w:t>’</w:t>
      </w:r>
      <w:r w:rsidRPr="00E24307">
        <w:t>il remplace. Les modifications qu</w:t>
      </w:r>
      <w:r w:rsidR="00856B55" w:rsidRPr="00E24307">
        <w:t>’</w:t>
      </w:r>
      <w:r w:rsidRPr="00E24307">
        <w:t>il est proposé d</w:t>
      </w:r>
      <w:r w:rsidR="00856B55" w:rsidRPr="00E24307">
        <w:t>’</w:t>
      </w:r>
      <w:r w:rsidRPr="00E24307">
        <w:t xml:space="preserve">apporter au texte actuel du RTM ONU </w:t>
      </w:r>
      <w:r w:rsidR="0050423A" w:rsidRPr="00E24307">
        <w:rPr>
          <w:rFonts w:eastAsia="MS Mincho"/>
          <w:szCs w:val="22"/>
        </w:rPr>
        <w:t>n</w:t>
      </w:r>
      <w:r w:rsidR="0050423A" w:rsidRPr="00E24307">
        <w:rPr>
          <w:rFonts w:eastAsia="MS Mincho"/>
          <w:szCs w:val="22"/>
          <w:vertAlign w:val="superscript"/>
        </w:rPr>
        <w:t>o</w:t>
      </w:r>
      <w:r w:rsidR="0050423A" w:rsidRPr="00E24307">
        <w:t> </w:t>
      </w:r>
      <w:r w:rsidRPr="00E24307">
        <w:t>7 (document ECE/TRANS/180/Add.7) figurent en caractères gras pour les ajouts et biffés pour les suppressions.</w:t>
      </w:r>
    </w:p>
    <w:p w:rsidR="00250C15" w:rsidRPr="00387A06" w:rsidRDefault="0050423A" w:rsidP="00250C15">
      <w:pPr>
        <w:pStyle w:val="HChG"/>
      </w:pPr>
      <w:r>
        <w:br w:type="page"/>
      </w:r>
      <w:r w:rsidR="00250C15" w:rsidRPr="00D80852">
        <w:lastRenderedPageBreak/>
        <w:tab/>
      </w:r>
      <w:r w:rsidR="00250C15" w:rsidRPr="00387A06">
        <w:t>I.</w:t>
      </w:r>
      <w:r w:rsidR="00250C15" w:rsidRPr="00387A06">
        <w:tab/>
      </w:r>
      <w:r w:rsidR="00250C15" w:rsidRPr="00250C15">
        <w:t>Proposition</w:t>
      </w:r>
    </w:p>
    <w:p w:rsidR="00250C15" w:rsidRPr="00D80852" w:rsidRDefault="00250C15" w:rsidP="00250C15">
      <w:pPr>
        <w:pStyle w:val="SingleTxtG"/>
        <w:rPr>
          <w:iCs/>
          <w:lang w:bidi="th-TH"/>
        </w:rPr>
      </w:pPr>
      <w:r w:rsidRPr="00250C15">
        <w:rPr>
          <w:i/>
          <w:lang w:bidi="th-TH"/>
        </w:rPr>
        <w:t>Paragraphe 5.4.4.5</w:t>
      </w:r>
      <w:r w:rsidRPr="00D80852">
        <w:rPr>
          <w:iCs/>
          <w:lang w:bidi="th-TH"/>
        </w:rPr>
        <w:t>, lire :</w:t>
      </w:r>
    </w:p>
    <w:p w:rsidR="00250C15" w:rsidRPr="00343FC2" w:rsidRDefault="00250C15" w:rsidP="00250C15">
      <w:pPr>
        <w:pStyle w:val="SingleTxtG"/>
        <w:ind w:left="2268" w:hanging="1134"/>
        <w:rPr>
          <w:lang w:bidi="th-TH"/>
        </w:rPr>
      </w:pPr>
      <w:r w:rsidRPr="00D80852">
        <w:rPr>
          <w:lang w:bidi="th-TH"/>
        </w:rPr>
        <w:t>« 5.4.4.5</w:t>
      </w:r>
      <w:r w:rsidRPr="00D80852">
        <w:rPr>
          <w:lang w:bidi="th-TH"/>
        </w:rPr>
        <w:tab/>
        <w:t>Une étiquette ayant la forme d</w:t>
      </w:r>
      <w:r w:rsidR="00856B55">
        <w:rPr>
          <w:lang w:bidi="th-TH"/>
        </w:rPr>
        <w:t>’</w:t>
      </w:r>
      <w:r w:rsidRPr="00D80852">
        <w:rPr>
          <w:lang w:bidi="th-TH"/>
        </w:rPr>
        <w:t>un pictogramme et pouvant être accompagnée d</w:t>
      </w:r>
      <w:r w:rsidR="00856B55">
        <w:rPr>
          <w:lang w:bidi="th-TH"/>
        </w:rPr>
        <w:t>’</w:t>
      </w:r>
      <w:r w:rsidRPr="00D80852">
        <w:rPr>
          <w:lang w:bidi="th-TH"/>
        </w:rPr>
        <w:t xml:space="preserve">un texte explicatif doit être apposée sur chaque appuie-tête pour indiquer </w:t>
      </w:r>
      <w:r w:rsidRPr="00343FC2">
        <w:rPr>
          <w:b/>
          <w:lang w:bidi="th-TH"/>
        </w:rPr>
        <w:t>l</w:t>
      </w:r>
      <w:r w:rsidR="00856B55">
        <w:rPr>
          <w:b/>
          <w:lang w:bidi="th-TH"/>
        </w:rPr>
        <w:t>’</w:t>
      </w:r>
      <w:r w:rsidRPr="00343FC2">
        <w:rPr>
          <w:b/>
          <w:lang w:bidi="th-TH"/>
        </w:rPr>
        <w:t>existence d</w:t>
      </w:r>
      <w:r w:rsidR="00856B55">
        <w:rPr>
          <w:b/>
          <w:lang w:bidi="th-TH"/>
        </w:rPr>
        <w:t>’</w:t>
      </w:r>
      <w:r w:rsidRPr="00343FC2">
        <w:rPr>
          <w:b/>
          <w:lang w:bidi="th-TH"/>
        </w:rPr>
        <w:t>une position de non-utilisation</w:t>
      </w:r>
      <w:r w:rsidRPr="00D80852">
        <w:rPr>
          <w:lang w:bidi="th-TH"/>
        </w:rPr>
        <w:t>. Cette étiquette doit soit indiquer que l</w:t>
      </w:r>
      <w:r w:rsidR="00856B55">
        <w:rPr>
          <w:lang w:bidi="th-TH"/>
        </w:rPr>
        <w:t>’</w:t>
      </w:r>
      <w:r w:rsidRPr="00D80852">
        <w:rPr>
          <w:lang w:bidi="th-TH"/>
        </w:rPr>
        <w:t>appuie-tête est en position de non-utilisation lorsque c</w:t>
      </w:r>
      <w:r w:rsidR="00856B55">
        <w:rPr>
          <w:lang w:bidi="th-TH"/>
        </w:rPr>
        <w:t>’</w:t>
      </w:r>
      <w:r w:rsidRPr="00D80852">
        <w:rPr>
          <w:lang w:bidi="th-TH"/>
        </w:rPr>
        <w:t>est le cas, soit donner à l</w:t>
      </w:r>
      <w:r w:rsidR="00856B55">
        <w:rPr>
          <w:lang w:bidi="th-TH"/>
        </w:rPr>
        <w:t>’</w:t>
      </w:r>
      <w:r w:rsidRPr="00D80852">
        <w:rPr>
          <w:lang w:bidi="th-TH"/>
        </w:rPr>
        <w:t>occupant les informations qui lui permettent de déterminer si l</w:t>
      </w:r>
      <w:r w:rsidR="00856B55">
        <w:rPr>
          <w:lang w:bidi="th-TH"/>
        </w:rPr>
        <w:t>’</w:t>
      </w:r>
      <w:r w:rsidRPr="00D80852">
        <w:rPr>
          <w:lang w:bidi="th-TH"/>
        </w:rPr>
        <w:t>appuie-tête est en position de non-utilisation. Cette étiquette doit être apposée sur l</w:t>
      </w:r>
      <w:r w:rsidR="00856B55">
        <w:rPr>
          <w:lang w:bidi="th-TH"/>
        </w:rPr>
        <w:t>’</w:t>
      </w:r>
      <w:r w:rsidRPr="00D80852">
        <w:rPr>
          <w:lang w:bidi="th-TH"/>
        </w:rPr>
        <w:t>appuie-tête de manière durable et être placée de manière clairement visible dans le champ de vision d</w:t>
      </w:r>
      <w:r w:rsidR="00856B55">
        <w:rPr>
          <w:lang w:bidi="th-TH"/>
        </w:rPr>
        <w:t>’</w:t>
      </w:r>
      <w:r w:rsidRPr="00D80852">
        <w:rPr>
          <w:lang w:bidi="th-TH"/>
        </w:rPr>
        <w:t>un occupant lorsqu</w:t>
      </w:r>
      <w:r w:rsidR="00856B55">
        <w:rPr>
          <w:lang w:bidi="th-TH"/>
        </w:rPr>
        <w:t>’</w:t>
      </w:r>
      <w:r w:rsidRPr="00D80852">
        <w:rPr>
          <w:lang w:bidi="th-TH"/>
        </w:rPr>
        <w:t>il entre dans le véhicule pour s</w:t>
      </w:r>
      <w:r w:rsidR="00856B55">
        <w:rPr>
          <w:lang w:bidi="th-TH"/>
        </w:rPr>
        <w:t>’</w:t>
      </w:r>
      <w:r w:rsidRPr="00D80852">
        <w:rPr>
          <w:lang w:bidi="th-TH"/>
        </w:rPr>
        <w:t>asseoir à la place assise munie de l</w:t>
      </w:r>
      <w:r w:rsidR="00856B55">
        <w:rPr>
          <w:lang w:bidi="th-TH"/>
        </w:rPr>
        <w:t>’</w:t>
      </w:r>
      <w:r w:rsidRPr="00D80852">
        <w:rPr>
          <w:lang w:bidi="th-TH"/>
        </w:rPr>
        <w:t xml:space="preserve">appuie-tête en question. </w:t>
      </w:r>
      <w:r w:rsidRPr="00D80852">
        <w:rPr>
          <w:b/>
          <w:lang w:eastAsia="zh-CN" w:bidi="th-TH"/>
        </w:rPr>
        <w:t>Il n</w:t>
      </w:r>
      <w:r w:rsidR="00856B55">
        <w:rPr>
          <w:b/>
          <w:lang w:eastAsia="zh-CN" w:bidi="th-TH"/>
        </w:rPr>
        <w:t>’</w:t>
      </w:r>
      <w:r w:rsidRPr="00D80852">
        <w:rPr>
          <w:b/>
          <w:lang w:eastAsia="zh-CN" w:bidi="th-TH"/>
        </w:rPr>
        <w:t>est pas nécessaire que le nombre d</w:t>
      </w:r>
      <w:r w:rsidR="00856B55">
        <w:rPr>
          <w:b/>
          <w:lang w:eastAsia="zh-CN" w:bidi="th-TH"/>
        </w:rPr>
        <w:t>’</w:t>
      </w:r>
      <w:r w:rsidRPr="00D80852">
        <w:rPr>
          <w:b/>
          <w:lang w:eastAsia="zh-CN" w:bidi="th-TH"/>
        </w:rPr>
        <w:t>étiquettes soit supérieur au nombre d</w:t>
      </w:r>
      <w:r w:rsidR="00856B55">
        <w:rPr>
          <w:b/>
          <w:lang w:eastAsia="zh-CN" w:bidi="th-TH"/>
        </w:rPr>
        <w:t>’</w:t>
      </w:r>
      <w:r w:rsidRPr="00D80852">
        <w:rPr>
          <w:b/>
          <w:lang w:eastAsia="zh-CN" w:bidi="th-TH"/>
        </w:rPr>
        <w:t>appuie-tête présentant une position de non</w:t>
      </w:r>
      <w:r w:rsidR="008867EB">
        <w:rPr>
          <w:b/>
          <w:lang w:eastAsia="zh-CN" w:bidi="th-TH"/>
        </w:rPr>
        <w:noBreakHyphen/>
      </w:r>
      <w:r w:rsidRPr="00D80852">
        <w:rPr>
          <w:b/>
          <w:lang w:eastAsia="zh-CN" w:bidi="th-TH"/>
        </w:rPr>
        <w:t>utilisation.</w:t>
      </w:r>
      <w:r w:rsidRPr="00D80852">
        <w:rPr>
          <w:bCs/>
          <w:lang w:eastAsia="zh-CN" w:bidi="th-TH"/>
        </w:rPr>
        <w:t xml:space="preserve"> </w:t>
      </w:r>
      <w:r w:rsidRPr="00343FC2">
        <w:rPr>
          <w:lang w:bidi="th-TH"/>
        </w:rPr>
        <w:t>La figure 1 donne des exemples de pictogrammes.</w:t>
      </w:r>
    </w:p>
    <w:p w:rsidR="00250C15" w:rsidRPr="00343FC2" w:rsidRDefault="00250C15" w:rsidP="00250C15">
      <w:pPr>
        <w:pStyle w:val="SingleTxtG"/>
        <w:ind w:left="2268"/>
        <w:rPr>
          <w:lang w:bidi="th-TH"/>
        </w:rPr>
      </w:pPr>
      <w:r w:rsidRPr="00343FC2">
        <w:rPr>
          <w:lang w:bidi="th-TH"/>
        </w:rPr>
        <w:t>…</w:t>
      </w:r>
      <w:r w:rsidR="00CC6EF4">
        <w:rPr>
          <w:lang w:bidi="th-TH"/>
        </w:rPr>
        <w:t> </w:t>
      </w:r>
      <w:r w:rsidRPr="00343FC2">
        <w:rPr>
          <w:lang w:bidi="th-TH"/>
        </w:rPr>
        <w:t>»</w:t>
      </w:r>
      <w:r w:rsidR="00800A1D">
        <w:rPr>
          <w:lang w:bidi="th-TH"/>
        </w:rPr>
        <w:t>.</w:t>
      </w:r>
    </w:p>
    <w:p w:rsidR="00250C15" w:rsidRPr="00E75E51" w:rsidRDefault="00250C15" w:rsidP="00800A1D">
      <w:pPr>
        <w:pStyle w:val="SingleTxtG"/>
        <w:rPr>
          <w:iCs/>
          <w:szCs w:val="24"/>
          <w:lang w:bidi="th-TH"/>
        </w:rPr>
      </w:pPr>
      <w:r w:rsidRPr="00E75E51">
        <w:rPr>
          <w:i/>
          <w:szCs w:val="24"/>
          <w:lang w:bidi="th-TH"/>
        </w:rPr>
        <w:t xml:space="preserve">Annexe 2, </w:t>
      </w:r>
      <w:r w:rsidRPr="00AB2F4D">
        <w:rPr>
          <w:i/>
          <w:szCs w:val="24"/>
          <w:lang w:bidi="th-TH"/>
        </w:rPr>
        <w:t>paragraphe</w:t>
      </w:r>
      <w:r w:rsidRPr="00E75E51">
        <w:rPr>
          <w:i/>
          <w:szCs w:val="24"/>
          <w:lang w:bidi="th-TH"/>
        </w:rPr>
        <w:t xml:space="preserve"> 2.1</w:t>
      </w:r>
      <w:r w:rsidRPr="00E75E51">
        <w:rPr>
          <w:iCs/>
          <w:szCs w:val="24"/>
          <w:lang w:bidi="th-TH"/>
        </w:rPr>
        <w:t>, lire</w:t>
      </w:r>
      <w:r w:rsidR="00800A1D">
        <w:rPr>
          <w:iCs/>
          <w:szCs w:val="24"/>
          <w:lang w:bidi="th-TH"/>
        </w:rPr>
        <w:t> </w:t>
      </w:r>
      <w:r w:rsidRPr="00E75E51">
        <w:rPr>
          <w:iCs/>
          <w:szCs w:val="24"/>
          <w:lang w:bidi="th-TH"/>
        </w:rPr>
        <w:t>:</w:t>
      </w:r>
    </w:p>
    <w:p w:rsidR="00250C15" w:rsidRPr="00343FC2" w:rsidRDefault="00250C15" w:rsidP="00800A1D">
      <w:pPr>
        <w:pStyle w:val="SingleTxtG"/>
        <w:ind w:left="2268" w:hanging="1134"/>
        <w:rPr>
          <w:bCs/>
          <w:szCs w:val="24"/>
          <w:lang w:bidi="th-TH"/>
        </w:rPr>
      </w:pPr>
      <w:r w:rsidRPr="00343FC2">
        <w:rPr>
          <w:bCs/>
          <w:szCs w:val="24"/>
          <w:lang w:bidi="th-TH"/>
        </w:rPr>
        <w:t>«</w:t>
      </w:r>
      <w:r w:rsidR="00BA5C11">
        <w:rPr>
          <w:bCs/>
          <w:szCs w:val="24"/>
          <w:lang w:bidi="th-TH"/>
        </w:rPr>
        <w:t> </w:t>
      </w:r>
      <w:r w:rsidRPr="00343FC2">
        <w:rPr>
          <w:bCs/>
          <w:szCs w:val="24"/>
          <w:lang w:bidi="th-TH"/>
        </w:rPr>
        <w:t>2.1</w:t>
      </w:r>
      <w:r w:rsidRPr="00343FC2">
        <w:rPr>
          <w:bCs/>
          <w:szCs w:val="24"/>
          <w:lang w:bidi="th-TH"/>
        </w:rPr>
        <w:tab/>
        <w:t>Le siège doit être réglé de telle sorte que le point H coïncide avec le point R</w:t>
      </w:r>
      <w:r w:rsidR="00800A1D">
        <w:rPr>
          <w:bCs/>
          <w:szCs w:val="24"/>
          <w:lang w:bidi="th-TH"/>
        </w:rPr>
        <w:t> </w:t>
      </w:r>
      <w:r w:rsidRPr="00343FC2">
        <w:rPr>
          <w:bCs/>
          <w:szCs w:val="24"/>
          <w:lang w:bidi="th-TH"/>
        </w:rPr>
        <w:t>; si le dossier du siège est réglable, il doit être calé à l</w:t>
      </w:r>
      <w:r w:rsidR="00856B55">
        <w:rPr>
          <w:bCs/>
          <w:szCs w:val="24"/>
          <w:lang w:bidi="th-TH"/>
        </w:rPr>
        <w:t>’</w:t>
      </w:r>
      <w:r w:rsidRPr="00343FC2">
        <w:rPr>
          <w:bCs/>
          <w:szCs w:val="24"/>
          <w:lang w:bidi="th-TH"/>
        </w:rPr>
        <w:t>angle prévu d</w:t>
      </w:r>
      <w:r w:rsidR="00856B55">
        <w:rPr>
          <w:bCs/>
          <w:szCs w:val="24"/>
          <w:lang w:bidi="th-TH"/>
        </w:rPr>
        <w:t>’</w:t>
      </w:r>
      <w:r w:rsidRPr="00343FC2">
        <w:rPr>
          <w:bCs/>
          <w:szCs w:val="24"/>
          <w:lang w:bidi="th-TH"/>
        </w:rPr>
        <w:t>inclinaison. Ces deux réglages doivent être effectués conformément aux prescriptions du paragraphe 2.1 de l</w:t>
      </w:r>
      <w:r w:rsidR="00856B55">
        <w:rPr>
          <w:bCs/>
          <w:szCs w:val="24"/>
          <w:lang w:bidi="th-TH"/>
        </w:rPr>
        <w:t>’</w:t>
      </w:r>
      <w:r w:rsidRPr="00343FC2">
        <w:rPr>
          <w:bCs/>
          <w:szCs w:val="24"/>
          <w:lang w:bidi="th-TH"/>
        </w:rPr>
        <w:t>annexe 1.</w:t>
      </w:r>
    </w:p>
    <w:p w:rsidR="00250C15" w:rsidRPr="00343FC2" w:rsidRDefault="00250C15" w:rsidP="00800A1D">
      <w:pPr>
        <w:pStyle w:val="SingleTxtG"/>
        <w:ind w:left="2268"/>
        <w:rPr>
          <w:bCs/>
          <w:szCs w:val="24"/>
          <w:lang w:bidi="th-TH"/>
        </w:rPr>
      </w:pPr>
      <w:r w:rsidRPr="00343FC2">
        <w:rPr>
          <w:b/>
          <w:szCs w:val="24"/>
          <w:lang w:bidi="th-TH"/>
        </w:rPr>
        <w:tab/>
        <w:t>L</w:t>
      </w:r>
      <w:r w:rsidR="00856B55">
        <w:rPr>
          <w:b/>
          <w:szCs w:val="24"/>
          <w:lang w:bidi="th-TH"/>
        </w:rPr>
        <w:t>’</w:t>
      </w:r>
      <w:r w:rsidRPr="00343FC2">
        <w:rPr>
          <w:b/>
          <w:szCs w:val="24"/>
          <w:lang w:bidi="th-TH"/>
        </w:rPr>
        <w:t>appuie-tête doit être réglé à la position la plus haute et la plus en arrière par rapport au dossier du siège.</w:t>
      </w:r>
      <w:r w:rsidR="00800A1D">
        <w:rPr>
          <w:b/>
          <w:szCs w:val="24"/>
          <w:lang w:bidi="th-TH"/>
        </w:rPr>
        <w:t> </w:t>
      </w:r>
      <w:r w:rsidRPr="002D10DF">
        <w:rPr>
          <w:bCs/>
          <w:szCs w:val="24"/>
          <w:lang w:bidi="th-TH"/>
        </w:rPr>
        <w:t>»</w:t>
      </w:r>
      <w:r w:rsidR="00800A1D">
        <w:rPr>
          <w:bCs/>
          <w:szCs w:val="24"/>
          <w:lang w:bidi="th-TH"/>
        </w:rPr>
        <w:t>.</w:t>
      </w:r>
    </w:p>
    <w:p w:rsidR="00250C15" w:rsidRPr="00343FC2" w:rsidRDefault="00250C15" w:rsidP="00BA5C11">
      <w:pPr>
        <w:pStyle w:val="SingleTxtG"/>
        <w:rPr>
          <w:bCs/>
          <w:snapToGrid w:val="0"/>
          <w:szCs w:val="24"/>
          <w:lang w:bidi="th-TH"/>
        </w:rPr>
      </w:pPr>
      <w:r w:rsidRPr="00343FC2">
        <w:rPr>
          <w:i/>
          <w:szCs w:val="24"/>
          <w:lang w:bidi="th-TH"/>
        </w:rPr>
        <w:t>Annexe 3, paragraphe 2.3</w:t>
      </w:r>
      <w:r w:rsidRPr="00343FC2">
        <w:rPr>
          <w:iCs/>
          <w:szCs w:val="24"/>
          <w:lang w:bidi="th-TH"/>
        </w:rPr>
        <w:t>, lire :</w:t>
      </w:r>
    </w:p>
    <w:p w:rsidR="00250C15" w:rsidRPr="00343FC2" w:rsidRDefault="00250C15" w:rsidP="00800A1D">
      <w:pPr>
        <w:pStyle w:val="SingleTxtG"/>
        <w:ind w:left="2268" w:hanging="1134"/>
        <w:rPr>
          <w:bCs/>
          <w:szCs w:val="24"/>
          <w:lang w:bidi="th-TH"/>
        </w:rPr>
      </w:pPr>
      <w:r w:rsidRPr="00343FC2">
        <w:rPr>
          <w:bCs/>
          <w:szCs w:val="24"/>
          <w:lang w:bidi="th-TH"/>
        </w:rPr>
        <w:t>«</w:t>
      </w:r>
      <w:r w:rsidR="00BA5C11">
        <w:rPr>
          <w:bCs/>
          <w:szCs w:val="24"/>
          <w:lang w:bidi="th-TH"/>
        </w:rPr>
        <w:t> </w:t>
      </w:r>
      <w:r w:rsidRPr="00343FC2">
        <w:rPr>
          <w:bCs/>
          <w:szCs w:val="24"/>
          <w:lang w:bidi="th-TH"/>
        </w:rPr>
        <w:t>2.3</w:t>
      </w:r>
      <w:r w:rsidRPr="00343FC2">
        <w:rPr>
          <w:bCs/>
          <w:szCs w:val="24"/>
          <w:lang w:bidi="th-TH"/>
        </w:rPr>
        <w:tab/>
        <w:t>La zone de mesure est la zone comprise entre deux plans longitudinaux verticaux passant à 85</w:t>
      </w:r>
      <w:r w:rsidR="00EE6530">
        <w:rPr>
          <w:bCs/>
          <w:szCs w:val="24"/>
          <w:lang w:bidi="th-TH"/>
        </w:rPr>
        <w:t> </w:t>
      </w:r>
      <w:r w:rsidRPr="00343FC2">
        <w:rPr>
          <w:bCs/>
          <w:szCs w:val="24"/>
          <w:lang w:bidi="th-TH"/>
        </w:rPr>
        <w:t>mm de part et d</w:t>
      </w:r>
      <w:r w:rsidR="00856B55">
        <w:rPr>
          <w:bCs/>
          <w:szCs w:val="24"/>
          <w:lang w:bidi="th-TH"/>
        </w:rPr>
        <w:t>’</w:t>
      </w:r>
      <w:r w:rsidRPr="00343FC2">
        <w:rPr>
          <w:bCs/>
          <w:szCs w:val="24"/>
          <w:lang w:bidi="th-TH"/>
        </w:rPr>
        <w:t xml:space="preserve">autre de la ligne de torse et située </w:t>
      </w:r>
      <w:r w:rsidRPr="00343FC2">
        <w:rPr>
          <w:bCs/>
          <w:strike/>
          <w:szCs w:val="24"/>
          <w:lang w:bidi="th-TH"/>
        </w:rPr>
        <w:t>au</w:t>
      </w:r>
      <w:r w:rsidR="00AC11E6">
        <w:rPr>
          <w:bCs/>
          <w:strike/>
          <w:szCs w:val="24"/>
          <w:lang w:bidi="th-TH"/>
        </w:rPr>
        <w:noBreakHyphen/>
      </w:r>
      <w:r w:rsidRPr="00343FC2">
        <w:rPr>
          <w:bCs/>
          <w:strike/>
          <w:szCs w:val="24"/>
          <w:lang w:bidi="th-TH"/>
        </w:rPr>
        <w:t>dessus du sommet du dossier du siège</w:t>
      </w:r>
      <w:r w:rsidR="004B2DA1">
        <w:rPr>
          <w:bCs/>
          <w:strike/>
          <w:szCs w:val="24"/>
          <w:lang w:bidi="th-TH"/>
        </w:rPr>
        <w:t xml:space="preserve"> </w:t>
      </w:r>
      <w:r w:rsidRPr="00343FC2">
        <w:rPr>
          <w:b/>
          <w:bCs/>
          <w:szCs w:val="24"/>
          <w:lang w:bidi="th-TH"/>
        </w:rPr>
        <w:t>à une hauteur supérieure à 540</w:t>
      </w:r>
      <w:r w:rsidR="00800A1D">
        <w:rPr>
          <w:b/>
          <w:bCs/>
          <w:szCs w:val="24"/>
          <w:lang w:bidi="th-TH"/>
        </w:rPr>
        <w:t> </w:t>
      </w:r>
      <w:proofErr w:type="spellStart"/>
      <w:r w:rsidRPr="00343FC2">
        <w:rPr>
          <w:b/>
          <w:bCs/>
          <w:szCs w:val="24"/>
          <w:lang w:bidi="th-TH"/>
        </w:rPr>
        <w:t>mm</w:t>
      </w:r>
      <w:r w:rsidRPr="00343FC2">
        <w:rPr>
          <w:bCs/>
          <w:szCs w:val="24"/>
          <w:lang w:bidi="th-TH"/>
        </w:rPr>
        <w:t>.</w:t>
      </w:r>
      <w:proofErr w:type="spellEnd"/>
      <w:r w:rsidR="00800A1D">
        <w:rPr>
          <w:bCs/>
          <w:szCs w:val="24"/>
          <w:lang w:bidi="th-TH"/>
        </w:rPr>
        <w:t> </w:t>
      </w:r>
      <w:r w:rsidRPr="00343FC2">
        <w:rPr>
          <w:bCs/>
          <w:szCs w:val="24"/>
          <w:lang w:bidi="th-TH"/>
        </w:rPr>
        <w:t>»</w:t>
      </w:r>
      <w:r w:rsidR="00800A1D">
        <w:rPr>
          <w:bCs/>
          <w:szCs w:val="24"/>
          <w:lang w:bidi="th-TH"/>
        </w:rPr>
        <w:t>.</w:t>
      </w:r>
    </w:p>
    <w:p w:rsidR="00250C15" w:rsidRPr="00A164F9" w:rsidRDefault="00250C15" w:rsidP="00BA5C11">
      <w:pPr>
        <w:pStyle w:val="SingleTxtG"/>
        <w:rPr>
          <w:bCs/>
          <w:snapToGrid w:val="0"/>
          <w:szCs w:val="24"/>
          <w:lang w:bidi="th-TH"/>
        </w:rPr>
      </w:pPr>
      <w:r w:rsidRPr="00A164F9">
        <w:rPr>
          <w:i/>
          <w:szCs w:val="24"/>
          <w:lang w:bidi="th-TH"/>
        </w:rPr>
        <w:t>Annexe 3, paragraphe 2.5</w:t>
      </w:r>
      <w:r w:rsidRPr="00A164F9">
        <w:rPr>
          <w:iCs/>
          <w:szCs w:val="24"/>
          <w:lang w:bidi="th-TH"/>
        </w:rPr>
        <w:t>, lire :</w:t>
      </w:r>
    </w:p>
    <w:p w:rsidR="00250C15" w:rsidRPr="00A164F9" w:rsidRDefault="00250C15" w:rsidP="00800A1D">
      <w:pPr>
        <w:pStyle w:val="SingleTxtG"/>
        <w:ind w:left="2268" w:hanging="1134"/>
        <w:rPr>
          <w:bCs/>
          <w:szCs w:val="24"/>
          <w:lang w:bidi="th-TH"/>
        </w:rPr>
      </w:pPr>
      <w:r w:rsidRPr="00A164F9">
        <w:rPr>
          <w:bCs/>
          <w:szCs w:val="24"/>
          <w:lang w:bidi="th-TH"/>
        </w:rPr>
        <w:t>« 2.5</w:t>
      </w:r>
      <w:r w:rsidRPr="00A164F9">
        <w:rPr>
          <w:bCs/>
          <w:szCs w:val="24"/>
          <w:lang w:bidi="th-TH"/>
        </w:rPr>
        <w:tab/>
        <w:t>Déterminer la dimension de la discontinuité en mesurant la distance rectiligne entre les bords intérieurs des deux points de contact les plus éloignés, comme décrit aux figures 3-1</w:t>
      </w:r>
      <w:r w:rsidRPr="00A164F9">
        <w:rPr>
          <w:b/>
          <w:bCs/>
          <w:szCs w:val="24"/>
          <w:lang w:bidi="th-TH"/>
        </w:rPr>
        <w:t>,</w:t>
      </w:r>
      <w:r w:rsidRPr="00A164F9">
        <w:rPr>
          <w:bCs/>
          <w:szCs w:val="24"/>
          <w:lang w:bidi="th-TH"/>
        </w:rPr>
        <w:t xml:space="preserve"> </w:t>
      </w:r>
      <w:r w:rsidRPr="00A164F9">
        <w:rPr>
          <w:bCs/>
          <w:strike/>
          <w:szCs w:val="24"/>
          <w:lang w:bidi="th-TH"/>
        </w:rPr>
        <w:t xml:space="preserve">et </w:t>
      </w:r>
      <w:r w:rsidRPr="00A164F9">
        <w:rPr>
          <w:bCs/>
          <w:szCs w:val="24"/>
          <w:lang w:bidi="th-TH"/>
        </w:rPr>
        <w:t xml:space="preserve">3-2 </w:t>
      </w:r>
      <w:r w:rsidRPr="00A164F9">
        <w:rPr>
          <w:b/>
          <w:bCs/>
          <w:szCs w:val="24"/>
          <w:lang w:bidi="th-TH"/>
        </w:rPr>
        <w:t>et 3-3</w:t>
      </w:r>
      <w:r w:rsidRPr="00A164F9">
        <w:rPr>
          <w:bCs/>
          <w:szCs w:val="24"/>
          <w:lang w:bidi="th-TH"/>
        </w:rPr>
        <w:t>.</w:t>
      </w:r>
      <w:r w:rsidR="00BA5C11">
        <w:rPr>
          <w:bCs/>
          <w:szCs w:val="24"/>
          <w:lang w:bidi="th-TH"/>
        </w:rPr>
        <w:t> </w:t>
      </w:r>
      <w:r w:rsidRPr="00A164F9">
        <w:rPr>
          <w:bCs/>
          <w:szCs w:val="24"/>
          <w:lang w:bidi="th-TH"/>
        </w:rPr>
        <w:t>»</w:t>
      </w:r>
      <w:r w:rsidR="00BA5C11">
        <w:rPr>
          <w:bCs/>
          <w:szCs w:val="24"/>
          <w:lang w:bidi="th-TH"/>
        </w:rPr>
        <w:t>.</w:t>
      </w:r>
    </w:p>
    <w:p w:rsidR="00250C15" w:rsidRPr="00A164F9" w:rsidRDefault="00250C15" w:rsidP="00EE6530">
      <w:pPr>
        <w:pStyle w:val="SingleTxtG"/>
        <w:keepNext/>
        <w:rPr>
          <w:rFonts w:eastAsia="Yu Mincho"/>
          <w:iCs/>
          <w:szCs w:val="24"/>
        </w:rPr>
      </w:pPr>
      <w:r w:rsidRPr="00A164F9">
        <w:rPr>
          <w:rFonts w:eastAsia="Yu Mincho"/>
          <w:i/>
          <w:szCs w:val="24"/>
        </w:rPr>
        <w:lastRenderedPageBreak/>
        <w:t xml:space="preserve">Annexe 3, ajouter la nouvelle figure 3-3, </w:t>
      </w:r>
      <w:r w:rsidRPr="00A164F9">
        <w:rPr>
          <w:rFonts w:eastAsia="Yu Mincho"/>
          <w:szCs w:val="24"/>
        </w:rPr>
        <w:t xml:space="preserve">comme </w:t>
      </w:r>
      <w:r w:rsidRPr="00BA5C11">
        <w:rPr>
          <w:rFonts w:eastAsia="Yu Mincho"/>
          <w:szCs w:val="24"/>
        </w:rPr>
        <w:t>suit :</w:t>
      </w:r>
    </w:p>
    <w:p w:rsidR="003C5C26" w:rsidRDefault="00250C15" w:rsidP="007232F0">
      <w:pPr>
        <w:pStyle w:val="Titre1"/>
        <w:spacing w:after="120"/>
        <w:rPr>
          <w:snapToGrid w:val="0"/>
        </w:rPr>
      </w:pPr>
      <w:r w:rsidRPr="00A164F9">
        <w:rPr>
          <w:iCs/>
        </w:rPr>
        <w:t>«</w:t>
      </w:r>
      <w:r w:rsidR="00601666">
        <w:rPr>
          <w:iCs/>
        </w:rPr>
        <w:t> </w:t>
      </w:r>
      <w:r w:rsidRPr="00A164F9">
        <w:rPr>
          <w:iCs/>
        </w:rPr>
        <w:t>Figure 3-3</w:t>
      </w:r>
      <w:r w:rsidRPr="00A164F9">
        <w:rPr>
          <w:snapToGrid w:val="0"/>
        </w:rPr>
        <w:t xml:space="preserve"> </w:t>
      </w:r>
      <w:r w:rsidRPr="00A164F9">
        <w:rPr>
          <w:snapToGrid w:val="0"/>
        </w:rPr>
        <w:br/>
      </w:r>
      <w:r w:rsidRPr="00BA5C11">
        <w:rPr>
          <w:b/>
          <w:snapToGrid w:val="0"/>
        </w:rPr>
        <w:t>Partie de la discontinuité située au-dessus de 540 mm</w:t>
      </w:r>
    </w:p>
    <w:p w:rsidR="007232F0" w:rsidRDefault="007232F0" w:rsidP="006322FF">
      <w:pPr>
        <w:pStyle w:val="SingleTxtG"/>
        <w:rPr>
          <w:szCs w:val="24"/>
          <w:lang w:bidi="th-TH"/>
        </w:rPr>
      </w:pPr>
      <w:r w:rsidRPr="00362FAB">
        <w:rPr>
          <w:noProof/>
        </w:rPr>
        <w:drawing>
          <wp:inline distT="0" distB="0" distL="0" distR="0" wp14:anchorId="63A778DE">
            <wp:extent cx="2998470" cy="28422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r="35627" b="4346"/>
                    <a:stretch/>
                  </pic:blipFill>
                  <pic:spPr bwMode="auto">
                    <a:xfrm>
                      <a:off x="0" y="0"/>
                      <a:ext cx="299847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53F" w:rsidRDefault="007E453F" w:rsidP="00921B2F">
      <w:pPr>
        <w:pStyle w:val="SingleTxtG"/>
        <w:ind w:right="2268"/>
        <w:jc w:val="right"/>
        <w:rPr>
          <w:lang w:bidi="th-TH"/>
        </w:rPr>
      </w:pPr>
      <w:r>
        <w:rPr>
          <w:lang w:bidi="th-TH"/>
        </w:rPr>
        <w:t> ».</w:t>
      </w:r>
    </w:p>
    <w:p w:rsidR="00133C54" w:rsidRPr="00A164F9" w:rsidRDefault="00133C54" w:rsidP="00133C54">
      <w:pPr>
        <w:pStyle w:val="SingleTxtG"/>
        <w:rPr>
          <w:bCs/>
          <w:iCs/>
          <w:snapToGrid w:val="0"/>
          <w:szCs w:val="24"/>
          <w:lang w:bidi="th-TH"/>
        </w:rPr>
      </w:pPr>
      <w:r w:rsidRPr="00A164F9">
        <w:rPr>
          <w:i/>
          <w:szCs w:val="24"/>
          <w:lang w:bidi="th-TH"/>
        </w:rPr>
        <w:t>Annexe 3, paragraphe 3.3</w:t>
      </w:r>
      <w:r w:rsidRPr="00A164F9">
        <w:rPr>
          <w:iCs/>
          <w:szCs w:val="24"/>
          <w:lang w:bidi="th-TH"/>
        </w:rPr>
        <w:t>, lire</w:t>
      </w:r>
      <w:r>
        <w:rPr>
          <w:iCs/>
          <w:szCs w:val="24"/>
          <w:lang w:bidi="th-TH"/>
        </w:rPr>
        <w:t> </w:t>
      </w:r>
      <w:r w:rsidRPr="00A164F9">
        <w:rPr>
          <w:iCs/>
          <w:szCs w:val="24"/>
          <w:lang w:bidi="th-TH"/>
        </w:rPr>
        <w:t>:</w:t>
      </w:r>
    </w:p>
    <w:p w:rsidR="00133C54" w:rsidRPr="00A164F9" w:rsidRDefault="00133C54" w:rsidP="007E4F00">
      <w:pPr>
        <w:pStyle w:val="SingleTxtG"/>
        <w:ind w:left="2268" w:hanging="1134"/>
        <w:rPr>
          <w:bCs/>
          <w:szCs w:val="24"/>
          <w:lang w:bidi="th-TH"/>
        </w:rPr>
      </w:pPr>
      <w:r w:rsidRPr="00A164F9">
        <w:rPr>
          <w:bCs/>
          <w:szCs w:val="24"/>
          <w:lang w:bidi="th-TH"/>
        </w:rPr>
        <w:t>«</w:t>
      </w:r>
      <w:r>
        <w:rPr>
          <w:bCs/>
          <w:szCs w:val="24"/>
          <w:lang w:bidi="th-TH"/>
        </w:rPr>
        <w:t> </w:t>
      </w:r>
      <w:r w:rsidRPr="00A164F9">
        <w:rPr>
          <w:bCs/>
          <w:szCs w:val="24"/>
          <w:lang w:bidi="th-TH"/>
        </w:rPr>
        <w:t>3.3</w:t>
      </w:r>
      <w:r w:rsidRPr="00A164F9">
        <w:rPr>
          <w:bCs/>
          <w:szCs w:val="24"/>
          <w:lang w:bidi="th-TH"/>
        </w:rPr>
        <w:tab/>
        <w:t>La discontinuité entre le bas de l</w:t>
      </w:r>
      <w:r w:rsidR="00856B55">
        <w:rPr>
          <w:bCs/>
          <w:szCs w:val="24"/>
          <w:lang w:bidi="th-TH"/>
        </w:rPr>
        <w:t>’</w:t>
      </w:r>
      <w:r w:rsidRPr="00A164F9">
        <w:rPr>
          <w:bCs/>
          <w:szCs w:val="24"/>
          <w:lang w:bidi="th-TH"/>
        </w:rPr>
        <w:t>appuie-tête et le sommet du dossier du siège est mesurée comme étant la distance entre les deux plans parallèles définis ci</w:t>
      </w:r>
      <w:r w:rsidR="007E4F00">
        <w:rPr>
          <w:bCs/>
          <w:szCs w:val="24"/>
          <w:lang w:bidi="th-TH"/>
        </w:rPr>
        <w:noBreakHyphen/>
      </w:r>
      <w:r w:rsidRPr="00A164F9">
        <w:rPr>
          <w:bCs/>
          <w:szCs w:val="24"/>
          <w:lang w:bidi="th-TH"/>
        </w:rPr>
        <w:t>après (voir fig. 3-</w:t>
      </w:r>
      <w:r w:rsidRPr="00A164F9">
        <w:rPr>
          <w:bCs/>
          <w:strike/>
          <w:szCs w:val="24"/>
          <w:lang w:bidi="th-TH"/>
        </w:rPr>
        <w:t>3</w:t>
      </w:r>
      <w:r w:rsidRPr="00A164F9">
        <w:rPr>
          <w:b/>
          <w:bCs/>
          <w:szCs w:val="24"/>
          <w:lang w:bidi="th-TH"/>
        </w:rPr>
        <w:t>4</w:t>
      </w:r>
      <w:r w:rsidRPr="00A164F9">
        <w:rPr>
          <w:bCs/>
          <w:szCs w:val="24"/>
          <w:lang w:bidi="th-TH"/>
        </w:rPr>
        <w:t>) :</w:t>
      </w:r>
      <w:r w:rsidR="007E4F00">
        <w:rPr>
          <w:bCs/>
          <w:szCs w:val="24"/>
          <w:lang w:bidi="th-TH"/>
        </w:rPr>
        <w:t> </w:t>
      </w:r>
      <w:r w:rsidRPr="00A164F9">
        <w:rPr>
          <w:bCs/>
          <w:szCs w:val="24"/>
          <w:lang w:bidi="th-TH"/>
        </w:rPr>
        <w:t>»</w:t>
      </w:r>
      <w:r w:rsidR="007E4F00">
        <w:rPr>
          <w:bCs/>
          <w:szCs w:val="24"/>
          <w:lang w:bidi="th-TH"/>
        </w:rPr>
        <w:t>.</w:t>
      </w:r>
    </w:p>
    <w:p w:rsidR="00133C54" w:rsidRPr="00A164F9" w:rsidRDefault="00133C54" w:rsidP="007E4F00">
      <w:pPr>
        <w:pStyle w:val="SingleTxtG"/>
        <w:rPr>
          <w:rFonts w:eastAsia="Yu Mincho"/>
          <w:i/>
          <w:szCs w:val="24"/>
        </w:rPr>
      </w:pPr>
      <w:r w:rsidRPr="00A164F9">
        <w:rPr>
          <w:rFonts w:eastAsia="Yu Mincho"/>
          <w:i/>
          <w:szCs w:val="24"/>
        </w:rPr>
        <w:t>La figure 3-3 de l</w:t>
      </w:r>
      <w:r w:rsidR="00856B55">
        <w:rPr>
          <w:rFonts w:eastAsia="Yu Mincho"/>
          <w:i/>
          <w:szCs w:val="24"/>
        </w:rPr>
        <w:t>’</w:t>
      </w:r>
      <w:r w:rsidRPr="00A164F9">
        <w:rPr>
          <w:rFonts w:eastAsia="Yu Mincho"/>
          <w:i/>
          <w:szCs w:val="24"/>
        </w:rPr>
        <w:t xml:space="preserve">annexe 3 </w:t>
      </w:r>
      <w:r w:rsidRPr="00A164F9">
        <w:rPr>
          <w:rFonts w:eastAsia="Yu Mincho"/>
          <w:szCs w:val="24"/>
        </w:rPr>
        <w:t>devient la figure 3-4</w:t>
      </w:r>
      <w:r w:rsidRPr="00A164F9">
        <w:rPr>
          <w:rFonts w:eastAsia="Yu Mincho"/>
          <w:i/>
          <w:szCs w:val="24"/>
        </w:rPr>
        <w:t>.</w:t>
      </w:r>
    </w:p>
    <w:p w:rsidR="00133C54" w:rsidRPr="007E4F00" w:rsidRDefault="00133C54" w:rsidP="007E4F00">
      <w:pPr>
        <w:pStyle w:val="SingleTxtG"/>
      </w:pPr>
      <w:r w:rsidRPr="00A164F9">
        <w:rPr>
          <w:i/>
        </w:rPr>
        <w:t>L</w:t>
      </w:r>
      <w:r w:rsidR="00856B55">
        <w:rPr>
          <w:i/>
        </w:rPr>
        <w:t>’</w:t>
      </w:r>
      <w:r>
        <w:rPr>
          <w:i/>
        </w:rPr>
        <w:t>a</w:t>
      </w:r>
      <w:r w:rsidRPr="00A164F9">
        <w:rPr>
          <w:i/>
        </w:rPr>
        <w:t xml:space="preserve">nnexe 4 </w:t>
      </w:r>
      <w:r w:rsidRPr="00A164F9">
        <w:t>est supprimée</w:t>
      </w:r>
      <w:r>
        <w:t>.</w:t>
      </w:r>
    </w:p>
    <w:p w:rsidR="00133C54" w:rsidRPr="00A164F9" w:rsidRDefault="00133C54" w:rsidP="00133C54">
      <w:pPr>
        <w:pStyle w:val="SingleTxtG"/>
        <w:rPr>
          <w:rFonts w:eastAsia="Yu Mincho"/>
          <w:iCs/>
          <w:szCs w:val="24"/>
        </w:rPr>
      </w:pPr>
      <w:r w:rsidRPr="00A164F9">
        <w:rPr>
          <w:rFonts w:eastAsia="Yu Mincho"/>
          <w:i/>
          <w:szCs w:val="24"/>
        </w:rPr>
        <w:t xml:space="preserve">Les </w:t>
      </w:r>
      <w:r>
        <w:rPr>
          <w:rFonts w:eastAsia="Yu Mincho"/>
          <w:i/>
          <w:szCs w:val="24"/>
        </w:rPr>
        <w:t>a</w:t>
      </w:r>
      <w:r w:rsidRPr="00A164F9">
        <w:rPr>
          <w:rFonts w:eastAsia="Yu Mincho"/>
          <w:i/>
          <w:szCs w:val="24"/>
        </w:rPr>
        <w:t xml:space="preserve">nnexes 5 </w:t>
      </w:r>
      <w:r>
        <w:rPr>
          <w:rFonts w:eastAsia="Yu Mincho"/>
          <w:i/>
          <w:szCs w:val="24"/>
        </w:rPr>
        <w:t>à</w:t>
      </w:r>
      <w:r w:rsidRPr="00A164F9">
        <w:rPr>
          <w:rFonts w:eastAsia="Yu Mincho"/>
          <w:i/>
          <w:szCs w:val="24"/>
        </w:rPr>
        <w:t xml:space="preserve"> 7 </w:t>
      </w:r>
      <w:r w:rsidRPr="00362FAB">
        <w:rPr>
          <w:rFonts w:eastAsia="Yu Mincho"/>
          <w:szCs w:val="24"/>
        </w:rPr>
        <w:t>deviennent les annexes</w:t>
      </w:r>
      <w:r w:rsidRPr="00362FAB">
        <w:rPr>
          <w:rFonts w:eastAsia="Yu Mincho"/>
          <w:iCs/>
          <w:szCs w:val="24"/>
        </w:rPr>
        <w:t xml:space="preserve"> 4 à 6</w:t>
      </w:r>
      <w:r>
        <w:rPr>
          <w:rFonts w:eastAsia="Yu Mincho"/>
          <w:iCs/>
          <w:szCs w:val="24"/>
        </w:rPr>
        <w:t>.</w:t>
      </w:r>
    </w:p>
    <w:p w:rsidR="00133C54" w:rsidRPr="00362FAB" w:rsidRDefault="00133C54" w:rsidP="00133C54">
      <w:pPr>
        <w:pStyle w:val="SingleTxtG"/>
        <w:rPr>
          <w:rFonts w:eastAsia="MS Mincho"/>
          <w:bCs/>
          <w:iCs/>
          <w:szCs w:val="24"/>
          <w:lang w:eastAsia="zh-CN" w:bidi="th-TH"/>
        </w:rPr>
      </w:pPr>
      <w:r w:rsidRPr="00362FAB">
        <w:rPr>
          <w:i/>
          <w:szCs w:val="24"/>
          <w:lang w:bidi="th-TH"/>
        </w:rPr>
        <w:t>L</w:t>
      </w:r>
      <w:r w:rsidR="00856B55">
        <w:rPr>
          <w:i/>
          <w:szCs w:val="24"/>
          <w:lang w:bidi="th-TH"/>
        </w:rPr>
        <w:t>’</w:t>
      </w:r>
      <w:r w:rsidRPr="00362FAB">
        <w:rPr>
          <w:i/>
          <w:szCs w:val="24"/>
          <w:lang w:bidi="th-TH"/>
        </w:rPr>
        <w:t xml:space="preserve">annexe 8 </w:t>
      </w:r>
      <w:r w:rsidRPr="00362FAB">
        <w:rPr>
          <w:iCs/>
          <w:szCs w:val="24"/>
          <w:lang w:bidi="th-TH"/>
        </w:rPr>
        <w:t>devient l</w:t>
      </w:r>
      <w:r w:rsidR="00856B55">
        <w:rPr>
          <w:iCs/>
          <w:szCs w:val="24"/>
          <w:lang w:bidi="th-TH"/>
        </w:rPr>
        <w:t>’</w:t>
      </w:r>
      <w:r w:rsidRPr="00362FAB">
        <w:rPr>
          <w:iCs/>
          <w:szCs w:val="24"/>
          <w:lang w:bidi="th-TH"/>
        </w:rPr>
        <w:t>annexe</w:t>
      </w:r>
      <w:r w:rsidR="00607255">
        <w:rPr>
          <w:iCs/>
          <w:szCs w:val="24"/>
          <w:lang w:bidi="th-TH"/>
        </w:rPr>
        <w:t> </w:t>
      </w:r>
      <w:r w:rsidRPr="00362FAB">
        <w:rPr>
          <w:iCs/>
          <w:szCs w:val="24"/>
          <w:lang w:bidi="th-TH"/>
        </w:rPr>
        <w:t>7</w:t>
      </w:r>
      <w:r>
        <w:rPr>
          <w:iCs/>
          <w:szCs w:val="24"/>
          <w:lang w:bidi="th-TH"/>
        </w:rPr>
        <w:t>,</w:t>
      </w:r>
      <w:r w:rsidRPr="00362FAB">
        <w:rPr>
          <w:iCs/>
          <w:szCs w:val="24"/>
          <w:lang w:bidi="th-TH"/>
        </w:rPr>
        <w:t xml:space="preserve"> à laquell</w:t>
      </w:r>
      <w:r>
        <w:rPr>
          <w:iCs/>
          <w:szCs w:val="24"/>
          <w:lang w:bidi="th-TH"/>
        </w:rPr>
        <w:t xml:space="preserve">e est ajouté le nouveau </w:t>
      </w:r>
      <w:r w:rsidRPr="00362FAB">
        <w:rPr>
          <w:iCs/>
          <w:szCs w:val="24"/>
          <w:lang w:bidi="th-TH"/>
        </w:rPr>
        <w:t>paragraph</w:t>
      </w:r>
      <w:r>
        <w:rPr>
          <w:iCs/>
          <w:szCs w:val="24"/>
          <w:lang w:bidi="th-TH"/>
        </w:rPr>
        <w:t>e</w:t>
      </w:r>
      <w:r w:rsidRPr="00362FAB">
        <w:rPr>
          <w:iCs/>
          <w:szCs w:val="24"/>
          <w:lang w:bidi="th-TH"/>
        </w:rPr>
        <w:t xml:space="preserve"> 2.10</w:t>
      </w:r>
      <w:r>
        <w:rPr>
          <w:iCs/>
          <w:szCs w:val="24"/>
          <w:lang w:bidi="th-TH"/>
        </w:rPr>
        <w:t>, libellé</w:t>
      </w:r>
      <w:r w:rsidRPr="00362FAB">
        <w:rPr>
          <w:iCs/>
          <w:szCs w:val="24"/>
          <w:lang w:bidi="th-TH"/>
        </w:rPr>
        <w:t xml:space="preserve"> </w:t>
      </w:r>
      <w:r>
        <w:rPr>
          <w:iCs/>
          <w:szCs w:val="24"/>
          <w:lang w:bidi="th-TH"/>
        </w:rPr>
        <w:t>comme suit</w:t>
      </w:r>
      <w:r w:rsidRPr="00362FAB">
        <w:rPr>
          <w:iCs/>
          <w:szCs w:val="24"/>
          <w:lang w:bidi="th-TH"/>
        </w:rPr>
        <w:t xml:space="preserve"> :</w:t>
      </w:r>
    </w:p>
    <w:p w:rsidR="00133C54" w:rsidRPr="00362FAB" w:rsidRDefault="00133C54" w:rsidP="007E4F00">
      <w:pPr>
        <w:pStyle w:val="SingleTxtG"/>
        <w:ind w:left="2268" w:hanging="1134"/>
        <w:rPr>
          <w:rFonts w:eastAsia="MS Mincho"/>
          <w:bCs/>
          <w:szCs w:val="24"/>
        </w:rPr>
      </w:pPr>
      <w:r w:rsidRPr="00362FAB">
        <w:rPr>
          <w:rFonts w:eastAsia="MS Mincho"/>
          <w:bCs/>
          <w:szCs w:val="24"/>
        </w:rPr>
        <w:t>«</w:t>
      </w:r>
      <w:r w:rsidR="007E4F00">
        <w:rPr>
          <w:rFonts w:eastAsia="MS Mincho"/>
          <w:szCs w:val="24"/>
        </w:rPr>
        <w:t> </w:t>
      </w:r>
      <w:r w:rsidRPr="00362FAB">
        <w:rPr>
          <w:rFonts w:eastAsia="MS Mincho"/>
          <w:b/>
          <w:szCs w:val="24"/>
        </w:rPr>
        <w:t>2.10</w:t>
      </w:r>
      <w:r w:rsidRPr="00362FAB">
        <w:rPr>
          <w:rFonts w:eastAsia="MS Mincho"/>
          <w:b/>
          <w:szCs w:val="24"/>
        </w:rPr>
        <w:tab/>
      </w:r>
      <w:r>
        <w:rPr>
          <w:rFonts w:eastAsia="MS Mincho"/>
          <w:b/>
          <w:szCs w:val="24"/>
        </w:rPr>
        <w:t>Dans le cas où le constructeur démontre</w:t>
      </w:r>
      <w:r w:rsidRPr="00362FAB">
        <w:rPr>
          <w:rFonts w:eastAsia="MS Mincho"/>
          <w:b/>
          <w:szCs w:val="24"/>
        </w:rPr>
        <w:t xml:space="preserve"> que </w:t>
      </w:r>
      <w:r>
        <w:rPr>
          <w:rFonts w:eastAsia="MS Mincho"/>
          <w:b/>
          <w:szCs w:val="24"/>
        </w:rPr>
        <w:t>l</w:t>
      </w:r>
      <w:r w:rsidR="00856B55">
        <w:rPr>
          <w:rFonts w:eastAsia="MS Mincho"/>
          <w:b/>
          <w:szCs w:val="24"/>
        </w:rPr>
        <w:t>’</w:t>
      </w:r>
      <w:r>
        <w:rPr>
          <w:rFonts w:eastAsia="MS Mincho"/>
          <w:b/>
          <w:szCs w:val="24"/>
        </w:rPr>
        <w:t xml:space="preserve">écart </w:t>
      </w:r>
      <w:r w:rsidRPr="00362FAB">
        <w:rPr>
          <w:rFonts w:eastAsia="MS Mincho"/>
          <w:b/>
          <w:szCs w:val="24"/>
        </w:rPr>
        <w:t xml:space="preserve">entre les positions de référence du </w:t>
      </w:r>
      <w:r>
        <w:rPr>
          <w:rFonts w:eastAsia="MS Mincho"/>
          <w:b/>
          <w:szCs w:val="24"/>
        </w:rPr>
        <w:t xml:space="preserve">cylindre mesurées </w:t>
      </w:r>
      <w:r w:rsidRPr="00362FAB">
        <w:rPr>
          <w:rFonts w:eastAsia="MS Mincho"/>
          <w:b/>
          <w:szCs w:val="24"/>
        </w:rPr>
        <w:t>conformément aux paragraphes 2.3 et 2.6 de la présente annexe est inférieur à la valeur indiquée au paragraphe 5.2.2 du présent Règlement, on peut aussi considérer que le résultat de l</w:t>
      </w:r>
      <w:r w:rsidR="00856B55">
        <w:rPr>
          <w:rFonts w:eastAsia="MS Mincho"/>
          <w:b/>
          <w:szCs w:val="24"/>
        </w:rPr>
        <w:t>’</w:t>
      </w:r>
      <w:r w:rsidRPr="00362FAB">
        <w:rPr>
          <w:rFonts w:eastAsia="MS Mincho"/>
          <w:b/>
          <w:szCs w:val="24"/>
        </w:rPr>
        <w:t xml:space="preserve">essai </w:t>
      </w:r>
      <w:r>
        <w:rPr>
          <w:rFonts w:eastAsia="MS Mincho"/>
          <w:b/>
          <w:szCs w:val="24"/>
        </w:rPr>
        <w:t xml:space="preserve">est </w:t>
      </w:r>
      <w:r w:rsidRPr="00362FAB">
        <w:rPr>
          <w:rFonts w:eastAsia="MS Mincho"/>
          <w:b/>
          <w:szCs w:val="24"/>
        </w:rPr>
        <w:t>conforme aux dispositions du paragraphe 5.2.2.</w:t>
      </w:r>
      <w:r>
        <w:rPr>
          <w:rFonts w:eastAsia="MS Mincho"/>
          <w:b/>
          <w:szCs w:val="24"/>
        </w:rPr>
        <w:t xml:space="preserve"> Il</w:t>
      </w:r>
      <w:r w:rsidR="007E4F00">
        <w:rPr>
          <w:rFonts w:eastAsia="MS Mincho"/>
          <w:b/>
          <w:szCs w:val="24"/>
        </w:rPr>
        <w:t> </w:t>
      </w:r>
      <w:r w:rsidRPr="00362FAB">
        <w:rPr>
          <w:rFonts w:eastAsia="MS Mincho"/>
          <w:b/>
          <w:szCs w:val="24"/>
        </w:rPr>
        <w:t>n</w:t>
      </w:r>
      <w:r w:rsidR="00856B55">
        <w:rPr>
          <w:rFonts w:eastAsia="MS Mincho"/>
          <w:b/>
          <w:szCs w:val="24"/>
        </w:rPr>
        <w:t>’</w:t>
      </w:r>
      <w:r w:rsidRPr="00362FAB">
        <w:rPr>
          <w:rFonts w:eastAsia="MS Mincho"/>
          <w:b/>
          <w:szCs w:val="24"/>
        </w:rPr>
        <w:t xml:space="preserve">est </w:t>
      </w:r>
      <w:r>
        <w:rPr>
          <w:rFonts w:eastAsia="MS Mincho"/>
          <w:b/>
          <w:szCs w:val="24"/>
        </w:rPr>
        <w:t xml:space="preserve">alors </w:t>
      </w:r>
      <w:r w:rsidRPr="00362FAB">
        <w:rPr>
          <w:rFonts w:eastAsia="MS Mincho"/>
          <w:b/>
          <w:szCs w:val="24"/>
        </w:rPr>
        <w:t xml:space="preserve">pas nécessaire </w:t>
      </w:r>
      <w:r>
        <w:rPr>
          <w:rFonts w:eastAsia="MS Mincho"/>
          <w:b/>
          <w:szCs w:val="24"/>
        </w:rPr>
        <w:t xml:space="preserve">de consigner </w:t>
      </w:r>
      <w:r w:rsidRPr="00362FAB">
        <w:rPr>
          <w:rFonts w:eastAsia="MS Mincho"/>
          <w:b/>
          <w:szCs w:val="24"/>
        </w:rPr>
        <w:t>les mesures prévues aux paragraphes 2.4 et 2.7 de l</w:t>
      </w:r>
      <w:r w:rsidR="00856B55">
        <w:rPr>
          <w:rFonts w:eastAsia="MS Mincho"/>
          <w:b/>
          <w:szCs w:val="24"/>
        </w:rPr>
        <w:t>’</w:t>
      </w:r>
      <w:r w:rsidRPr="00362FAB">
        <w:rPr>
          <w:rFonts w:eastAsia="MS Mincho"/>
          <w:b/>
          <w:szCs w:val="24"/>
        </w:rPr>
        <w:t xml:space="preserve">annexe </w:t>
      </w:r>
      <w:r>
        <w:rPr>
          <w:rFonts w:eastAsia="MS Mincho"/>
          <w:b/>
          <w:szCs w:val="24"/>
        </w:rPr>
        <w:t>7</w:t>
      </w:r>
      <w:r w:rsidRPr="00362FAB">
        <w:rPr>
          <w:rFonts w:eastAsia="MS Mincho"/>
          <w:b/>
          <w:szCs w:val="24"/>
        </w:rPr>
        <w:t>.</w:t>
      </w:r>
      <w:r w:rsidRPr="00362FAB">
        <w:rPr>
          <w:rFonts w:eastAsia="MS Mincho"/>
          <w:bCs/>
          <w:szCs w:val="24"/>
        </w:rPr>
        <w:t xml:space="preserve"> »</w:t>
      </w:r>
      <w:r w:rsidR="007E4F00">
        <w:rPr>
          <w:rFonts w:eastAsia="MS Mincho"/>
          <w:bCs/>
          <w:szCs w:val="24"/>
        </w:rPr>
        <w:t>.</w:t>
      </w:r>
    </w:p>
    <w:p w:rsidR="00133C54" w:rsidRPr="00362FAB" w:rsidRDefault="00133C54" w:rsidP="00133C54">
      <w:pPr>
        <w:pStyle w:val="SingleTxtG"/>
        <w:rPr>
          <w:rFonts w:eastAsia="MS Mincho"/>
          <w:b/>
          <w:szCs w:val="24"/>
        </w:rPr>
      </w:pPr>
      <w:r>
        <w:rPr>
          <w:rFonts w:eastAsia="MS Mincho"/>
          <w:bCs/>
          <w:i/>
          <w:iCs/>
          <w:szCs w:val="24"/>
        </w:rPr>
        <w:t>Les a</w:t>
      </w:r>
      <w:r w:rsidRPr="00362FAB">
        <w:rPr>
          <w:rFonts w:eastAsia="MS Mincho"/>
          <w:bCs/>
          <w:i/>
          <w:iCs/>
          <w:szCs w:val="24"/>
        </w:rPr>
        <w:t>nnexes 9 à 13</w:t>
      </w:r>
      <w:r w:rsidRPr="00362FAB">
        <w:rPr>
          <w:rFonts w:eastAsia="MS Mincho"/>
          <w:bCs/>
          <w:szCs w:val="24"/>
        </w:rPr>
        <w:t xml:space="preserve"> deviennent les annex</w:t>
      </w:r>
      <w:r>
        <w:rPr>
          <w:rFonts w:eastAsia="MS Mincho"/>
          <w:bCs/>
          <w:szCs w:val="24"/>
        </w:rPr>
        <w:t>es 8 à 12.</w:t>
      </w:r>
    </w:p>
    <w:p w:rsidR="00133C54" w:rsidRPr="00387A06" w:rsidRDefault="00133C54" w:rsidP="00133C54">
      <w:pPr>
        <w:pStyle w:val="HChG"/>
      </w:pPr>
      <w:r w:rsidRPr="00362FAB">
        <w:tab/>
      </w:r>
      <w:r w:rsidRPr="00387A06">
        <w:t>II.</w:t>
      </w:r>
      <w:r w:rsidRPr="00387A06">
        <w:tab/>
      </w:r>
      <w:r w:rsidRPr="00133C54">
        <w:t>Justification</w:t>
      </w:r>
    </w:p>
    <w:p w:rsidR="00133C54" w:rsidRPr="006544B6" w:rsidRDefault="00133C54" w:rsidP="00133C54">
      <w:pPr>
        <w:pStyle w:val="SingleTxtG"/>
      </w:pPr>
      <w:r w:rsidRPr="00294C2D">
        <w:t>1.</w:t>
      </w:r>
      <w:r w:rsidRPr="00294C2D">
        <w:tab/>
        <w:t>Le présent document précise de quelle manière</w:t>
      </w:r>
      <w:r>
        <w:t xml:space="preserve"> il faut</w:t>
      </w:r>
      <w:r w:rsidRPr="00294C2D">
        <w:t xml:space="preserve"> appliquer et comprendre les </w:t>
      </w:r>
      <w:r>
        <w:t xml:space="preserve">nouvelles </w:t>
      </w:r>
      <w:r w:rsidRPr="00294C2D">
        <w:t xml:space="preserve">dispositions de la phase 2 du RTM ONU </w:t>
      </w:r>
      <w:r w:rsidR="00856B55" w:rsidRPr="002D76F4">
        <w:rPr>
          <w:rFonts w:eastAsia="MS Mincho"/>
          <w:szCs w:val="22"/>
        </w:rPr>
        <w:t>n</w:t>
      </w:r>
      <w:r w:rsidR="00856B55" w:rsidRPr="002D76F4">
        <w:rPr>
          <w:rFonts w:eastAsia="MS Mincho"/>
          <w:szCs w:val="22"/>
          <w:vertAlign w:val="superscript"/>
        </w:rPr>
        <w:t>o</w:t>
      </w:r>
      <w:r w:rsidR="00856B55">
        <w:t> </w:t>
      </w:r>
      <w:r w:rsidRPr="00294C2D">
        <w:t>7 concernant la résistance statique</w:t>
      </w:r>
      <w:r>
        <w:t>,</w:t>
      </w:r>
      <w:r w:rsidRPr="00294C2D">
        <w:t xml:space="preserve"> qui ont été jugées </w:t>
      </w:r>
      <w:r>
        <w:t>insuffisamment claires.</w:t>
      </w:r>
      <w:r w:rsidRPr="00294C2D">
        <w:t xml:space="preserve"> </w:t>
      </w:r>
      <w:r>
        <w:t>L</w:t>
      </w:r>
      <w:r w:rsidRPr="006544B6">
        <w:t xml:space="preserve">a zone </w:t>
      </w:r>
      <w:r>
        <w:t xml:space="preserve">de mesure de </w:t>
      </w:r>
      <w:r w:rsidRPr="006544B6">
        <w:t>la discontinuité est alignée avec la pratique actuelle</w:t>
      </w:r>
      <w:r>
        <w:t xml:space="preserve">, </w:t>
      </w:r>
      <w:r w:rsidRPr="006544B6">
        <w:t>en application du Rè</w:t>
      </w:r>
      <w:r>
        <w:t xml:space="preserve">glement ONU </w:t>
      </w:r>
      <w:r w:rsidR="00856B55" w:rsidRPr="002D76F4">
        <w:rPr>
          <w:rFonts w:eastAsia="MS Mincho"/>
          <w:szCs w:val="22"/>
        </w:rPr>
        <w:t>n</w:t>
      </w:r>
      <w:r w:rsidR="00856B55" w:rsidRPr="002D76F4">
        <w:rPr>
          <w:rFonts w:eastAsia="MS Mincho"/>
          <w:szCs w:val="22"/>
          <w:vertAlign w:val="superscript"/>
        </w:rPr>
        <w:t>o</w:t>
      </w:r>
      <w:r w:rsidR="00856B55">
        <w:t> </w:t>
      </w:r>
      <w:r>
        <w:t>17 et de la norme FMVSS (</w:t>
      </w:r>
      <w:proofErr w:type="spellStart"/>
      <w:r w:rsidRPr="006544B6">
        <w:t>Federal</w:t>
      </w:r>
      <w:proofErr w:type="spellEnd"/>
      <w:r w:rsidRPr="006544B6">
        <w:t xml:space="preserve"> </w:t>
      </w:r>
      <w:proofErr w:type="spellStart"/>
      <w:r w:rsidRPr="006544B6">
        <w:t>Motor</w:t>
      </w:r>
      <w:proofErr w:type="spellEnd"/>
      <w:r w:rsidRPr="006544B6">
        <w:t xml:space="preserve"> </w:t>
      </w:r>
      <w:proofErr w:type="spellStart"/>
      <w:r w:rsidRPr="006544B6">
        <w:t>Vehicle</w:t>
      </w:r>
      <w:proofErr w:type="spellEnd"/>
      <w:r w:rsidRPr="006544B6">
        <w:t xml:space="preserve"> </w:t>
      </w:r>
      <w:proofErr w:type="spellStart"/>
      <w:r w:rsidRPr="006544B6">
        <w:t>Safet</w:t>
      </w:r>
      <w:bookmarkStart w:id="1" w:name="_GoBack"/>
      <w:bookmarkEnd w:id="1"/>
      <w:r w:rsidRPr="006544B6">
        <w:t>y</w:t>
      </w:r>
      <w:proofErr w:type="spellEnd"/>
      <w:r w:rsidRPr="006544B6">
        <w:t xml:space="preserve"> Standard</w:t>
      </w:r>
      <w:r>
        <w:t>)</w:t>
      </w:r>
      <w:r w:rsidRPr="006544B6">
        <w:t xml:space="preserve"> 202</w:t>
      </w:r>
      <w:r>
        <w:t>,</w:t>
      </w:r>
      <w:r w:rsidRPr="006544B6">
        <w:t xml:space="preserve"> </w:t>
      </w:r>
      <w:r>
        <w:t xml:space="preserve">qui prennent en compte uniquement les discontinuités à une hauteur supérieure à </w:t>
      </w:r>
      <w:r w:rsidRPr="006544B6">
        <w:t>540</w:t>
      </w:r>
      <w:r w:rsidR="00856B55">
        <w:t> </w:t>
      </w:r>
      <w:proofErr w:type="spellStart"/>
      <w:r w:rsidRPr="006544B6">
        <w:t>mm.</w:t>
      </w:r>
      <w:proofErr w:type="spellEnd"/>
    </w:p>
    <w:p w:rsidR="007232F0" w:rsidRDefault="00133C54" w:rsidP="00EE6530">
      <w:pPr>
        <w:pStyle w:val="SingleTxtG"/>
        <w:keepNext/>
        <w:keepLines/>
      </w:pPr>
      <w:r w:rsidRPr="00E51DE0">
        <w:lastRenderedPageBreak/>
        <w:t>2.</w:t>
      </w:r>
      <w:r w:rsidRPr="00E51DE0">
        <w:tab/>
        <w:t>Le nouveau paragraphe 2.10 de l</w:t>
      </w:r>
      <w:r w:rsidR="00856B55">
        <w:t>’</w:t>
      </w:r>
      <w:r w:rsidRPr="00E51DE0">
        <w:t>annexe</w:t>
      </w:r>
      <w:r w:rsidR="00856B55">
        <w:t> </w:t>
      </w:r>
      <w:r w:rsidRPr="00E51DE0">
        <w:t xml:space="preserve">7 </w:t>
      </w:r>
      <w:r>
        <w:t>(</w:t>
      </w:r>
      <w:r w:rsidRPr="00E51DE0">
        <w:t>Procédure d</w:t>
      </w:r>
      <w:r w:rsidR="00856B55">
        <w:t>’</w:t>
      </w:r>
      <w:r w:rsidRPr="00E51DE0">
        <w:t>essai pour le contrôle du maintien en hau</w:t>
      </w:r>
      <w:r>
        <w:t>teur)</w:t>
      </w:r>
      <w:r w:rsidRPr="00E51DE0">
        <w:t xml:space="preserve"> </w:t>
      </w:r>
      <w:r>
        <w:t>vise à faciliter les essais effectués par les laboratoires</w:t>
      </w:r>
      <w:r w:rsidRPr="00E51DE0">
        <w:t xml:space="preserve">, </w:t>
      </w:r>
      <w:r>
        <w:t>qui peuvent plus aisément mesurer le déplacement au sommet de l</w:t>
      </w:r>
      <w:r w:rsidR="00856B55">
        <w:t>’</w:t>
      </w:r>
      <w:r>
        <w:t>appuie-tête</w:t>
      </w:r>
      <w:r w:rsidRPr="00E51DE0">
        <w:t xml:space="preserve">. </w:t>
      </w:r>
      <w:r w:rsidRPr="00562FF3">
        <w:t>Le déplacement au sommet de l</w:t>
      </w:r>
      <w:r w:rsidR="00856B55">
        <w:t>’</w:t>
      </w:r>
      <w:r w:rsidRPr="00562FF3">
        <w:t>appuie-tête étant plus élevé qu</w:t>
      </w:r>
      <w:r w:rsidR="00856B55">
        <w:t>’</w:t>
      </w:r>
      <w:r w:rsidRPr="00562FF3">
        <w:t>à la base de l</w:t>
      </w:r>
      <w:r w:rsidR="00856B55">
        <w:t>’</w:t>
      </w:r>
      <w:r w:rsidRPr="00562FF3">
        <w:t>appuie-tête, tout appuie-tête répondant au critère de déplacement de 25</w:t>
      </w:r>
      <w:r w:rsidR="00856B55">
        <w:t> </w:t>
      </w:r>
      <w:r w:rsidRPr="00562FF3">
        <w:t>mm au sommet de l</w:t>
      </w:r>
      <w:r w:rsidR="00856B55">
        <w:t>’</w:t>
      </w:r>
      <w:r w:rsidRPr="00562FF3">
        <w:t>appuie-tête sera considéré comme remplissant ég</w:t>
      </w:r>
      <w:r>
        <w:t>alement les critères de déplacement de l</w:t>
      </w:r>
      <w:r w:rsidR="00856B55">
        <w:t>’</w:t>
      </w:r>
      <w:r>
        <w:t>essai pour le contrôle du maintien en hauteur.</w:t>
      </w:r>
    </w:p>
    <w:p w:rsidR="00856B55" w:rsidRPr="00856B55" w:rsidRDefault="00856B55" w:rsidP="00856B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6B55" w:rsidRPr="00856B55" w:rsidSect="006C4CC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FF" w:rsidRDefault="005327FF" w:rsidP="00F95C08">
      <w:pPr>
        <w:spacing w:line="240" w:lineRule="auto"/>
      </w:pPr>
    </w:p>
  </w:endnote>
  <w:endnote w:type="continuationSeparator" w:id="0">
    <w:p w:rsidR="005327FF" w:rsidRPr="00AC3823" w:rsidRDefault="005327FF" w:rsidP="00AC3823">
      <w:pPr>
        <w:pStyle w:val="Pieddepage"/>
      </w:pPr>
    </w:p>
  </w:endnote>
  <w:endnote w:type="continuationNotice" w:id="1">
    <w:p w:rsidR="005327FF" w:rsidRDefault="005327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C6" w:rsidRPr="006C4CC6" w:rsidRDefault="006C4CC6" w:rsidP="006C4CC6">
    <w:pPr>
      <w:pStyle w:val="Pieddepage"/>
      <w:tabs>
        <w:tab w:val="right" w:pos="9638"/>
      </w:tabs>
    </w:pPr>
    <w:r w:rsidRPr="006C4CC6">
      <w:rPr>
        <w:b/>
        <w:sz w:val="18"/>
      </w:rPr>
      <w:fldChar w:fldCharType="begin"/>
    </w:r>
    <w:r w:rsidRPr="006C4CC6">
      <w:rPr>
        <w:b/>
        <w:sz w:val="18"/>
      </w:rPr>
      <w:instrText xml:space="preserve"> PAGE  \* MERGEFORMAT </w:instrText>
    </w:r>
    <w:r w:rsidRPr="006C4CC6">
      <w:rPr>
        <w:b/>
        <w:sz w:val="18"/>
      </w:rPr>
      <w:fldChar w:fldCharType="separate"/>
    </w:r>
    <w:r w:rsidRPr="006C4CC6">
      <w:rPr>
        <w:b/>
        <w:noProof/>
        <w:sz w:val="18"/>
      </w:rPr>
      <w:t>2</w:t>
    </w:r>
    <w:r w:rsidRPr="006C4CC6">
      <w:rPr>
        <w:b/>
        <w:sz w:val="18"/>
      </w:rPr>
      <w:fldChar w:fldCharType="end"/>
    </w:r>
    <w:r>
      <w:rPr>
        <w:b/>
        <w:sz w:val="18"/>
      </w:rPr>
      <w:tab/>
    </w:r>
    <w:r>
      <w:t>GE.19-16529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C6" w:rsidRPr="006C4CC6" w:rsidRDefault="006C4CC6" w:rsidP="006C4CC6">
    <w:pPr>
      <w:pStyle w:val="Pieddepage"/>
      <w:tabs>
        <w:tab w:val="right" w:pos="9638"/>
      </w:tabs>
      <w:rPr>
        <w:b/>
        <w:sz w:val="18"/>
      </w:rPr>
    </w:pPr>
    <w:r>
      <w:t>GE.19-16529</w:t>
    </w:r>
    <w:r>
      <w:tab/>
    </w:r>
    <w:r w:rsidRPr="006C4CC6">
      <w:rPr>
        <w:b/>
        <w:sz w:val="18"/>
      </w:rPr>
      <w:fldChar w:fldCharType="begin"/>
    </w:r>
    <w:r w:rsidRPr="006C4CC6">
      <w:rPr>
        <w:b/>
        <w:sz w:val="18"/>
      </w:rPr>
      <w:instrText xml:space="preserve"> PAGE  \* MERGEFORMAT </w:instrText>
    </w:r>
    <w:r w:rsidRPr="006C4CC6">
      <w:rPr>
        <w:b/>
        <w:sz w:val="18"/>
      </w:rPr>
      <w:fldChar w:fldCharType="separate"/>
    </w:r>
    <w:r w:rsidRPr="006C4CC6">
      <w:rPr>
        <w:b/>
        <w:noProof/>
        <w:sz w:val="18"/>
      </w:rPr>
      <w:t>3</w:t>
    </w:r>
    <w:r w:rsidRPr="006C4C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C4CC6" w:rsidRDefault="006C4CC6" w:rsidP="006C4CC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19-16529  (F)</w:t>
    </w:r>
    <w:r w:rsidR="0050423A">
      <w:rPr>
        <w:sz w:val="20"/>
      </w:rPr>
      <w:t xml:space="preserve">    211019    221019</w:t>
    </w:r>
    <w:r>
      <w:rPr>
        <w:sz w:val="20"/>
      </w:rPr>
      <w:br/>
    </w:r>
    <w:r w:rsidRPr="006C4CC6">
      <w:rPr>
        <w:rFonts w:ascii="C39T30Lfz" w:hAnsi="C39T30Lfz"/>
        <w:sz w:val="56"/>
      </w:rPr>
      <w:t></w:t>
    </w:r>
    <w:r w:rsidRPr="006C4CC6">
      <w:rPr>
        <w:rFonts w:ascii="C39T30Lfz" w:hAnsi="C39T30Lfz"/>
        <w:sz w:val="56"/>
      </w:rPr>
      <w:t></w:t>
    </w:r>
    <w:r w:rsidRPr="006C4CC6">
      <w:rPr>
        <w:rFonts w:ascii="C39T30Lfz" w:hAnsi="C39T30Lfz"/>
        <w:sz w:val="56"/>
      </w:rPr>
      <w:t></w:t>
    </w:r>
    <w:r w:rsidRPr="006C4CC6">
      <w:rPr>
        <w:rFonts w:ascii="C39T30Lfz" w:hAnsi="C39T30Lfz"/>
        <w:sz w:val="56"/>
      </w:rPr>
      <w:t></w:t>
    </w:r>
    <w:r w:rsidRPr="006C4CC6">
      <w:rPr>
        <w:rFonts w:ascii="C39T30Lfz" w:hAnsi="C39T30Lfz"/>
        <w:sz w:val="56"/>
      </w:rPr>
      <w:t></w:t>
    </w:r>
    <w:r w:rsidRPr="006C4CC6">
      <w:rPr>
        <w:rFonts w:ascii="C39T30Lfz" w:hAnsi="C39T30Lfz"/>
        <w:sz w:val="56"/>
      </w:rPr>
      <w:t></w:t>
    </w:r>
    <w:r w:rsidRPr="006C4CC6">
      <w:rPr>
        <w:rFonts w:ascii="C39T30Lfz" w:hAnsi="C39T30Lfz"/>
        <w:sz w:val="56"/>
      </w:rPr>
      <w:t></w:t>
    </w:r>
    <w:r w:rsidRPr="006C4CC6">
      <w:rPr>
        <w:rFonts w:ascii="C39T30Lfz" w:hAnsi="C39T30Lfz"/>
        <w:sz w:val="56"/>
      </w:rPr>
      <w:t></w:t>
    </w:r>
    <w:r w:rsidRPr="006C4CC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FF" w:rsidRPr="00AC3823" w:rsidRDefault="005327F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27FF" w:rsidRPr="00AC3823" w:rsidRDefault="005327F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27FF" w:rsidRPr="00AC3823" w:rsidRDefault="005327FF">
      <w:pPr>
        <w:spacing w:line="240" w:lineRule="auto"/>
        <w:rPr>
          <w:sz w:val="2"/>
          <w:szCs w:val="2"/>
        </w:rPr>
      </w:pPr>
    </w:p>
  </w:footnote>
  <w:footnote w:id="2">
    <w:p w:rsidR="001A6F85" w:rsidRPr="00954213" w:rsidRDefault="001A6F85" w:rsidP="001A6F85">
      <w:pPr>
        <w:pStyle w:val="Notedebasdepage"/>
        <w:jc w:val="both"/>
      </w:pPr>
      <w:r>
        <w:tab/>
      </w:r>
      <w:r w:rsidRPr="0050423A">
        <w:rPr>
          <w:rStyle w:val="Appelnotedebasdep"/>
          <w:sz w:val="20"/>
          <w:vertAlign w:val="baseline"/>
        </w:rPr>
        <w:t>*</w:t>
      </w:r>
      <w:r w:rsidRPr="00954213">
        <w:tab/>
      </w:r>
      <w:r w:rsidRPr="0050423A">
        <w:rPr>
          <w:spacing w:val="-2"/>
          <w:szCs w:val="18"/>
        </w:rPr>
        <w:t>Conformément au programme de travail du Comité des transports intérieurs pour la période 2018-2019</w:t>
      </w:r>
      <w:r w:rsidRPr="00954213">
        <w:rPr>
          <w:szCs w:val="18"/>
        </w:rPr>
        <w:t xml:space="preserve"> (ECE/TRANS/274, par.</w:t>
      </w:r>
      <w:r w:rsidR="0050423A">
        <w:rPr>
          <w:szCs w:val="18"/>
        </w:rPr>
        <w:t> </w:t>
      </w:r>
      <w:r w:rsidRPr="00954213">
        <w:rPr>
          <w:szCs w:val="18"/>
        </w:rPr>
        <w:t>123, et ECE/TRANS/2018/21/Add.1, module 3.1), le Forum mondial a pour mission d’élaborer, d’harmoniser et de mettre à jour les Règlements ONU en vue d’améliorer les caractéristiques fonctionnelles des véhicules.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C6" w:rsidRPr="006C4CC6" w:rsidRDefault="006C4CC6">
    <w:pPr>
      <w:pStyle w:val="En-tte"/>
    </w:pPr>
    <w:fldSimple w:instr=" TITLE  \* MERGEFORMAT ">
      <w:r w:rsidR="00D762E6">
        <w:t>ECE/TRANS/WP.29/GRSP/2019/20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C6" w:rsidRPr="006C4CC6" w:rsidRDefault="006C4CC6" w:rsidP="006C4CC6">
    <w:pPr>
      <w:pStyle w:val="En-tte"/>
      <w:jc w:val="right"/>
    </w:pPr>
    <w:fldSimple w:instr=" TITLE  \* MERGEFORMAT ">
      <w:r w:rsidR="00D762E6">
        <w:t>ECE/TRANS/WP.29/GRSP/2019/20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27FF"/>
    <w:rsid w:val="00017F94"/>
    <w:rsid w:val="00023842"/>
    <w:rsid w:val="000334F9"/>
    <w:rsid w:val="00045FEB"/>
    <w:rsid w:val="0007796D"/>
    <w:rsid w:val="000B7790"/>
    <w:rsid w:val="00111F2F"/>
    <w:rsid w:val="00133C54"/>
    <w:rsid w:val="0014365E"/>
    <w:rsid w:val="00143C66"/>
    <w:rsid w:val="00176178"/>
    <w:rsid w:val="001A6F85"/>
    <w:rsid w:val="001F525A"/>
    <w:rsid w:val="00223272"/>
    <w:rsid w:val="0024779E"/>
    <w:rsid w:val="00250C15"/>
    <w:rsid w:val="00257168"/>
    <w:rsid w:val="002744B8"/>
    <w:rsid w:val="0027586D"/>
    <w:rsid w:val="002832AC"/>
    <w:rsid w:val="002D10DF"/>
    <w:rsid w:val="002D7C93"/>
    <w:rsid w:val="00305801"/>
    <w:rsid w:val="003916DE"/>
    <w:rsid w:val="003C5C26"/>
    <w:rsid w:val="00421996"/>
    <w:rsid w:val="00441C3B"/>
    <w:rsid w:val="00446FE5"/>
    <w:rsid w:val="00452396"/>
    <w:rsid w:val="004837D8"/>
    <w:rsid w:val="004B2DA1"/>
    <w:rsid w:val="004E2EED"/>
    <w:rsid w:val="004E468C"/>
    <w:rsid w:val="0050423A"/>
    <w:rsid w:val="005327FF"/>
    <w:rsid w:val="005505B7"/>
    <w:rsid w:val="00573BE5"/>
    <w:rsid w:val="005802D9"/>
    <w:rsid w:val="00586ED3"/>
    <w:rsid w:val="00591D8B"/>
    <w:rsid w:val="00596AA9"/>
    <w:rsid w:val="00601666"/>
    <w:rsid w:val="00607255"/>
    <w:rsid w:val="006322FF"/>
    <w:rsid w:val="006C4CC6"/>
    <w:rsid w:val="0071601D"/>
    <w:rsid w:val="007232F0"/>
    <w:rsid w:val="007A62E6"/>
    <w:rsid w:val="007E453F"/>
    <w:rsid w:val="007E4F00"/>
    <w:rsid w:val="007F20FA"/>
    <w:rsid w:val="00800A1D"/>
    <w:rsid w:val="0080684C"/>
    <w:rsid w:val="00856B55"/>
    <w:rsid w:val="00871C75"/>
    <w:rsid w:val="008776DC"/>
    <w:rsid w:val="008867EB"/>
    <w:rsid w:val="00921B2F"/>
    <w:rsid w:val="009446C0"/>
    <w:rsid w:val="009705C8"/>
    <w:rsid w:val="009A7218"/>
    <w:rsid w:val="009C1CF4"/>
    <w:rsid w:val="009F6B74"/>
    <w:rsid w:val="00A1121B"/>
    <w:rsid w:val="00A3029F"/>
    <w:rsid w:val="00A30353"/>
    <w:rsid w:val="00A329B9"/>
    <w:rsid w:val="00A71F16"/>
    <w:rsid w:val="00A746E4"/>
    <w:rsid w:val="00AC11E6"/>
    <w:rsid w:val="00AC3823"/>
    <w:rsid w:val="00AE323C"/>
    <w:rsid w:val="00AF0CB5"/>
    <w:rsid w:val="00B00181"/>
    <w:rsid w:val="00B00B0D"/>
    <w:rsid w:val="00B45F2E"/>
    <w:rsid w:val="00B765F7"/>
    <w:rsid w:val="00BA0CA9"/>
    <w:rsid w:val="00BA5C11"/>
    <w:rsid w:val="00C02897"/>
    <w:rsid w:val="00C97039"/>
    <w:rsid w:val="00CC6EF4"/>
    <w:rsid w:val="00D3439C"/>
    <w:rsid w:val="00D762E6"/>
    <w:rsid w:val="00DB1831"/>
    <w:rsid w:val="00DD3BFD"/>
    <w:rsid w:val="00DF6678"/>
    <w:rsid w:val="00E0299A"/>
    <w:rsid w:val="00E24307"/>
    <w:rsid w:val="00E51F45"/>
    <w:rsid w:val="00E85C74"/>
    <w:rsid w:val="00EA6547"/>
    <w:rsid w:val="00EE3A95"/>
    <w:rsid w:val="00EE6530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640A32"/>
  <w15:docId w15:val="{242A72CF-4028-4C3B-A97F-0FC9017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A6F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133C5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668</Words>
  <Characters>4683</Characters>
  <Application>Microsoft Office Word</Application>
  <DocSecurity>0</DocSecurity>
  <Lines>390</Lines>
  <Paragraphs>214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ECE/TRANS/WP.29/GRSP/2019/20</vt:lpstr>
    </vt:vector>
  </TitlesOfParts>
  <Company>DCM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ECE/TRANS/WP.29/GRSP/2019/20</dc:title>
  <dc:subject/>
  <dc:creator>Corinne ROBERT</dc:creator>
  <cp:keywords/>
  <cp:lastModifiedBy>Corinne Robert</cp:lastModifiedBy>
  <cp:revision>2</cp:revision>
  <cp:lastPrinted>2019-10-22T05:24:00Z</cp:lastPrinted>
  <dcterms:created xsi:type="dcterms:W3CDTF">2019-10-22T06:09:00Z</dcterms:created>
  <dcterms:modified xsi:type="dcterms:W3CDTF">2019-10-22T06:09:00Z</dcterms:modified>
</cp:coreProperties>
</file>