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86A2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86A2D" w:rsidP="00286A2D">
            <w:pPr>
              <w:jc w:val="right"/>
            </w:pPr>
            <w:r w:rsidRPr="00286A2D">
              <w:rPr>
                <w:sz w:val="40"/>
              </w:rPr>
              <w:t>ECE</w:t>
            </w:r>
            <w:r>
              <w:t>/TRANS/WP.29/GRSP/2019/16</w:t>
            </w:r>
          </w:p>
        </w:tc>
      </w:tr>
      <w:tr w:rsidR="002D5AAC" w:rsidRPr="006D261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286A2D" w:rsidP="00387CD4">
            <w:pPr>
              <w:spacing w:before="240"/>
              <w:rPr>
                <w:lang w:val="en-US"/>
              </w:rPr>
            </w:pPr>
            <w:r>
              <w:rPr>
                <w:lang w:val="en-US"/>
              </w:rPr>
              <w:t>Distr.: General</w:t>
            </w:r>
          </w:p>
          <w:p w:rsidR="00286A2D" w:rsidRDefault="00286A2D" w:rsidP="00286A2D">
            <w:pPr>
              <w:spacing w:line="240" w:lineRule="exact"/>
              <w:rPr>
                <w:lang w:val="en-US"/>
              </w:rPr>
            </w:pPr>
            <w:r>
              <w:rPr>
                <w:lang w:val="en-US"/>
              </w:rPr>
              <w:t>25 September 2019</w:t>
            </w:r>
          </w:p>
          <w:p w:rsidR="00286A2D" w:rsidRDefault="00286A2D" w:rsidP="00286A2D">
            <w:pPr>
              <w:spacing w:line="240" w:lineRule="exact"/>
              <w:rPr>
                <w:lang w:val="en-US"/>
              </w:rPr>
            </w:pPr>
            <w:r>
              <w:rPr>
                <w:lang w:val="en-US"/>
              </w:rPr>
              <w:t>Russian</w:t>
            </w:r>
          </w:p>
          <w:p w:rsidR="00286A2D" w:rsidRPr="008D53B6" w:rsidRDefault="00286A2D" w:rsidP="00286A2D">
            <w:pPr>
              <w:spacing w:line="240" w:lineRule="exact"/>
              <w:rPr>
                <w:lang w:val="en-US"/>
              </w:rPr>
            </w:pPr>
            <w:r>
              <w:rPr>
                <w:lang w:val="en-US"/>
              </w:rPr>
              <w:t>Original: English</w:t>
            </w:r>
          </w:p>
        </w:tc>
      </w:tr>
    </w:tbl>
    <w:p w:rsidR="00286A2D" w:rsidRDefault="008A37C8" w:rsidP="00255343">
      <w:pPr>
        <w:spacing w:before="120"/>
        <w:rPr>
          <w:b/>
          <w:sz w:val="28"/>
          <w:szCs w:val="28"/>
        </w:rPr>
      </w:pPr>
      <w:r w:rsidRPr="00245892">
        <w:rPr>
          <w:b/>
          <w:sz w:val="28"/>
          <w:szCs w:val="28"/>
        </w:rPr>
        <w:t>Европейская экономическая комиссия</w:t>
      </w:r>
    </w:p>
    <w:p w:rsidR="00286A2D" w:rsidRPr="00E34515" w:rsidRDefault="00286A2D" w:rsidP="00286A2D">
      <w:pPr>
        <w:pStyle w:val="SingleTxtGR"/>
        <w:spacing w:before="80" w:after="0" w:line="220" w:lineRule="atLeast"/>
        <w:ind w:left="0" w:right="0"/>
        <w:jc w:val="left"/>
        <w:rPr>
          <w:spacing w:val="0"/>
          <w:w w:val="100"/>
          <w:kern w:val="0"/>
          <w:sz w:val="28"/>
          <w:szCs w:val="28"/>
        </w:rPr>
      </w:pPr>
      <w:r w:rsidRPr="00E34515">
        <w:rPr>
          <w:spacing w:val="0"/>
          <w:w w:val="100"/>
          <w:kern w:val="0"/>
          <w:sz w:val="28"/>
          <w:szCs w:val="28"/>
        </w:rPr>
        <w:t>Комитет по внутреннему транспорту</w:t>
      </w:r>
    </w:p>
    <w:p w:rsidR="00286A2D" w:rsidRPr="00E34515" w:rsidRDefault="00286A2D" w:rsidP="00286A2D">
      <w:pPr>
        <w:pStyle w:val="SingleTxtGR"/>
        <w:spacing w:before="80" w:after="0" w:line="220" w:lineRule="atLeast"/>
        <w:ind w:left="0" w:right="0"/>
        <w:jc w:val="left"/>
        <w:rPr>
          <w:b/>
          <w:spacing w:val="0"/>
          <w:w w:val="100"/>
          <w:kern w:val="0"/>
          <w:sz w:val="24"/>
          <w:szCs w:val="24"/>
        </w:rPr>
      </w:pPr>
      <w:r w:rsidRPr="00E34515">
        <w:rPr>
          <w:b/>
          <w:spacing w:val="0"/>
          <w:w w:val="100"/>
          <w:kern w:val="0"/>
          <w:sz w:val="24"/>
          <w:szCs w:val="24"/>
        </w:rPr>
        <w:t>Всемирный форум для согласования</w:t>
      </w:r>
      <w:r w:rsidRPr="00E34515">
        <w:rPr>
          <w:b/>
          <w:spacing w:val="0"/>
          <w:w w:val="100"/>
          <w:kern w:val="0"/>
          <w:sz w:val="24"/>
          <w:szCs w:val="24"/>
        </w:rPr>
        <w:br/>
        <w:t>правил в области транспортных средств</w:t>
      </w:r>
    </w:p>
    <w:p w:rsidR="00286A2D" w:rsidRPr="00E34515" w:rsidRDefault="00286A2D" w:rsidP="00286A2D">
      <w:pPr>
        <w:pStyle w:val="SingleTxtGR"/>
        <w:spacing w:before="80" w:after="0" w:line="220" w:lineRule="atLeast"/>
        <w:ind w:left="0" w:right="0"/>
        <w:jc w:val="left"/>
        <w:rPr>
          <w:b/>
          <w:bCs/>
          <w:spacing w:val="0"/>
          <w:w w:val="100"/>
          <w:kern w:val="0"/>
        </w:rPr>
      </w:pPr>
      <w:r w:rsidRPr="00E34515">
        <w:rPr>
          <w:b/>
          <w:bCs/>
          <w:spacing w:val="0"/>
          <w:w w:val="100"/>
          <w:kern w:val="0"/>
        </w:rPr>
        <w:t>Рабочая группа по пассивной безопасности</w:t>
      </w:r>
    </w:p>
    <w:p w:rsidR="00286A2D" w:rsidRPr="00E34515" w:rsidRDefault="00286A2D" w:rsidP="00286A2D">
      <w:pPr>
        <w:spacing w:before="120"/>
        <w:rPr>
          <w:b/>
        </w:rPr>
      </w:pPr>
      <w:r w:rsidRPr="00E34515">
        <w:rPr>
          <w:b/>
        </w:rPr>
        <w:t xml:space="preserve">Шестьдесят шестая сессия </w:t>
      </w:r>
    </w:p>
    <w:p w:rsidR="00286A2D" w:rsidRPr="00E34515" w:rsidRDefault="00286A2D" w:rsidP="00286A2D">
      <w:pPr>
        <w:rPr>
          <w:bCs/>
        </w:rPr>
      </w:pPr>
      <w:r w:rsidRPr="00E34515">
        <w:rPr>
          <w:bCs/>
        </w:rPr>
        <w:t>Женева, 10</w:t>
      </w:r>
      <w:r w:rsidR="00654C98" w:rsidRPr="00E34515">
        <w:rPr>
          <w:bCs/>
        </w:rPr>
        <w:t>–</w:t>
      </w:r>
      <w:r w:rsidRPr="00E34515">
        <w:rPr>
          <w:bCs/>
        </w:rPr>
        <w:t>13 декабря 2019 года</w:t>
      </w:r>
    </w:p>
    <w:p w:rsidR="00286A2D" w:rsidRPr="00E34515" w:rsidRDefault="00286A2D" w:rsidP="00286A2D">
      <w:pPr>
        <w:rPr>
          <w:b/>
          <w:bCs/>
        </w:rPr>
      </w:pPr>
      <w:r w:rsidRPr="00E34515">
        <w:rPr>
          <w:bCs/>
        </w:rPr>
        <w:t>Пункт 9 предварительной повестки дня</w:t>
      </w:r>
      <w:r w:rsidRPr="00E34515">
        <w:rPr>
          <w:b/>
          <w:bCs/>
        </w:rPr>
        <w:t xml:space="preserve"> </w:t>
      </w:r>
    </w:p>
    <w:p w:rsidR="00286A2D" w:rsidRPr="00E34515" w:rsidRDefault="00286A2D" w:rsidP="00286A2D">
      <w:r w:rsidRPr="00E34515">
        <w:rPr>
          <w:b/>
        </w:rPr>
        <w:t>Правила № 17 ООН (прочность сидений)</w:t>
      </w:r>
    </w:p>
    <w:p w:rsidR="00286A2D" w:rsidRPr="00817333" w:rsidRDefault="00286A2D" w:rsidP="00817333">
      <w:pPr>
        <w:pStyle w:val="HChG"/>
        <w:rPr>
          <w:rFonts w:eastAsia="MS Mincho"/>
        </w:rPr>
      </w:pPr>
      <w:r w:rsidRPr="00C12C84">
        <w:rPr>
          <w:rFonts w:eastAsia="MS Mincho"/>
        </w:rPr>
        <w:tab/>
      </w:r>
      <w:r w:rsidRPr="00C12C84">
        <w:rPr>
          <w:rFonts w:eastAsia="MS Mincho"/>
        </w:rPr>
        <w:tab/>
      </w:r>
      <w:r w:rsidRPr="00817333">
        <w:rPr>
          <w:rFonts w:eastAsia="MS Mincho"/>
        </w:rPr>
        <w:t>Предложение по предложению по дополнению 5 к</w:t>
      </w:r>
      <w:r w:rsidR="005344D1" w:rsidRPr="00817333">
        <w:rPr>
          <w:rFonts w:eastAsia="MS Mincho"/>
        </w:rPr>
        <w:t> </w:t>
      </w:r>
      <w:r w:rsidRPr="00817333">
        <w:rPr>
          <w:rFonts w:eastAsia="MS Mincho"/>
        </w:rPr>
        <w:t>поправкам серии 08 и по дополнению 2 к поправкам серии 09 к Правилам № 17 ООН (прочность сидений)</w:t>
      </w:r>
    </w:p>
    <w:p w:rsidR="00286A2D" w:rsidRPr="006874F4" w:rsidRDefault="00286A2D" w:rsidP="00817333">
      <w:pPr>
        <w:pStyle w:val="H1G"/>
        <w:rPr>
          <w:rFonts w:eastAsia="MS Mincho"/>
        </w:rPr>
      </w:pPr>
      <w:r w:rsidRPr="00C12C84">
        <w:rPr>
          <w:rFonts w:eastAsia="MS Mincho"/>
        </w:rPr>
        <w:tab/>
      </w:r>
      <w:r w:rsidRPr="00C12C84">
        <w:rPr>
          <w:rFonts w:eastAsia="MS Mincho"/>
        </w:rPr>
        <w:tab/>
      </w:r>
      <w:r>
        <w:rPr>
          <w:rFonts w:eastAsia="MS Mincho"/>
        </w:rPr>
        <w:t>Представлено</w:t>
      </w:r>
      <w:r w:rsidRPr="006874F4">
        <w:rPr>
          <w:rFonts w:eastAsia="MS Mincho"/>
        </w:rPr>
        <w:t xml:space="preserve"> </w:t>
      </w:r>
      <w:r>
        <w:rPr>
          <w:rFonts w:eastAsia="MS Mincho"/>
        </w:rPr>
        <w:t>экспертом</w:t>
      </w:r>
      <w:r w:rsidRPr="006874F4">
        <w:rPr>
          <w:rFonts w:eastAsia="MS Mincho"/>
        </w:rPr>
        <w:t xml:space="preserve"> </w:t>
      </w:r>
      <w:r>
        <w:rPr>
          <w:rFonts w:eastAsia="MS Mincho"/>
        </w:rPr>
        <w:t>от</w:t>
      </w:r>
      <w:r w:rsidRPr="006874F4">
        <w:rPr>
          <w:rFonts w:eastAsia="MS Mincho"/>
        </w:rPr>
        <w:t xml:space="preserve"> </w:t>
      </w:r>
      <w:r>
        <w:rPr>
          <w:rFonts w:eastAsia="MS Mincho"/>
        </w:rPr>
        <w:t>Германии</w:t>
      </w:r>
      <w:r w:rsidRPr="00DE46C2">
        <w:rPr>
          <w:rFonts w:eastAsia="MS Mincho"/>
          <w:b w:val="0"/>
          <w:sz w:val="20"/>
        </w:rPr>
        <w:footnoteReference w:customMarkFollows="1" w:id="1"/>
        <w:t>*</w:t>
      </w:r>
    </w:p>
    <w:p w:rsidR="00286A2D" w:rsidRPr="00817333" w:rsidRDefault="00286A2D" w:rsidP="00817333">
      <w:pPr>
        <w:pStyle w:val="SingleTxtG"/>
        <w:rPr>
          <w:rFonts w:eastAsia="MS Mincho"/>
        </w:rPr>
      </w:pPr>
      <w:r w:rsidRPr="00817333">
        <w:rPr>
          <w:rFonts w:eastAsia="MS Mincho"/>
        </w:rPr>
        <w:tab/>
      </w:r>
      <w:r w:rsidRPr="00817333">
        <w:rPr>
          <w:rFonts w:eastAsia="MS Mincho"/>
        </w:rPr>
        <w:tab/>
      </w:r>
      <w:r w:rsidRPr="00817333">
        <w:t>Воспроизведенный ниже текст был подготовлен экспертом от Германии для внесения поправок в определения встроенного, съемного и отдельного подголовников. Изменения к действующему тексту правил ООН выделены жирным шрифтом в случае новых положений или зачеркиванием в случае исключенных элементов.</w:t>
      </w:r>
    </w:p>
    <w:p w:rsidR="00286A2D" w:rsidRPr="006874F4" w:rsidRDefault="00286A2D" w:rsidP="00286A2D">
      <w:pPr>
        <w:ind w:left="1134" w:right="1134" w:hanging="1134"/>
        <w:jc w:val="both"/>
        <w:rPr>
          <w:sz w:val="24"/>
          <w:szCs w:val="24"/>
        </w:rPr>
      </w:pPr>
      <w:r w:rsidRPr="006874F4">
        <w:br w:type="page"/>
      </w:r>
      <w:bookmarkStart w:id="0" w:name="_Hlk520287618"/>
    </w:p>
    <w:bookmarkEnd w:id="0"/>
    <w:p w:rsidR="00286A2D" w:rsidRPr="00C12C84" w:rsidRDefault="00286A2D" w:rsidP="00286A2D">
      <w:pPr>
        <w:pStyle w:val="HChG"/>
      </w:pPr>
      <w:r w:rsidRPr="006874F4">
        <w:lastRenderedPageBreak/>
        <w:tab/>
      </w:r>
      <w:r w:rsidRPr="00C12C84">
        <w:t>I.</w:t>
      </w:r>
      <w:r w:rsidRPr="00C12C84">
        <w:tab/>
      </w:r>
      <w:r>
        <w:t>Предложение</w:t>
      </w:r>
    </w:p>
    <w:p w:rsidR="00286A2D" w:rsidRPr="008918DA" w:rsidRDefault="00286A2D" w:rsidP="00286A2D">
      <w:pPr>
        <w:pStyle w:val="SingleTxtG"/>
      </w:pPr>
      <w:r>
        <w:rPr>
          <w:i/>
          <w:iCs/>
        </w:rPr>
        <w:t>Пункты</w:t>
      </w:r>
      <w:r w:rsidRPr="008918DA">
        <w:rPr>
          <w:i/>
          <w:iCs/>
        </w:rPr>
        <w:t xml:space="preserve"> 2.12.1 </w:t>
      </w:r>
      <w:r>
        <w:rPr>
          <w:i/>
          <w:iCs/>
        </w:rPr>
        <w:t>и</w:t>
      </w:r>
      <w:r w:rsidRPr="008918DA">
        <w:rPr>
          <w:i/>
          <w:iCs/>
        </w:rPr>
        <w:t xml:space="preserve"> 2.12.2</w:t>
      </w:r>
      <w:r w:rsidRPr="008918DA">
        <w:t xml:space="preserve"> </w:t>
      </w:r>
      <w:r>
        <w:t>изменить следующим образом</w:t>
      </w:r>
      <w:r w:rsidRPr="008918DA">
        <w:t>:</w:t>
      </w:r>
    </w:p>
    <w:p w:rsidR="00286A2D" w:rsidRDefault="00286A2D" w:rsidP="00874464">
      <w:pPr>
        <w:pStyle w:val="SingleTxtG"/>
        <w:ind w:left="2268" w:hanging="1134"/>
        <w:rPr>
          <w:w w:val="105"/>
        </w:rPr>
      </w:pPr>
      <w:r w:rsidRPr="008918DA">
        <w:rPr>
          <w:w w:val="105"/>
        </w:rPr>
        <w:t>«2.12</w:t>
      </w:r>
      <w:r w:rsidRPr="008918DA">
        <w:rPr>
          <w:w w:val="105"/>
        </w:rPr>
        <w:tab/>
      </w:r>
      <w:r w:rsidR="006D2611">
        <w:rPr>
          <w:w w:val="105"/>
        </w:rPr>
        <w:t>"</w:t>
      </w:r>
      <w:r w:rsidRPr="008918DA">
        <w:rPr>
          <w:i/>
          <w:iCs/>
          <w:w w:val="105"/>
        </w:rPr>
        <w:t>Подголовник</w:t>
      </w:r>
      <w:r w:rsidR="006D2611">
        <w:rPr>
          <w:w w:val="105"/>
        </w:rPr>
        <w:t>"</w:t>
      </w:r>
      <w:r w:rsidRPr="008918DA">
        <w:rPr>
          <w:w w:val="105"/>
        </w:rPr>
        <w:t xml:space="preserve"> </w:t>
      </w:r>
      <w:r w:rsidRPr="008918DA">
        <w:t>означает устройство, имеющее целью ограничивать смещение назад, по отношению к туловищу, головы сидящего взрослого пассажира или водителя, с тем чтобы в случае дорожно-транспортного происшествия уменьшить опасность повреждения шейных позвонков.</w:t>
      </w:r>
      <w:r w:rsidRPr="008918DA">
        <w:rPr>
          <w:w w:val="105"/>
        </w:rPr>
        <w:t xml:space="preserve"> </w:t>
      </w:r>
    </w:p>
    <w:p w:rsidR="00874464" w:rsidRDefault="00286A2D" w:rsidP="009A29D5">
      <w:pPr>
        <w:pStyle w:val="SingleTxtG"/>
        <w:ind w:left="2268" w:hanging="1134"/>
        <w:rPr>
          <w:strike/>
          <w:w w:val="105"/>
        </w:rPr>
      </w:pPr>
      <w:r w:rsidRPr="008918DA">
        <w:rPr>
          <w:w w:val="105"/>
        </w:rPr>
        <w:t>2.12.1</w:t>
      </w:r>
      <w:r w:rsidRPr="008918DA">
        <w:rPr>
          <w:w w:val="105"/>
        </w:rPr>
        <w:tab/>
      </w:r>
      <w:r w:rsidR="006D2611">
        <w:rPr>
          <w:w w:val="105"/>
        </w:rPr>
        <w:t>"</w:t>
      </w:r>
      <w:r w:rsidRPr="008918DA">
        <w:rPr>
          <w:i/>
          <w:iCs/>
        </w:rPr>
        <w:t>Встроенный подголовник</w:t>
      </w:r>
      <w:r w:rsidR="006D2611">
        <w:rPr>
          <w:w w:val="105"/>
        </w:rPr>
        <w:t>"</w:t>
      </w:r>
      <w:r w:rsidRPr="008918DA">
        <w:t xml:space="preserve"> означает подголовник, являющийся верхней частью спинки сиденья.</w:t>
      </w:r>
      <w:r w:rsidRPr="008918DA">
        <w:rPr>
          <w:w w:val="105"/>
        </w:rPr>
        <w:t xml:space="preserve"> </w:t>
      </w:r>
      <w:r w:rsidRPr="00874464">
        <w:rPr>
          <w:strike/>
        </w:rPr>
        <w:t>Подголовники, которые соответствуют определениям пунктов 2.12.2 или 2.12.3 ниже, но могут быть отделены от сиденья или от конструкции транспортного средства только при помощи инструментов либо после частичного или полного демонтажа сиденья, соответствуют настоящему определению.</w:t>
      </w:r>
      <w:r w:rsidRPr="008918DA">
        <w:rPr>
          <w:w w:val="105"/>
        </w:rPr>
        <w:t xml:space="preserve"> </w:t>
      </w:r>
    </w:p>
    <w:p w:rsidR="00286A2D" w:rsidRPr="00A35D38" w:rsidRDefault="00286A2D" w:rsidP="00927307">
      <w:pPr>
        <w:pStyle w:val="af3"/>
        <w:suppressAutoHyphens/>
        <w:spacing w:before="120" w:after="120" w:line="247" w:lineRule="auto"/>
        <w:ind w:left="2268" w:right="1134" w:hanging="1134"/>
        <w:jc w:val="both"/>
        <w:rPr>
          <w:b/>
          <w:w w:val="105"/>
          <w:lang w:val="ru-RU"/>
        </w:rPr>
      </w:pPr>
      <w:r w:rsidRPr="008918DA">
        <w:rPr>
          <w:lang w:val="ru-RU"/>
        </w:rPr>
        <w:t>2.12.2</w:t>
      </w:r>
      <w:r w:rsidRPr="008918DA">
        <w:rPr>
          <w:lang w:val="ru-RU"/>
        </w:rPr>
        <w:tab/>
      </w:r>
      <w:r w:rsidR="006D2611" w:rsidRPr="006D2611">
        <w:rPr>
          <w:w w:val="105"/>
          <w:lang w:val="ru-RU"/>
        </w:rPr>
        <w:t>"</w:t>
      </w:r>
      <w:r w:rsidRPr="008918DA">
        <w:rPr>
          <w:i/>
          <w:iCs/>
          <w:lang w:val="ru-RU"/>
        </w:rPr>
        <w:t>Съемный подголовник</w:t>
      </w:r>
      <w:r w:rsidR="006D2611" w:rsidRPr="006D2611">
        <w:rPr>
          <w:w w:val="105"/>
          <w:lang w:val="ru-RU"/>
        </w:rPr>
        <w:t>"</w:t>
      </w:r>
      <w:r w:rsidRPr="008918DA">
        <w:rPr>
          <w:lang w:val="ru-RU"/>
        </w:rPr>
        <w:t xml:space="preserve"> означает съемный элемент сиденья, предназначенный для жесткой установки и крепления на конструкции спинки. </w:t>
      </w:r>
      <w:r w:rsidRPr="00A35D38">
        <w:rPr>
          <w:b/>
          <w:bCs/>
          <w:lang w:val="ru-RU"/>
        </w:rPr>
        <w:t>Съемный подголовник, который может быть отделен от сиденья только при помощи инструментов и/или после частичного либо полного демонтажа сиденья, соответству</w:t>
      </w:r>
      <w:r w:rsidR="001F6423">
        <w:rPr>
          <w:b/>
          <w:bCs/>
          <w:lang w:val="ru-RU"/>
        </w:rPr>
        <w:t>е</w:t>
      </w:r>
      <w:r w:rsidRPr="00A35D38">
        <w:rPr>
          <w:b/>
          <w:bCs/>
          <w:lang w:val="ru-RU"/>
        </w:rPr>
        <w:t>т настоящему определению</w:t>
      </w:r>
      <w:r>
        <w:rPr>
          <w:lang w:val="ru-RU"/>
        </w:rPr>
        <w:t>».</w:t>
      </w:r>
    </w:p>
    <w:p w:rsidR="00286A2D" w:rsidRPr="008918DA" w:rsidRDefault="00286A2D" w:rsidP="00286A2D">
      <w:pPr>
        <w:pStyle w:val="Default"/>
        <w:spacing w:after="120"/>
        <w:ind w:left="567" w:firstLine="567"/>
        <w:rPr>
          <w:iCs/>
          <w:sz w:val="20"/>
          <w:szCs w:val="20"/>
          <w:lang w:val="ru-RU"/>
        </w:rPr>
      </w:pPr>
      <w:r>
        <w:rPr>
          <w:i/>
          <w:sz w:val="20"/>
          <w:szCs w:val="20"/>
          <w:lang w:val="ru-RU"/>
        </w:rPr>
        <w:t>Включить</w:t>
      </w:r>
      <w:r w:rsidRPr="008918DA">
        <w:rPr>
          <w:i/>
          <w:sz w:val="20"/>
          <w:szCs w:val="20"/>
          <w:lang w:val="ru-RU"/>
        </w:rPr>
        <w:t xml:space="preserve"> </w:t>
      </w:r>
      <w:r>
        <w:rPr>
          <w:i/>
          <w:sz w:val="20"/>
          <w:szCs w:val="20"/>
          <w:lang w:val="ru-RU"/>
        </w:rPr>
        <w:t>новый</w:t>
      </w:r>
      <w:r w:rsidRPr="008918DA">
        <w:rPr>
          <w:i/>
          <w:sz w:val="20"/>
          <w:szCs w:val="20"/>
          <w:lang w:val="ru-RU"/>
        </w:rPr>
        <w:t xml:space="preserve"> </w:t>
      </w:r>
      <w:r>
        <w:rPr>
          <w:i/>
          <w:sz w:val="20"/>
          <w:szCs w:val="20"/>
          <w:lang w:val="ru-RU"/>
        </w:rPr>
        <w:t>пункт</w:t>
      </w:r>
      <w:r w:rsidRPr="008918DA">
        <w:rPr>
          <w:i/>
          <w:sz w:val="20"/>
          <w:szCs w:val="20"/>
          <w:lang w:val="ru-RU"/>
        </w:rPr>
        <w:t xml:space="preserve"> 5.5.6</w:t>
      </w:r>
      <w:r w:rsidRPr="008918DA">
        <w:rPr>
          <w:iCs/>
          <w:sz w:val="20"/>
          <w:szCs w:val="20"/>
          <w:lang w:val="ru-RU"/>
        </w:rPr>
        <w:t xml:space="preserve"> </w:t>
      </w:r>
      <w:r>
        <w:rPr>
          <w:iCs/>
          <w:sz w:val="20"/>
          <w:szCs w:val="20"/>
          <w:lang w:val="ru-RU"/>
        </w:rPr>
        <w:t>следующего содержания</w:t>
      </w:r>
      <w:r w:rsidRPr="008918DA">
        <w:rPr>
          <w:iCs/>
          <w:sz w:val="20"/>
          <w:szCs w:val="20"/>
          <w:lang w:val="ru-RU"/>
        </w:rPr>
        <w:t>:</w:t>
      </w:r>
    </w:p>
    <w:p w:rsidR="00286A2D" w:rsidRPr="00A35D38" w:rsidRDefault="00286A2D" w:rsidP="00286A2D">
      <w:pPr>
        <w:pStyle w:val="SingleTxtG"/>
        <w:ind w:left="2268" w:hanging="1134"/>
        <w:rPr>
          <w:b/>
          <w:bCs/>
          <w:w w:val="105"/>
        </w:rPr>
      </w:pPr>
      <w:r w:rsidRPr="00981E76">
        <w:rPr>
          <w:w w:val="105"/>
        </w:rPr>
        <w:t>«</w:t>
      </w:r>
      <w:r w:rsidRPr="00A35D38">
        <w:rPr>
          <w:b/>
          <w:bCs/>
          <w:w w:val="105"/>
        </w:rPr>
        <w:t>5.5.6</w:t>
      </w:r>
      <w:r w:rsidRPr="00A35D38">
        <w:rPr>
          <w:b/>
          <w:bCs/>
          <w:w w:val="105"/>
        </w:rPr>
        <w:tab/>
      </w:r>
      <w:proofErr w:type="gramStart"/>
      <w:r>
        <w:rPr>
          <w:b/>
          <w:bCs/>
          <w:w w:val="105"/>
        </w:rPr>
        <w:t>В</w:t>
      </w:r>
      <w:proofErr w:type="gramEnd"/>
      <w:r w:rsidRPr="00A35D38">
        <w:rPr>
          <w:b/>
          <w:bCs/>
          <w:w w:val="105"/>
        </w:rPr>
        <w:t xml:space="preserve"> </w:t>
      </w:r>
      <w:r>
        <w:rPr>
          <w:b/>
          <w:bCs/>
          <w:w w:val="105"/>
        </w:rPr>
        <w:t>случае</w:t>
      </w:r>
      <w:r w:rsidRPr="00A35D38">
        <w:rPr>
          <w:b/>
          <w:bCs/>
          <w:w w:val="105"/>
        </w:rPr>
        <w:t xml:space="preserve"> </w:t>
      </w:r>
      <w:r>
        <w:rPr>
          <w:b/>
          <w:bCs/>
          <w:w w:val="105"/>
        </w:rPr>
        <w:t>сиденья</w:t>
      </w:r>
      <w:r w:rsidRPr="00A35D38">
        <w:rPr>
          <w:b/>
          <w:bCs/>
          <w:w w:val="105"/>
        </w:rPr>
        <w:t xml:space="preserve"> </w:t>
      </w:r>
      <w:r>
        <w:rPr>
          <w:b/>
          <w:bCs/>
          <w:w w:val="105"/>
        </w:rPr>
        <w:t>со</w:t>
      </w:r>
      <w:r w:rsidRPr="00A35D38">
        <w:rPr>
          <w:b/>
          <w:bCs/>
          <w:w w:val="105"/>
        </w:rPr>
        <w:t xml:space="preserve"> </w:t>
      </w:r>
      <w:r>
        <w:rPr>
          <w:b/>
          <w:bCs/>
          <w:w w:val="105"/>
        </w:rPr>
        <w:t>встроенным</w:t>
      </w:r>
      <w:r w:rsidRPr="00A35D38">
        <w:rPr>
          <w:b/>
          <w:bCs/>
          <w:w w:val="105"/>
        </w:rPr>
        <w:t xml:space="preserve"> </w:t>
      </w:r>
      <w:r>
        <w:rPr>
          <w:b/>
          <w:bCs/>
          <w:w w:val="105"/>
        </w:rPr>
        <w:t>подголовником</w:t>
      </w:r>
      <w:r w:rsidRPr="00A35D38">
        <w:rPr>
          <w:b/>
          <w:bCs/>
          <w:w w:val="105"/>
        </w:rPr>
        <w:t xml:space="preserve">, </w:t>
      </w:r>
      <w:r>
        <w:rPr>
          <w:b/>
          <w:bCs/>
          <w:w w:val="105"/>
        </w:rPr>
        <w:t>определение</w:t>
      </w:r>
      <w:r w:rsidRPr="00A35D38">
        <w:rPr>
          <w:b/>
          <w:bCs/>
          <w:w w:val="105"/>
        </w:rPr>
        <w:t xml:space="preserve"> </w:t>
      </w:r>
      <w:r w:rsidRPr="009D253B">
        <w:rPr>
          <w:b/>
        </w:rPr>
        <w:t>которого</w:t>
      </w:r>
      <w:r w:rsidRPr="00A35D38">
        <w:rPr>
          <w:b/>
          <w:bCs/>
          <w:w w:val="105"/>
        </w:rPr>
        <w:t xml:space="preserve"> </w:t>
      </w:r>
      <w:r>
        <w:rPr>
          <w:b/>
          <w:bCs/>
          <w:w w:val="105"/>
        </w:rPr>
        <w:t>содержится</w:t>
      </w:r>
      <w:r w:rsidRPr="00A35D38">
        <w:rPr>
          <w:b/>
          <w:bCs/>
          <w:w w:val="105"/>
        </w:rPr>
        <w:t xml:space="preserve"> </w:t>
      </w:r>
      <w:r>
        <w:rPr>
          <w:b/>
          <w:bCs/>
          <w:w w:val="105"/>
        </w:rPr>
        <w:t>в</w:t>
      </w:r>
      <w:r w:rsidRPr="00A35D38">
        <w:rPr>
          <w:b/>
          <w:bCs/>
          <w:w w:val="105"/>
        </w:rPr>
        <w:t xml:space="preserve"> </w:t>
      </w:r>
      <w:r>
        <w:rPr>
          <w:b/>
          <w:bCs/>
          <w:w w:val="105"/>
        </w:rPr>
        <w:t>пункте</w:t>
      </w:r>
      <w:r w:rsidRPr="00A35D38">
        <w:rPr>
          <w:b/>
          <w:bCs/>
          <w:w w:val="105"/>
        </w:rPr>
        <w:t xml:space="preserve"> 2.12.1 </w:t>
      </w:r>
      <w:r>
        <w:rPr>
          <w:b/>
          <w:bCs/>
          <w:w w:val="105"/>
        </w:rPr>
        <w:t>выше</w:t>
      </w:r>
      <w:r w:rsidRPr="00A35D38">
        <w:rPr>
          <w:b/>
          <w:bCs/>
          <w:w w:val="105"/>
        </w:rPr>
        <w:t xml:space="preserve">, </w:t>
      </w:r>
      <w:r>
        <w:rPr>
          <w:b/>
          <w:bCs/>
          <w:w w:val="105"/>
        </w:rPr>
        <w:t xml:space="preserve">часть спинки сиденья на высоте 700 мм над точкой </w:t>
      </w:r>
      <w:r w:rsidRPr="00C12C84">
        <w:rPr>
          <w:b/>
          <w:bCs/>
          <w:w w:val="105"/>
        </w:rPr>
        <w:t>R</w:t>
      </w:r>
      <w:r>
        <w:rPr>
          <w:b/>
          <w:bCs/>
          <w:w w:val="105"/>
        </w:rPr>
        <w:t xml:space="preserve"> или выше в любой точке </w:t>
      </w:r>
      <w:r w:rsidR="003E7A35">
        <w:rPr>
          <w:b/>
          <w:bCs/>
          <w:w w:val="105"/>
        </w:rPr>
        <w:br/>
      </w:r>
      <w:r>
        <w:rPr>
          <w:b/>
          <w:bCs/>
          <w:w w:val="105"/>
        </w:rPr>
        <w:t>между двумя вертикальными продольными плоскостями, проходящими на расстоянии 85 мм по обе стороны средней вертикальной плоскости сиденья, для которого предназначен подголовник, должна рассматриваться в качестве составного элемента подголовника</w:t>
      </w:r>
      <w:r w:rsidRPr="00981E76">
        <w:rPr>
          <w:bCs/>
          <w:w w:val="105"/>
        </w:rPr>
        <w:t>».</w:t>
      </w:r>
    </w:p>
    <w:p w:rsidR="00286A2D" w:rsidRPr="00C12C84" w:rsidRDefault="00286A2D" w:rsidP="00286A2D">
      <w:pPr>
        <w:pStyle w:val="HChG"/>
      </w:pPr>
      <w:r w:rsidRPr="0049724B">
        <w:rPr>
          <w:w w:val="105"/>
        </w:rPr>
        <w:tab/>
      </w:r>
      <w:r w:rsidRPr="00C12C84">
        <w:rPr>
          <w:w w:val="105"/>
        </w:rPr>
        <w:t>II.</w:t>
      </w:r>
      <w:r w:rsidRPr="00C12C84">
        <w:rPr>
          <w:w w:val="105"/>
        </w:rPr>
        <w:tab/>
      </w:r>
      <w:r>
        <w:rPr>
          <w:w w:val="105"/>
        </w:rPr>
        <w:t>Обоснование</w:t>
      </w:r>
    </w:p>
    <w:p w:rsidR="00286A2D" w:rsidRPr="00E30118" w:rsidRDefault="00286A2D" w:rsidP="009A29D5">
      <w:pPr>
        <w:pStyle w:val="SingleTxtG"/>
        <w:rPr>
          <w:w w:val="105"/>
        </w:rPr>
      </w:pPr>
      <w:r w:rsidRPr="00E30118">
        <w:rPr>
          <w:w w:val="105"/>
        </w:rPr>
        <w:t>1.</w:t>
      </w:r>
      <w:r w:rsidRPr="00E30118">
        <w:rPr>
          <w:w w:val="105"/>
        </w:rPr>
        <w:tab/>
      </w:r>
      <w:r>
        <w:rPr>
          <w:w w:val="105"/>
        </w:rPr>
        <w:t>Настоящим</w:t>
      </w:r>
      <w:r w:rsidRPr="00E30118">
        <w:rPr>
          <w:w w:val="105"/>
        </w:rPr>
        <w:t xml:space="preserve"> </w:t>
      </w:r>
      <w:r>
        <w:rPr>
          <w:w w:val="105"/>
        </w:rPr>
        <w:t>предложением</w:t>
      </w:r>
      <w:r w:rsidRPr="00E30118">
        <w:rPr>
          <w:w w:val="105"/>
        </w:rPr>
        <w:t xml:space="preserve"> </w:t>
      </w:r>
      <w:r>
        <w:rPr>
          <w:w w:val="105"/>
        </w:rPr>
        <w:t>предусмотрены</w:t>
      </w:r>
      <w:r w:rsidRPr="00E30118">
        <w:rPr>
          <w:w w:val="105"/>
        </w:rPr>
        <w:t xml:space="preserve"> </w:t>
      </w:r>
      <w:r>
        <w:rPr>
          <w:w w:val="105"/>
        </w:rPr>
        <w:t>уточнения к определениям встроенного</w:t>
      </w:r>
      <w:r w:rsidRPr="00E30118">
        <w:rPr>
          <w:w w:val="105"/>
        </w:rPr>
        <w:t xml:space="preserve"> </w:t>
      </w:r>
      <w:r>
        <w:rPr>
          <w:w w:val="105"/>
        </w:rPr>
        <w:t>и</w:t>
      </w:r>
      <w:r w:rsidRPr="00E30118">
        <w:rPr>
          <w:w w:val="105"/>
        </w:rPr>
        <w:t xml:space="preserve"> </w:t>
      </w:r>
      <w:r>
        <w:rPr>
          <w:w w:val="105"/>
        </w:rPr>
        <w:t>съемного</w:t>
      </w:r>
      <w:r w:rsidRPr="00E30118">
        <w:rPr>
          <w:w w:val="105"/>
        </w:rPr>
        <w:t xml:space="preserve"> </w:t>
      </w:r>
      <w:r>
        <w:rPr>
          <w:w w:val="105"/>
        </w:rPr>
        <w:t>подголовников</w:t>
      </w:r>
      <w:r w:rsidRPr="00E30118">
        <w:rPr>
          <w:w w:val="105"/>
        </w:rPr>
        <w:t>.</w:t>
      </w:r>
    </w:p>
    <w:p w:rsidR="00286A2D" w:rsidRPr="009A29D5" w:rsidRDefault="00286A2D" w:rsidP="009A29D5">
      <w:pPr>
        <w:pStyle w:val="SingleTxtG"/>
      </w:pPr>
      <w:r w:rsidRPr="009A29D5">
        <w:t>2.</w:t>
      </w:r>
      <w:r w:rsidRPr="009A29D5">
        <w:tab/>
        <w:t>Нынешнее определение подголовника основывалось на информации, имевшейся в 80-х годах прошлого века. Увязка между встроенным и съемным/отдельным подголовниками посредством формулировки «при помощи инструментов либо после частичного или</w:t>
      </w:r>
      <w:r w:rsidR="00037E20" w:rsidRPr="009A29D5">
        <w:t xml:space="preserve"> .</w:t>
      </w:r>
      <w:r w:rsidRPr="009A29D5">
        <w:t>..» уже не является приемлемой.</w:t>
      </w:r>
    </w:p>
    <w:p w:rsidR="00286A2D" w:rsidRPr="009A29D5" w:rsidRDefault="00286A2D" w:rsidP="009A29D5">
      <w:pPr>
        <w:pStyle w:val="SingleTxtG"/>
      </w:pPr>
      <w:r w:rsidRPr="009A29D5">
        <w:t>3.</w:t>
      </w:r>
      <w:r w:rsidRPr="009A29D5">
        <w:tab/>
        <w:t>В настоящее время подголовник</w:t>
      </w:r>
      <w:bookmarkStart w:id="1" w:name="_GoBack"/>
      <w:bookmarkEnd w:id="1"/>
      <w:r w:rsidRPr="009A29D5">
        <w:t>и служат одним из важных элементов удерживающей системы транспортного средства и способствуют минимизации риска ранения в случае ДТП. Для выполнения требований нынешнего законодательства, касающихся ДТП с участием транспортных средств, требуются стабильные соединения между компонентами удерживающих систем. В этом случае пользователю транспортного средства не удастся без особых усилий отсоединять такие съемные или отдельные подголовники.</w:t>
      </w:r>
    </w:p>
    <w:p w:rsidR="00286A2D" w:rsidRPr="009A29D5" w:rsidRDefault="00286A2D" w:rsidP="009A29D5">
      <w:pPr>
        <w:pStyle w:val="SingleTxtG"/>
      </w:pPr>
      <w:r w:rsidRPr="009A29D5">
        <w:t>С целью:</w:t>
      </w:r>
    </w:p>
    <w:p w:rsidR="00286A2D" w:rsidRPr="009A29D5" w:rsidRDefault="00286A2D" w:rsidP="009A29D5">
      <w:pPr>
        <w:pStyle w:val="SingleTxtG"/>
        <w:ind w:left="1701" w:hanging="567"/>
      </w:pPr>
      <w:r w:rsidRPr="009A29D5">
        <w:t>a)</w:t>
      </w:r>
      <w:r w:rsidRPr="009A29D5">
        <w:tab/>
        <w:t>недопущения неверного толкования, согласно которому эти стабильные соединения, обеспечивающие в случае съемных или отдельных подголовников жесткое крепление, упомянутое в пунктах</w:t>
      </w:r>
      <w:r w:rsidR="006B3261" w:rsidRPr="009A29D5">
        <w:t> </w:t>
      </w:r>
      <w:r w:rsidRPr="009A29D5">
        <w:t>2.12.2 и 2.12.3, стимулируют применение встроенного подголовника</w:t>
      </w:r>
      <w:r w:rsidR="006B3261" w:rsidRPr="009A29D5">
        <w:rPr>
          <w:rStyle w:val="aa"/>
          <w:sz w:val="20"/>
          <w:vertAlign w:val="baseline"/>
        </w:rPr>
        <w:footnoteReference w:customMarkFollows="1" w:id="2"/>
        <w:sym w:font="Symbol" w:char="F02A"/>
      </w:r>
      <w:r w:rsidRPr="009A29D5">
        <w:t>;</w:t>
      </w:r>
    </w:p>
    <w:p w:rsidR="00286A2D" w:rsidRPr="009A29D5" w:rsidRDefault="00286A2D" w:rsidP="009A29D5">
      <w:pPr>
        <w:pStyle w:val="SingleTxtG"/>
      </w:pPr>
      <w:r w:rsidRPr="009A29D5">
        <w:t>b)</w:t>
      </w:r>
      <w:r w:rsidRPr="009A29D5">
        <w:tab/>
        <w:t>формулирования четких и ясных определений;</w:t>
      </w:r>
    </w:p>
    <w:p w:rsidR="00286A2D" w:rsidRPr="009A29D5" w:rsidRDefault="00286A2D" w:rsidP="009A29D5">
      <w:pPr>
        <w:pStyle w:val="SingleTxtG"/>
        <w:ind w:left="1701" w:hanging="567"/>
      </w:pPr>
      <w:r w:rsidRPr="009A29D5">
        <w:lastRenderedPageBreak/>
        <w:t>c)</w:t>
      </w:r>
      <w:r w:rsidRPr="009A29D5">
        <w:tab/>
        <w:t>создания возможности для реализации будущих инновационных концепций подголовника</w:t>
      </w:r>
      <w:r w:rsidR="00806F06" w:rsidRPr="009A29D5">
        <w:t>;</w:t>
      </w:r>
      <w:r w:rsidRPr="009A29D5">
        <w:t xml:space="preserve"> и</w:t>
      </w:r>
    </w:p>
    <w:p w:rsidR="00286A2D" w:rsidRPr="009A29D5" w:rsidRDefault="00286A2D" w:rsidP="009A29D5">
      <w:pPr>
        <w:pStyle w:val="SingleTxtG"/>
        <w:ind w:left="1701" w:hanging="567"/>
      </w:pPr>
      <w:r w:rsidRPr="009A29D5">
        <w:t>d)</w:t>
      </w:r>
      <w:r w:rsidRPr="009A29D5">
        <w:tab/>
        <w:t>недопущения вероятности незатруднительного отсоединения подголовников пользователями транспортных средств</w:t>
      </w:r>
    </w:p>
    <w:p w:rsidR="00286A2D" w:rsidRPr="009A29D5" w:rsidRDefault="00806F06" w:rsidP="009A29D5">
      <w:pPr>
        <w:pStyle w:val="SingleTxtG"/>
      </w:pPr>
      <w:r w:rsidRPr="009A29D5">
        <w:t>Н</w:t>
      </w:r>
      <w:r w:rsidR="00286A2D" w:rsidRPr="009A29D5">
        <w:t>ынешний текст пункта 2.12.1 и пункта 2.12.2 следует изменить в соответствии с изложенным выше предложением.</w:t>
      </w:r>
    </w:p>
    <w:p w:rsidR="00286A2D" w:rsidRPr="009A29D5" w:rsidRDefault="00286A2D" w:rsidP="009A29D5">
      <w:pPr>
        <w:pStyle w:val="SingleTxtG"/>
      </w:pPr>
      <w:r w:rsidRPr="009A29D5">
        <w:t>3.</w:t>
      </w:r>
      <w:r w:rsidRPr="009A29D5">
        <w:tab/>
        <w:t>Формулировку пункта 2.12.3 («</w:t>
      </w:r>
      <w:r w:rsidR="00372327" w:rsidRPr="006D2611">
        <w:rPr>
          <w:w w:val="105"/>
        </w:rPr>
        <w:t>"</w:t>
      </w:r>
      <w:r w:rsidRPr="006D2611">
        <w:rPr>
          <w:i/>
        </w:rPr>
        <w:t>Отдельный подголовник</w:t>
      </w:r>
      <w:r w:rsidR="00372327" w:rsidRPr="006D2611">
        <w:rPr>
          <w:w w:val="105"/>
        </w:rPr>
        <w:t>"</w:t>
      </w:r>
      <w:r w:rsidRPr="009A29D5">
        <w:t xml:space="preserve"> означает отдельный элемент сиденья, предназначенный для жесткой установки и/или крепления на конструкции транспортного средства») следует сохранить в нынешнем виде. </w:t>
      </w:r>
    </w:p>
    <w:p w:rsidR="00E12C5F" w:rsidRPr="009A29D5" w:rsidRDefault="00286A2D" w:rsidP="009A29D5">
      <w:pPr>
        <w:pStyle w:val="SingleTxtG"/>
      </w:pPr>
      <w:r w:rsidRPr="009A29D5">
        <w:t>4.</w:t>
      </w:r>
      <w:r w:rsidRPr="009A29D5">
        <w:tab/>
        <w:t>Кроме того, настоящее предложение нацелено на согласование текста Правил ООН с проектом поправки 1 к Глобальным техническим правилам № 7 в том смысле, что часть спинки сиденья, где находится подголовник, должна рассматриваться в качестве составного элемента подголовника.</w:t>
      </w:r>
    </w:p>
    <w:p w:rsidR="00286A2D" w:rsidRPr="00286A2D" w:rsidRDefault="00286A2D" w:rsidP="00286A2D">
      <w:pPr>
        <w:pStyle w:val="SingleTxtG"/>
        <w:spacing w:before="240" w:after="0"/>
        <w:jc w:val="center"/>
        <w:rPr>
          <w:u w:val="single"/>
        </w:rPr>
      </w:pPr>
      <w:r>
        <w:rPr>
          <w:w w:val="105"/>
          <w:u w:val="single"/>
        </w:rPr>
        <w:tab/>
      </w:r>
      <w:r>
        <w:rPr>
          <w:w w:val="105"/>
          <w:u w:val="single"/>
        </w:rPr>
        <w:tab/>
      </w:r>
      <w:r>
        <w:rPr>
          <w:w w:val="105"/>
          <w:u w:val="single"/>
        </w:rPr>
        <w:tab/>
      </w:r>
      <w:r>
        <w:rPr>
          <w:w w:val="105"/>
          <w:u w:val="single"/>
        </w:rPr>
        <w:tab/>
      </w:r>
    </w:p>
    <w:sectPr w:rsidR="00286A2D" w:rsidRPr="00286A2D" w:rsidSect="00286A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D5" w:rsidRPr="00A312BC" w:rsidRDefault="000254D5" w:rsidP="00A312BC"/>
  </w:endnote>
  <w:endnote w:type="continuationSeparator" w:id="0">
    <w:p w:rsidR="000254D5" w:rsidRPr="00A312BC" w:rsidRDefault="000254D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2D" w:rsidRPr="00286A2D" w:rsidRDefault="00286A2D">
    <w:pPr>
      <w:pStyle w:val="a8"/>
    </w:pPr>
    <w:r w:rsidRPr="00286A2D">
      <w:rPr>
        <w:b/>
        <w:sz w:val="18"/>
      </w:rPr>
      <w:fldChar w:fldCharType="begin"/>
    </w:r>
    <w:r w:rsidRPr="00286A2D">
      <w:rPr>
        <w:b/>
        <w:sz w:val="18"/>
      </w:rPr>
      <w:instrText xml:space="preserve"> PAGE  \* MERGEFORMAT </w:instrText>
    </w:r>
    <w:r w:rsidRPr="00286A2D">
      <w:rPr>
        <w:b/>
        <w:sz w:val="18"/>
      </w:rPr>
      <w:fldChar w:fldCharType="separate"/>
    </w:r>
    <w:r w:rsidR="000B463B">
      <w:rPr>
        <w:b/>
        <w:noProof/>
        <w:sz w:val="18"/>
      </w:rPr>
      <w:t>2</w:t>
    </w:r>
    <w:r w:rsidRPr="00286A2D">
      <w:rPr>
        <w:b/>
        <w:sz w:val="18"/>
      </w:rPr>
      <w:fldChar w:fldCharType="end"/>
    </w:r>
    <w:r>
      <w:rPr>
        <w:b/>
        <w:sz w:val="18"/>
      </w:rPr>
      <w:tab/>
    </w:r>
    <w:r>
      <w:t>GE.19-16513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2D" w:rsidRPr="00286A2D" w:rsidRDefault="00286A2D" w:rsidP="00286A2D">
    <w:pPr>
      <w:pStyle w:val="a8"/>
      <w:tabs>
        <w:tab w:val="clear" w:pos="9639"/>
        <w:tab w:val="right" w:pos="9638"/>
      </w:tabs>
      <w:rPr>
        <w:b/>
        <w:sz w:val="18"/>
      </w:rPr>
    </w:pPr>
    <w:r>
      <w:t>GE.19-16513</w:t>
    </w:r>
    <w:r>
      <w:tab/>
    </w:r>
    <w:r w:rsidRPr="00286A2D">
      <w:rPr>
        <w:b/>
        <w:sz w:val="18"/>
      </w:rPr>
      <w:fldChar w:fldCharType="begin"/>
    </w:r>
    <w:r w:rsidRPr="00286A2D">
      <w:rPr>
        <w:b/>
        <w:sz w:val="18"/>
      </w:rPr>
      <w:instrText xml:space="preserve"> PAGE  \* MERGEFORMAT </w:instrText>
    </w:r>
    <w:r w:rsidRPr="00286A2D">
      <w:rPr>
        <w:b/>
        <w:sz w:val="18"/>
      </w:rPr>
      <w:fldChar w:fldCharType="separate"/>
    </w:r>
    <w:r w:rsidR="000B463B">
      <w:rPr>
        <w:b/>
        <w:noProof/>
        <w:sz w:val="18"/>
      </w:rPr>
      <w:t>3</w:t>
    </w:r>
    <w:r w:rsidRPr="00286A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86A2D" w:rsidRDefault="00286A2D" w:rsidP="00286A2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19-16513  (R)</w:t>
    </w:r>
    <w:r>
      <w:rPr>
        <w:lang w:val="en-US"/>
      </w:rPr>
      <w:t xml:space="preserve">  081019  081019</w:t>
    </w:r>
    <w:r>
      <w:br/>
    </w:r>
    <w:r w:rsidRPr="00286A2D">
      <w:rPr>
        <w:rFonts w:ascii="C39T30Lfz" w:hAnsi="C39T30Lfz"/>
        <w:kern w:val="14"/>
        <w:sz w:val="56"/>
      </w:rPr>
      <w:t></w:t>
    </w:r>
    <w:r w:rsidRPr="00286A2D">
      <w:rPr>
        <w:rFonts w:ascii="C39T30Lfz" w:hAnsi="C39T30Lfz"/>
        <w:kern w:val="14"/>
        <w:sz w:val="56"/>
      </w:rPr>
      <w:t></w:t>
    </w:r>
    <w:r w:rsidRPr="00286A2D">
      <w:rPr>
        <w:rFonts w:ascii="C39T30Lfz" w:hAnsi="C39T30Lfz"/>
        <w:kern w:val="14"/>
        <w:sz w:val="56"/>
      </w:rPr>
      <w:t></w:t>
    </w:r>
    <w:r w:rsidRPr="00286A2D">
      <w:rPr>
        <w:rFonts w:ascii="C39T30Lfz" w:hAnsi="C39T30Lfz"/>
        <w:kern w:val="14"/>
        <w:sz w:val="56"/>
      </w:rPr>
      <w:t></w:t>
    </w:r>
    <w:r w:rsidRPr="00286A2D">
      <w:rPr>
        <w:rFonts w:ascii="C39T30Lfz" w:hAnsi="C39T30Lfz"/>
        <w:kern w:val="14"/>
        <w:sz w:val="56"/>
      </w:rPr>
      <w:t></w:t>
    </w:r>
    <w:r w:rsidRPr="00286A2D">
      <w:rPr>
        <w:rFonts w:ascii="C39T30Lfz" w:hAnsi="C39T30Lfz"/>
        <w:kern w:val="14"/>
        <w:sz w:val="56"/>
      </w:rPr>
      <w:t></w:t>
    </w:r>
    <w:r w:rsidRPr="00286A2D">
      <w:rPr>
        <w:rFonts w:ascii="C39T30Lfz" w:hAnsi="C39T30Lfz"/>
        <w:kern w:val="14"/>
        <w:sz w:val="56"/>
      </w:rPr>
      <w:t></w:t>
    </w:r>
    <w:r w:rsidRPr="00286A2D">
      <w:rPr>
        <w:rFonts w:ascii="C39T30Lfz" w:hAnsi="C39T30Lfz"/>
        <w:kern w:val="14"/>
        <w:sz w:val="56"/>
      </w:rPr>
      <w:t></w:t>
    </w:r>
    <w:r w:rsidRPr="00286A2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9/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D5" w:rsidRPr="001075E9" w:rsidRDefault="000254D5" w:rsidP="001075E9">
      <w:pPr>
        <w:tabs>
          <w:tab w:val="right" w:pos="2155"/>
        </w:tabs>
        <w:spacing w:after="80" w:line="240" w:lineRule="auto"/>
        <w:ind w:left="680"/>
        <w:rPr>
          <w:u w:val="single"/>
        </w:rPr>
      </w:pPr>
      <w:r>
        <w:rPr>
          <w:u w:val="single"/>
        </w:rPr>
        <w:tab/>
      </w:r>
    </w:p>
  </w:footnote>
  <w:footnote w:type="continuationSeparator" w:id="0">
    <w:p w:rsidR="000254D5" w:rsidRDefault="000254D5" w:rsidP="00407B78">
      <w:pPr>
        <w:tabs>
          <w:tab w:val="right" w:pos="2155"/>
        </w:tabs>
        <w:spacing w:after="80"/>
        <w:ind w:left="680"/>
        <w:rPr>
          <w:u w:val="single"/>
        </w:rPr>
      </w:pPr>
      <w:r>
        <w:rPr>
          <w:u w:val="single"/>
        </w:rPr>
        <w:tab/>
      </w:r>
    </w:p>
  </w:footnote>
  <w:footnote w:id="1">
    <w:p w:rsidR="00286A2D" w:rsidRPr="00022F69" w:rsidRDefault="00286A2D" w:rsidP="00286A2D">
      <w:pPr>
        <w:pStyle w:val="ad"/>
      </w:pPr>
      <w:r>
        <w:tab/>
      </w:r>
      <w:r w:rsidRPr="003B133A">
        <w:rPr>
          <w:rStyle w:val="aa"/>
          <w:sz w:val="20"/>
          <w:vertAlign w:val="baseline"/>
        </w:rPr>
        <w:t>*</w:t>
      </w:r>
      <w:r w:rsidRPr="00140999">
        <w:tab/>
      </w:r>
      <w:r w:rsidRPr="00CC458C">
        <w:t>В соответствии с программой работы Комитета по внутреннему транспорту на</w:t>
      </w:r>
      <w:r>
        <w:rPr>
          <w:lang w:val="en-US"/>
        </w:rPr>
        <w:t> </w:t>
      </w:r>
      <w:r w:rsidRPr="00CC458C">
        <w:t>201</w:t>
      </w:r>
      <w:r>
        <w:t>8</w:t>
      </w:r>
      <w:r w:rsidR="00DD2A63" w:rsidRPr="00DE46C2">
        <w:t>–</w:t>
      </w:r>
      <w:r w:rsidRPr="00CC458C">
        <w:t>201</w:t>
      </w:r>
      <w:r>
        <w:t>9</w:t>
      </w:r>
      <w:r w:rsidRPr="00CC458C">
        <w:t xml:space="preserve"> годы (</w:t>
      </w:r>
      <w:r>
        <w:t>ECE</w:t>
      </w:r>
      <w:r w:rsidRPr="00CC458C">
        <w:t>/</w:t>
      </w:r>
      <w:r>
        <w:t>TRANS</w:t>
      </w:r>
      <w:r w:rsidRPr="00CC458C">
        <w:t>/2</w:t>
      </w:r>
      <w:r>
        <w:t>74</w:t>
      </w:r>
      <w:r w:rsidRPr="00CC458C">
        <w:t xml:space="preserve">, пункт </w:t>
      </w:r>
      <w:r>
        <w:t>123</w:t>
      </w:r>
      <w:r w:rsidRPr="00CC458C">
        <w:t xml:space="preserve">, и </w:t>
      </w:r>
      <w:r>
        <w:t>ECE</w:t>
      </w:r>
      <w:r w:rsidRPr="00CC458C">
        <w:t>/</w:t>
      </w:r>
      <w:r>
        <w:t>TRANS/</w:t>
      </w:r>
      <w:r w:rsidRPr="00F922C7">
        <w:rPr>
          <w:szCs w:val="18"/>
        </w:rPr>
        <w:t>2018/21/</w:t>
      </w:r>
      <w:r w:rsidRPr="00B15178">
        <w:rPr>
          <w:szCs w:val="18"/>
          <w:lang w:val="en-US"/>
        </w:rPr>
        <w:t>Add</w:t>
      </w:r>
      <w:r w:rsidRPr="00F922C7">
        <w:rPr>
          <w:szCs w:val="18"/>
        </w:rPr>
        <w:t>.1</w:t>
      </w:r>
      <w:r>
        <w:t>, направление работы 3.1</w:t>
      </w:r>
      <w:r w:rsidRPr="00CC458C">
        <w:t>) Всемирный форум будет разрабатывать, согласовывать и</w:t>
      </w:r>
      <w:r>
        <w:rPr>
          <w:lang w:val="en-US"/>
        </w:rPr>
        <w:t> </w:t>
      </w:r>
      <w:r w:rsidRPr="00CC458C">
        <w:t xml:space="preserve">обновлять правила </w:t>
      </w:r>
      <w:r>
        <w:t xml:space="preserve">ООН </w:t>
      </w:r>
      <w:r w:rsidRPr="00CC458C">
        <w:t xml:space="preserve">в целях улучшения характеристик транспортных средств. </w:t>
      </w:r>
      <w:r w:rsidRPr="00BA2A84">
        <w:t>Настоящий</w:t>
      </w:r>
      <w:r w:rsidRPr="00022F69">
        <w:t xml:space="preserve"> </w:t>
      </w:r>
      <w:r w:rsidRPr="00BA2A84">
        <w:t>документ</w:t>
      </w:r>
      <w:r w:rsidRPr="00022F69">
        <w:t xml:space="preserve"> </w:t>
      </w:r>
      <w:r w:rsidRPr="00BA2A84">
        <w:t>представлен</w:t>
      </w:r>
      <w:r w:rsidRPr="00022F69">
        <w:t xml:space="preserve"> </w:t>
      </w:r>
      <w:r w:rsidRPr="00BA2A84">
        <w:t>в</w:t>
      </w:r>
      <w:r w:rsidRPr="00022F69">
        <w:t xml:space="preserve"> </w:t>
      </w:r>
      <w:r w:rsidRPr="00BA2A84">
        <w:t>соответствии</w:t>
      </w:r>
      <w:r w:rsidRPr="00022F69">
        <w:t xml:space="preserve"> </w:t>
      </w:r>
      <w:r w:rsidRPr="00BA2A84">
        <w:t>с</w:t>
      </w:r>
      <w:r w:rsidRPr="00022F69">
        <w:t xml:space="preserve"> </w:t>
      </w:r>
      <w:r w:rsidRPr="00BA2A84">
        <w:t>этим</w:t>
      </w:r>
      <w:r w:rsidRPr="00022F69">
        <w:t xml:space="preserve"> </w:t>
      </w:r>
      <w:r w:rsidRPr="00BA2A84">
        <w:t>мандатом</w:t>
      </w:r>
      <w:r w:rsidRPr="00022F69">
        <w:rPr>
          <w:szCs w:val="18"/>
        </w:rPr>
        <w:t>.</w:t>
      </w:r>
    </w:p>
  </w:footnote>
  <w:footnote w:id="2">
    <w:p w:rsidR="006B3261" w:rsidRPr="00022F69" w:rsidRDefault="006B3261" w:rsidP="006B3261">
      <w:pPr>
        <w:pStyle w:val="ad"/>
      </w:pPr>
      <w:r w:rsidRPr="00022F69">
        <w:tab/>
      </w:r>
      <w:r w:rsidR="00F44C28" w:rsidRPr="00C329C7">
        <w:rPr>
          <w:rStyle w:val="aa"/>
          <w:sz w:val="20"/>
          <w:vertAlign w:val="baseline"/>
        </w:rPr>
        <w:sym w:font="Symbol" w:char="F02A"/>
      </w:r>
      <w:r w:rsidRPr="00022F69">
        <w:tab/>
      </w:r>
      <w:r w:rsidRPr="00022F69">
        <w:rPr>
          <w:b/>
          <w:bCs/>
        </w:rPr>
        <w:t xml:space="preserve">Примечание секретариата: </w:t>
      </w:r>
      <w:r>
        <w:rPr>
          <w:b/>
          <w:bCs/>
        </w:rPr>
        <w:t>текст подлежит уточнению.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2D" w:rsidRPr="00286A2D" w:rsidRDefault="00806643">
    <w:pPr>
      <w:pStyle w:val="a5"/>
    </w:pPr>
    <w:fldSimple w:instr=" TITLE  \* MERGEFORMAT ">
      <w:r w:rsidR="000B463B">
        <w:t>ECE/TRANS/WP.29/GRSP/2019/16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2D" w:rsidRPr="00286A2D" w:rsidRDefault="00806643" w:rsidP="00286A2D">
    <w:pPr>
      <w:pStyle w:val="a5"/>
      <w:jc w:val="right"/>
    </w:pPr>
    <w:fldSimple w:instr=" TITLE  \* MERGEFORMAT ">
      <w:r w:rsidR="000B463B">
        <w:t>ECE/TRANS/WP.29/GRSP/2019/16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2D" w:rsidRDefault="00286A2D" w:rsidP="00286A2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D5"/>
    <w:rsid w:val="000254D5"/>
    <w:rsid w:val="00033EE1"/>
    <w:rsid w:val="00037E20"/>
    <w:rsid w:val="00042578"/>
    <w:rsid w:val="00042B72"/>
    <w:rsid w:val="000558BD"/>
    <w:rsid w:val="000B463B"/>
    <w:rsid w:val="000B57E7"/>
    <w:rsid w:val="000B6373"/>
    <w:rsid w:val="000D3FEA"/>
    <w:rsid w:val="000E4E5B"/>
    <w:rsid w:val="000F09DF"/>
    <w:rsid w:val="000F61B2"/>
    <w:rsid w:val="001075E9"/>
    <w:rsid w:val="0014152F"/>
    <w:rsid w:val="00180183"/>
    <w:rsid w:val="0018024D"/>
    <w:rsid w:val="0018649F"/>
    <w:rsid w:val="00196389"/>
    <w:rsid w:val="001B3EF6"/>
    <w:rsid w:val="001C7A89"/>
    <w:rsid w:val="001F6423"/>
    <w:rsid w:val="00255343"/>
    <w:rsid w:val="0027151D"/>
    <w:rsid w:val="00276E36"/>
    <w:rsid w:val="00286A2D"/>
    <w:rsid w:val="002A2EFC"/>
    <w:rsid w:val="002B0106"/>
    <w:rsid w:val="002B74B1"/>
    <w:rsid w:val="002C0E18"/>
    <w:rsid w:val="002D5AAC"/>
    <w:rsid w:val="002E5067"/>
    <w:rsid w:val="002F405F"/>
    <w:rsid w:val="002F7EEC"/>
    <w:rsid w:val="00301299"/>
    <w:rsid w:val="00305C08"/>
    <w:rsid w:val="00307FB6"/>
    <w:rsid w:val="00317339"/>
    <w:rsid w:val="00322004"/>
    <w:rsid w:val="00332730"/>
    <w:rsid w:val="003402C2"/>
    <w:rsid w:val="00372327"/>
    <w:rsid w:val="00381C24"/>
    <w:rsid w:val="00387CD4"/>
    <w:rsid w:val="003958D0"/>
    <w:rsid w:val="003A0D43"/>
    <w:rsid w:val="003A48CE"/>
    <w:rsid w:val="003B00E5"/>
    <w:rsid w:val="003B133A"/>
    <w:rsid w:val="003E0B46"/>
    <w:rsid w:val="003E7A35"/>
    <w:rsid w:val="00407B78"/>
    <w:rsid w:val="00424203"/>
    <w:rsid w:val="00424614"/>
    <w:rsid w:val="00452493"/>
    <w:rsid w:val="00453318"/>
    <w:rsid w:val="00454AF2"/>
    <w:rsid w:val="00454E07"/>
    <w:rsid w:val="00472C5C"/>
    <w:rsid w:val="004C4274"/>
    <w:rsid w:val="004E05B7"/>
    <w:rsid w:val="0050108D"/>
    <w:rsid w:val="00513081"/>
    <w:rsid w:val="00517901"/>
    <w:rsid w:val="00526683"/>
    <w:rsid w:val="005344D1"/>
    <w:rsid w:val="005639C1"/>
    <w:rsid w:val="00565375"/>
    <w:rsid w:val="005709E0"/>
    <w:rsid w:val="00572E19"/>
    <w:rsid w:val="005961C8"/>
    <w:rsid w:val="005966F1"/>
    <w:rsid w:val="005C582A"/>
    <w:rsid w:val="005D7914"/>
    <w:rsid w:val="005E2B41"/>
    <w:rsid w:val="005E636E"/>
    <w:rsid w:val="005F0B42"/>
    <w:rsid w:val="006076A5"/>
    <w:rsid w:val="00614A88"/>
    <w:rsid w:val="00617A43"/>
    <w:rsid w:val="006345DB"/>
    <w:rsid w:val="00640F49"/>
    <w:rsid w:val="00654C98"/>
    <w:rsid w:val="00680D03"/>
    <w:rsid w:val="00681A10"/>
    <w:rsid w:val="006A1ED8"/>
    <w:rsid w:val="006B3261"/>
    <w:rsid w:val="006C2031"/>
    <w:rsid w:val="006D2611"/>
    <w:rsid w:val="006D461A"/>
    <w:rsid w:val="006F35EE"/>
    <w:rsid w:val="007021FF"/>
    <w:rsid w:val="00712895"/>
    <w:rsid w:val="00734ACB"/>
    <w:rsid w:val="00757357"/>
    <w:rsid w:val="00792497"/>
    <w:rsid w:val="007C2DFA"/>
    <w:rsid w:val="00806643"/>
    <w:rsid w:val="00806737"/>
    <w:rsid w:val="00806F06"/>
    <w:rsid w:val="00817333"/>
    <w:rsid w:val="00825F8D"/>
    <w:rsid w:val="00834B71"/>
    <w:rsid w:val="0086445C"/>
    <w:rsid w:val="00874464"/>
    <w:rsid w:val="00894693"/>
    <w:rsid w:val="008A08D7"/>
    <w:rsid w:val="008A37C8"/>
    <w:rsid w:val="008B28C5"/>
    <w:rsid w:val="008B6909"/>
    <w:rsid w:val="008C71ED"/>
    <w:rsid w:val="008D53B6"/>
    <w:rsid w:val="008F7609"/>
    <w:rsid w:val="00906890"/>
    <w:rsid w:val="00911BE4"/>
    <w:rsid w:val="00927307"/>
    <w:rsid w:val="00951972"/>
    <w:rsid w:val="009608F3"/>
    <w:rsid w:val="00981E76"/>
    <w:rsid w:val="009A24AC"/>
    <w:rsid w:val="009A29D5"/>
    <w:rsid w:val="009C59D7"/>
    <w:rsid w:val="009C6FE6"/>
    <w:rsid w:val="009D253B"/>
    <w:rsid w:val="009D7E7D"/>
    <w:rsid w:val="00A14DA8"/>
    <w:rsid w:val="00A312BC"/>
    <w:rsid w:val="00A84021"/>
    <w:rsid w:val="00A84D35"/>
    <w:rsid w:val="00A917B3"/>
    <w:rsid w:val="00AB4B51"/>
    <w:rsid w:val="00B10CC7"/>
    <w:rsid w:val="00B36DF7"/>
    <w:rsid w:val="00B539E7"/>
    <w:rsid w:val="00B62458"/>
    <w:rsid w:val="00B62653"/>
    <w:rsid w:val="00B65E92"/>
    <w:rsid w:val="00BC18B2"/>
    <w:rsid w:val="00BD33EE"/>
    <w:rsid w:val="00BE1CC7"/>
    <w:rsid w:val="00BE48D8"/>
    <w:rsid w:val="00C106D6"/>
    <w:rsid w:val="00C119AE"/>
    <w:rsid w:val="00C329C7"/>
    <w:rsid w:val="00C60F0C"/>
    <w:rsid w:val="00C71E84"/>
    <w:rsid w:val="00C805C9"/>
    <w:rsid w:val="00C92939"/>
    <w:rsid w:val="00CA1679"/>
    <w:rsid w:val="00CB151C"/>
    <w:rsid w:val="00CD65C2"/>
    <w:rsid w:val="00CE5A1A"/>
    <w:rsid w:val="00CF55F6"/>
    <w:rsid w:val="00D33D63"/>
    <w:rsid w:val="00D5253A"/>
    <w:rsid w:val="00D873A8"/>
    <w:rsid w:val="00D90028"/>
    <w:rsid w:val="00D90138"/>
    <w:rsid w:val="00D9145B"/>
    <w:rsid w:val="00DD2A63"/>
    <w:rsid w:val="00DD78D1"/>
    <w:rsid w:val="00DE32CD"/>
    <w:rsid w:val="00DE46C2"/>
    <w:rsid w:val="00DF5767"/>
    <w:rsid w:val="00DF71B9"/>
    <w:rsid w:val="00E12C5F"/>
    <w:rsid w:val="00E34515"/>
    <w:rsid w:val="00E73F76"/>
    <w:rsid w:val="00EA2C9F"/>
    <w:rsid w:val="00EA420E"/>
    <w:rsid w:val="00ED0BDA"/>
    <w:rsid w:val="00EE142A"/>
    <w:rsid w:val="00EF1360"/>
    <w:rsid w:val="00EF3220"/>
    <w:rsid w:val="00F2523A"/>
    <w:rsid w:val="00F43903"/>
    <w:rsid w:val="00F44838"/>
    <w:rsid w:val="00F44C28"/>
    <w:rsid w:val="00F94155"/>
    <w:rsid w:val="00F9716E"/>
    <w:rsid w:val="00F9783F"/>
    <w:rsid w:val="00FB62FE"/>
    <w:rsid w:val="00FC038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89D5B"/>
  <w15:docId w15:val="{FD4A89B6-8E2B-4593-98DA-EBF1C299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286A2D"/>
    <w:rPr>
      <w:lang w:val="ru-RU" w:eastAsia="en-US"/>
    </w:rPr>
  </w:style>
  <w:style w:type="character" w:customStyle="1" w:styleId="HChGChar">
    <w:name w:val="_ H _Ch_G Char"/>
    <w:link w:val="HChG"/>
    <w:rsid w:val="00286A2D"/>
    <w:rPr>
      <w:b/>
      <w:sz w:val="28"/>
      <w:lang w:val="ru-RU" w:eastAsia="ru-RU"/>
    </w:rPr>
  </w:style>
  <w:style w:type="paragraph" w:styleId="af3">
    <w:name w:val="Body Text"/>
    <w:basedOn w:val="a"/>
    <w:link w:val="af4"/>
    <w:uiPriority w:val="1"/>
    <w:qFormat/>
    <w:rsid w:val="00286A2D"/>
    <w:pPr>
      <w:widowControl w:val="0"/>
      <w:suppressAutoHyphens w:val="0"/>
      <w:autoSpaceDE w:val="0"/>
      <w:autoSpaceDN w:val="0"/>
      <w:spacing w:line="240" w:lineRule="auto"/>
    </w:pPr>
    <w:rPr>
      <w:rFonts w:eastAsia="Times New Roman" w:cs="Times New Roman"/>
      <w:szCs w:val="20"/>
      <w:lang w:val="en-US"/>
    </w:rPr>
  </w:style>
  <w:style w:type="character" w:customStyle="1" w:styleId="af4">
    <w:name w:val="Основной текст Знак"/>
    <w:basedOn w:val="a0"/>
    <w:link w:val="af3"/>
    <w:uiPriority w:val="1"/>
    <w:rsid w:val="00286A2D"/>
    <w:rPr>
      <w:lang w:val="en-US" w:eastAsia="en-US"/>
    </w:rPr>
  </w:style>
  <w:style w:type="paragraph" w:customStyle="1" w:styleId="Default">
    <w:name w:val="Default"/>
    <w:rsid w:val="00286A2D"/>
    <w:pPr>
      <w:autoSpaceDE w:val="0"/>
      <w:autoSpaceDN w:val="0"/>
      <w:adjustRightInd w:val="0"/>
    </w:pPr>
    <w:rPr>
      <w:rFonts w:eastAsiaTheme="minorEastAsia"/>
      <w:color w:val="000000"/>
      <w:sz w:val="24"/>
      <w:szCs w:val="24"/>
      <w:lang w:val="de-DE" w:eastAsia="zh-CN"/>
    </w:rPr>
  </w:style>
  <w:style w:type="paragraph" w:customStyle="1" w:styleId="SingleTxtGR">
    <w:name w:val="_ Single Txt_GR"/>
    <w:basedOn w:val="a"/>
    <w:link w:val="SingleTxtGR0"/>
    <w:rsid w:val="00286A2D"/>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locked/>
    <w:rsid w:val="00286A2D"/>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Pages>
  <Words>544</Words>
  <Characters>3866</Characters>
  <Application>Microsoft Office Word</Application>
  <DocSecurity>0</DocSecurity>
  <Lines>89</Lines>
  <Paragraphs>37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ECE/TRANS/WP.29/GRSP/2019/16</dc:title>
  <dc:subject/>
  <dc:creator>Olga OVTCHINNIKOVA</dc:creator>
  <cp:keywords/>
  <cp:lastModifiedBy>Olga Ovchinnikova</cp:lastModifiedBy>
  <cp:revision>6</cp:revision>
  <cp:lastPrinted>2019-10-08T08:44:00Z</cp:lastPrinted>
  <dcterms:created xsi:type="dcterms:W3CDTF">2019-10-08T08:44:00Z</dcterms:created>
  <dcterms:modified xsi:type="dcterms:W3CDTF">2019-10-08T08:45:00Z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