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4F63AD"/>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F63AD" w:rsidP="004F63AD">
            <w:pPr>
              <w:jc w:val="right"/>
            </w:pPr>
            <w:r w:rsidRPr="004F63AD">
              <w:rPr>
                <w:sz w:val="40"/>
              </w:rPr>
              <w:t>ECE</w:t>
            </w:r>
            <w:r>
              <w:t>/TRANS/WP.29/GRSG/2019/33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F63AD" w:rsidP="00C97039">
            <w:pPr>
              <w:spacing w:before="240"/>
            </w:pPr>
            <w:r>
              <w:t>Distr. générale</w:t>
            </w:r>
          </w:p>
          <w:p w:rsidR="004F63AD" w:rsidRDefault="004F63AD" w:rsidP="004F63AD">
            <w:pPr>
              <w:spacing w:line="240" w:lineRule="exact"/>
            </w:pPr>
            <w:r>
              <w:t>1</w:t>
            </w:r>
            <w:r w:rsidR="00C078AD">
              <w:t>9</w:t>
            </w:r>
            <w:r>
              <w:t xml:space="preserve"> juillet 2019</w:t>
            </w:r>
          </w:p>
          <w:p w:rsidR="004F63AD" w:rsidRDefault="004F63AD" w:rsidP="004F63AD">
            <w:pPr>
              <w:spacing w:line="240" w:lineRule="exact"/>
            </w:pPr>
            <w:r>
              <w:t>Français</w:t>
            </w:r>
          </w:p>
          <w:p w:rsidR="004F63AD" w:rsidRPr="00DB58B5" w:rsidRDefault="004F63AD" w:rsidP="004F63AD">
            <w:pPr>
              <w:spacing w:line="240" w:lineRule="exact"/>
            </w:pPr>
            <w:r>
              <w:t>Original</w:t>
            </w:r>
            <w:r w:rsidR="00641C70">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C078AD" w:rsidRPr="00641C70" w:rsidRDefault="00C078AD" w:rsidP="00641C70">
      <w:pPr>
        <w:spacing w:before="120"/>
        <w:rPr>
          <w:b/>
          <w:sz w:val="24"/>
          <w:szCs w:val="24"/>
        </w:rPr>
      </w:pPr>
      <w:r w:rsidRPr="00641C70">
        <w:rPr>
          <w:b/>
          <w:bCs/>
          <w:sz w:val="24"/>
          <w:szCs w:val="24"/>
        </w:rPr>
        <w:t>Forum mondial de l’harmonisation des Règlements</w:t>
      </w:r>
      <w:r w:rsidRPr="00641C70">
        <w:rPr>
          <w:b/>
          <w:bCs/>
          <w:sz w:val="24"/>
          <w:szCs w:val="24"/>
        </w:rPr>
        <w:br/>
        <w:t>concernant les véhicules</w:t>
      </w:r>
    </w:p>
    <w:p w:rsidR="00C078AD" w:rsidRPr="00BE6F3C" w:rsidRDefault="00C078AD" w:rsidP="00641C70">
      <w:pPr>
        <w:spacing w:before="120"/>
        <w:rPr>
          <w:b/>
        </w:rPr>
      </w:pPr>
      <w:r w:rsidRPr="00BE6F3C">
        <w:rPr>
          <w:b/>
          <w:bCs/>
        </w:rPr>
        <w:t>Groupe de travail des dispositions générales de sécurité</w:t>
      </w:r>
    </w:p>
    <w:p w:rsidR="00C078AD" w:rsidRPr="00BE6F3C" w:rsidRDefault="00C078AD" w:rsidP="00641C70">
      <w:pPr>
        <w:tabs>
          <w:tab w:val="center" w:pos="4819"/>
        </w:tabs>
        <w:spacing w:before="120"/>
        <w:rPr>
          <w:b/>
        </w:rPr>
      </w:pPr>
      <w:r w:rsidRPr="00BE6F3C">
        <w:rPr>
          <w:b/>
          <w:bCs/>
        </w:rPr>
        <w:t>117</w:t>
      </w:r>
      <w:r w:rsidRPr="00BE6F3C">
        <w:rPr>
          <w:b/>
          <w:bCs/>
          <w:vertAlign w:val="superscript"/>
        </w:rPr>
        <w:t>e</w:t>
      </w:r>
      <w:r w:rsidRPr="00BE6F3C">
        <w:rPr>
          <w:b/>
          <w:bCs/>
        </w:rPr>
        <w:t xml:space="preserve"> session</w:t>
      </w:r>
    </w:p>
    <w:p w:rsidR="00C078AD" w:rsidRPr="00BE6F3C" w:rsidRDefault="00C078AD" w:rsidP="00641C70">
      <w:r w:rsidRPr="00BE6F3C">
        <w:t>Genève, 8-11 octobre 2019</w:t>
      </w:r>
    </w:p>
    <w:p w:rsidR="00C078AD" w:rsidRPr="00BE6F3C" w:rsidRDefault="00C078AD" w:rsidP="00641C70">
      <w:r w:rsidRPr="00BE6F3C">
        <w:t>Point 6 a) de l’ordre du jour provisoire</w:t>
      </w:r>
    </w:p>
    <w:p w:rsidR="00C078AD" w:rsidRPr="00BE6F3C" w:rsidRDefault="00C078AD" w:rsidP="00641C70">
      <w:r w:rsidRPr="00BE6F3C">
        <w:rPr>
          <w:b/>
          <w:bCs/>
        </w:rPr>
        <w:t>Amendements aux Règlements relatifs aux vitrages de sécurité</w:t>
      </w:r>
      <w:r w:rsidR="00641C70">
        <w:rPr>
          <w:b/>
          <w:bCs/>
        </w:rPr>
        <w:t> :</w:t>
      </w:r>
    </w:p>
    <w:p w:rsidR="00C078AD" w:rsidRPr="00BE6F3C" w:rsidRDefault="00C078AD" w:rsidP="00641C70">
      <w:pPr>
        <w:rPr>
          <w:b/>
          <w:bCs/>
        </w:rPr>
      </w:pPr>
      <w:r w:rsidRPr="00BE6F3C">
        <w:rPr>
          <w:b/>
          <w:bCs/>
        </w:rPr>
        <w:t>Règlement technique mondial ONU n</w:t>
      </w:r>
      <w:r w:rsidRPr="00BE6F3C">
        <w:rPr>
          <w:b/>
          <w:bCs/>
          <w:vertAlign w:val="superscript"/>
        </w:rPr>
        <w:t>o</w:t>
      </w:r>
      <w:r w:rsidRPr="00BE6F3C">
        <w:rPr>
          <w:b/>
          <w:bCs/>
        </w:rPr>
        <w:t> 6 (Vitrages de sécurité)</w:t>
      </w:r>
    </w:p>
    <w:p w:rsidR="00C078AD" w:rsidRPr="00BE6F3C" w:rsidRDefault="00C078AD" w:rsidP="00C078AD">
      <w:pPr>
        <w:pStyle w:val="HChG"/>
        <w:rPr>
          <w:szCs w:val="28"/>
        </w:rPr>
      </w:pPr>
      <w:r w:rsidRPr="00BE6F3C">
        <w:tab/>
      </w:r>
      <w:r w:rsidRPr="00BE6F3C">
        <w:tab/>
      </w:r>
      <w:r w:rsidRPr="00BE6F3C">
        <w:rPr>
          <w:bCs/>
        </w:rPr>
        <w:t>Proposition d’amendement 2 au Règlement technique mondial ONU n</w:t>
      </w:r>
      <w:r w:rsidRPr="00BE6F3C">
        <w:rPr>
          <w:bCs/>
          <w:vertAlign w:val="superscript"/>
        </w:rPr>
        <w:t>o</w:t>
      </w:r>
      <w:r w:rsidRPr="00BE6F3C">
        <w:rPr>
          <w:bCs/>
        </w:rPr>
        <w:t> 6 (Vitrages de sécurité)</w:t>
      </w:r>
    </w:p>
    <w:p w:rsidR="00C078AD" w:rsidRPr="00C078AD" w:rsidRDefault="00C078AD" w:rsidP="00C078AD">
      <w:pPr>
        <w:pStyle w:val="H1G"/>
      </w:pPr>
      <w:r>
        <w:tab/>
      </w:r>
      <w:r>
        <w:tab/>
      </w:r>
      <w:r w:rsidRPr="00BE6F3C">
        <w:t>Communication de l’expert de la République de Corée</w:t>
      </w:r>
      <w:r w:rsidRPr="00C078AD">
        <w:rPr>
          <w:b w:val="0"/>
          <w:sz w:val="20"/>
        </w:rPr>
        <w:footnoteReference w:customMarkFollows="1" w:id="2"/>
        <w:t>*</w:t>
      </w:r>
    </w:p>
    <w:p w:rsidR="00641C70" w:rsidRDefault="00C078AD" w:rsidP="00641C70">
      <w:pPr>
        <w:pStyle w:val="SingleTxtG"/>
        <w:ind w:firstLine="567"/>
      </w:pPr>
      <w:r w:rsidRPr="00BE6F3C">
        <w:t>Le texte ci-après, soumis par le représentant de la République de Corée, vise à adapter le Règlement technique mondial (RTM) n</w:t>
      </w:r>
      <w:r w:rsidRPr="00BE6F3C">
        <w:rPr>
          <w:vertAlign w:val="superscript"/>
        </w:rPr>
        <w:t>o</w:t>
      </w:r>
      <w:r w:rsidRPr="00BE6F3C">
        <w:t> 6 à l’évolution technique afin d’exclure de la zone I le masque opaque éventuel dans la zone d’essai sur le pare-brise des véhicules des catégories 1</w:t>
      </w:r>
      <w:r w:rsidRPr="00BE6F3C">
        <w:noBreakHyphen/>
        <w:t>2 et 2. La présente proposition est fondée sur les documents informels GRSG</w:t>
      </w:r>
      <w:r w:rsidRPr="00BE6F3C">
        <w:noBreakHyphen/>
        <w:t>116-30 et GRSG-116-31, présentés à la 116</w:t>
      </w:r>
      <w:r w:rsidRPr="00BE6F3C">
        <w:rPr>
          <w:vertAlign w:val="superscript"/>
        </w:rPr>
        <w:t>e</w:t>
      </w:r>
      <w:r w:rsidR="00641C70">
        <w:t> </w:t>
      </w:r>
      <w:r w:rsidRPr="00BE6F3C">
        <w:t>session du Groupe de travail des dispositions générales de sécurité (GRSG) (voir le rapport ECE/TRANS/WP.29/GRSG/95, par.</w:t>
      </w:r>
      <w:r w:rsidR="00641C70">
        <w:t> </w:t>
      </w:r>
      <w:r w:rsidRPr="00BE6F3C">
        <w:t>22). Elle est également fondée sur le document WP.29-178-12, qui a été examiné par le Comité exécutif de l’Accord de 1998 (AC.3) (voir ECE/TRANS/WP.29/1147, par.</w:t>
      </w:r>
      <w:r w:rsidR="00641C70">
        <w:t> </w:t>
      </w:r>
      <w:r w:rsidRPr="00BE6F3C">
        <w:t>158). Les modifications qu’il est proposé d’apporter au texte actuel du Règlement technique mondial ONU n</w:t>
      </w:r>
      <w:r w:rsidRPr="00BE6F3C">
        <w:rPr>
          <w:vertAlign w:val="superscript"/>
        </w:rPr>
        <w:t>o</w:t>
      </w:r>
      <w:r w:rsidRPr="00BE6F3C">
        <w:t> 6 figurent en caractères gras.</w:t>
      </w:r>
    </w:p>
    <w:p w:rsidR="00C078AD" w:rsidRPr="00BE6F3C" w:rsidRDefault="00641C70" w:rsidP="00641C70">
      <w:pPr>
        <w:pStyle w:val="HChG"/>
      </w:pPr>
      <w:r>
        <w:br w:type="page"/>
      </w:r>
      <w:r w:rsidR="00C078AD" w:rsidRPr="00BE6F3C">
        <w:lastRenderedPageBreak/>
        <w:tab/>
        <w:t>I.</w:t>
      </w:r>
      <w:r w:rsidR="00C078AD" w:rsidRPr="00BE6F3C">
        <w:tab/>
        <w:t>Proposition</w:t>
      </w:r>
    </w:p>
    <w:p w:rsidR="00C078AD" w:rsidRPr="00BE6F3C" w:rsidRDefault="00C078AD" w:rsidP="00641C70">
      <w:pPr>
        <w:pStyle w:val="SingleTxtG"/>
        <w:keepNext/>
        <w:rPr>
          <w:rFonts w:eastAsia="Malgun Gothic"/>
        </w:rPr>
      </w:pPr>
      <w:r w:rsidRPr="00641C70">
        <w:rPr>
          <w:i/>
        </w:rPr>
        <w:t>Paragraphe 7.1.3.3</w:t>
      </w:r>
      <w:r w:rsidRPr="00BE6F3C">
        <w:t>, lire</w:t>
      </w:r>
      <w:r w:rsidR="00641C70">
        <w:t> :</w:t>
      </w:r>
    </w:p>
    <w:p w:rsidR="00C078AD" w:rsidRPr="00BE6F3C" w:rsidRDefault="00C078AD" w:rsidP="00641C70">
      <w:pPr>
        <w:pStyle w:val="SingleTxtG"/>
        <w:ind w:left="2268" w:hanging="1134"/>
        <w:rPr>
          <w:rFonts w:eastAsia="Malgun Gothic"/>
        </w:rPr>
      </w:pPr>
      <w:r w:rsidRPr="00BE6F3C">
        <w:t>« 7.1.3.3</w:t>
      </w:r>
      <w:r w:rsidRPr="00BE6F3C">
        <w:tab/>
        <w:t xml:space="preserve">Détermination des zones d’essai pour les véhicules des catégories 1-2 et 2 à l’aide du point </w:t>
      </w:r>
      <w:r w:rsidR="00641C70">
        <w:t>“</w:t>
      </w:r>
      <w:r w:rsidRPr="00BE6F3C">
        <w:t>O</w:t>
      </w:r>
      <w:r w:rsidR="00641C70">
        <w:t>”</w:t>
      </w:r>
    </w:p>
    <w:p w:rsidR="00641C70" w:rsidRDefault="00C078AD" w:rsidP="00641C70">
      <w:pPr>
        <w:pStyle w:val="SingleTxtG"/>
        <w:ind w:left="2268" w:hanging="1134"/>
      </w:pPr>
      <w:r w:rsidRPr="00BE6F3C">
        <w:t>7.1.3.3.1</w:t>
      </w:r>
      <w:r w:rsidRPr="00BE6F3C">
        <w:tab/>
        <w:t xml:space="preserve">D’une droite OQ, qui est la droite horizontale passant par le point oculaire </w:t>
      </w:r>
      <w:r w:rsidR="00641C70">
        <w:t>“</w:t>
      </w:r>
      <w:r w:rsidRPr="00BE6F3C">
        <w:t>O</w:t>
      </w:r>
      <w:r w:rsidR="00641C70">
        <w:t>”</w:t>
      </w:r>
      <w:r w:rsidRPr="00BE6F3C">
        <w:t xml:space="preserve"> et perpendiculaire au plan longitudinal médian du véhicule.</w:t>
      </w:r>
    </w:p>
    <w:p w:rsidR="00C078AD" w:rsidRPr="00BE6F3C" w:rsidRDefault="00C078AD" w:rsidP="00641C70">
      <w:pPr>
        <w:pStyle w:val="SingleTxtG"/>
        <w:ind w:left="2268" w:hanging="1134"/>
        <w:rPr>
          <w:rFonts w:eastAsia="Malgun Gothic"/>
        </w:rPr>
      </w:pPr>
      <w:r w:rsidRPr="00BE6F3C">
        <w:t>7.1.3.3.2</w:t>
      </w:r>
      <w:r w:rsidRPr="00BE6F3C">
        <w:tab/>
        <w:t xml:space="preserve">Zone I </w:t>
      </w:r>
      <w:r w:rsidR="00641C70">
        <w:t>−</w:t>
      </w:r>
      <w:r w:rsidRPr="00BE6F3C">
        <w:t xml:space="preserve"> La zone du pare-brise délimitée par l’intersection du pare-brise avec les quatre plans ci-après</w:t>
      </w:r>
      <w:r w:rsidR="00641C70">
        <w:t> :</w:t>
      </w:r>
    </w:p>
    <w:p w:rsidR="00C078AD" w:rsidRPr="00BE6F3C" w:rsidRDefault="00C078AD" w:rsidP="00C078AD">
      <w:pPr>
        <w:pStyle w:val="SingleTxtG"/>
        <w:ind w:left="2268"/>
        <w:rPr>
          <w:rFonts w:eastAsia="Malgun Gothic"/>
          <w:b/>
          <w:bCs/>
        </w:rPr>
      </w:pPr>
      <w:r w:rsidRPr="00BE6F3C">
        <w:rPr>
          <w:b/>
          <w:bCs/>
        </w:rPr>
        <w:t>Le masque opaque peut être exclu de la zone I.</w:t>
      </w:r>
      <w:r w:rsidRPr="00BE6F3C">
        <w:t xml:space="preserve"> </w:t>
      </w:r>
      <w:r w:rsidRPr="00BE6F3C">
        <w:rPr>
          <w:b/>
          <w:bCs/>
        </w:rPr>
        <w:t>Il s’agit des zones limitées où il est prévu qu’un dispositif de détection, comme un détecteur de pluie, un rétroviseur ou des capteurs autonomes, sera fixé sur la surface interne du pare-brise.</w:t>
      </w:r>
      <w:r w:rsidRPr="00BE6F3C">
        <w:t xml:space="preserve"> </w:t>
      </w:r>
      <w:r w:rsidRPr="00BE6F3C">
        <w:rPr>
          <w:b/>
          <w:bCs/>
        </w:rPr>
        <w:t>Le masque opaque où ces dispositifs peuvent être installés est défini au paragraphe 7.1.3.2.4 de la présente annexe.</w:t>
      </w:r>
    </w:p>
    <w:p w:rsidR="00C078AD" w:rsidRPr="00BE6F3C" w:rsidRDefault="00C078AD" w:rsidP="00C078AD">
      <w:pPr>
        <w:pStyle w:val="SingleTxtG"/>
        <w:ind w:left="2268"/>
        <w:rPr>
          <w:rFonts w:eastAsia="SimSun"/>
        </w:rPr>
      </w:pPr>
      <w:r w:rsidRPr="00BE6F3C">
        <w:t xml:space="preserve">P1 − un plan vertical passant par le point </w:t>
      </w:r>
      <w:r w:rsidR="00641C70">
        <w:t>“</w:t>
      </w:r>
      <w:r w:rsidRPr="00BE6F3C">
        <w:t>O</w:t>
      </w:r>
      <w:r w:rsidR="00641C70">
        <w:t>”</w:t>
      </w:r>
      <w:r w:rsidRPr="00BE6F3C">
        <w:t xml:space="preserve"> et formant un angle de 15° vers la gauche du plan longitudinal médian du véhicule</w:t>
      </w:r>
      <w:r w:rsidR="00641C70">
        <w:t> ;</w:t>
      </w:r>
    </w:p>
    <w:p w:rsidR="00C078AD" w:rsidRPr="00BE6F3C" w:rsidRDefault="00C078AD" w:rsidP="00C078AD">
      <w:pPr>
        <w:pStyle w:val="SingleTxtG"/>
        <w:ind w:left="2268"/>
        <w:rPr>
          <w:rFonts w:eastAsia="SimSun"/>
        </w:rPr>
      </w:pPr>
      <w:r w:rsidRPr="00BE6F3C">
        <w:t>P2 − un plan vertical symétrique à P1 par rapport au plan longitudinal médian du véhicule.</w:t>
      </w:r>
    </w:p>
    <w:p w:rsidR="00C078AD" w:rsidRPr="00BE6F3C" w:rsidRDefault="00C078AD" w:rsidP="00C078AD">
      <w:pPr>
        <w:pStyle w:val="SingleTxtG"/>
        <w:ind w:left="2268"/>
        <w:rPr>
          <w:rFonts w:eastAsia="Malgun Gothic"/>
        </w:rPr>
      </w:pPr>
      <w:r w:rsidRPr="00BE6F3C">
        <w:t xml:space="preserve">Si cette construction est impossible (absence de plan longitudinal médian de symétrie, par exemple), on prend pour P2 le plan symétrique à P1 par rapport au plan longitudinal du véhicule passant par le point </w:t>
      </w:r>
      <w:r w:rsidR="00641C70">
        <w:t>“</w:t>
      </w:r>
      <w:r w:rsidRPr="00BE6F3C">
        <w:t>O</w:t>
      </w:r>
      <w:r w:rsidR="00641C70">
        <w:t>”</w:t>
      </w:r>
      <w:r w:rsidRPr="00BE6F3C">
        <w:t>.</w:t>
      </w:r>
    </w:p>
    <w:p w:rsidR="00C078AD" w:rsidRPr="00BE6F3C" w:rsidRDefault="00C078AD" w:rsidP="00C078AD">
      <w:pPr>
        <w:pStyle w:val="SingleTxtG"/>
        <w:ind w:left="2268"/>
        <w:rPr>
          <w:rFonts w:eastAsia="SimSun"/>
        </w:rPr>
      </w:pPr>
      <w:r w:rsidRPr="00BE6F3C">
        <w:t>P3 − un plan contenant la droite OQ et formant un angle de 10° au-dessus du plan horizontal</w:t>
      </w:r>
      <w:r w:rsidR="00641C70">
        <w:t> ;</w:t>
      </w:r>
    </w:p>
    <w:p w:rsidR="00C078AD" w:rsidRPr="00BE6F3C" w:rsidRDefault="00C078AD" w:rsidP="00C078AD">
      <w:pPr>
        <w:pStyle w:val="SingleTxtG"/>
        <w:ind w:left="2268"/>
        <w:rPr>
          <w:rFonts w:eastAsia="SimSun"/>
        </w:rPr>
      </w:pPr>
      <w:r w:rsidRPr="00BE6F3C">
        <w:t>P4 − un plan contenant la droite OQ et formant un angle de 8° au-dessous du plan horizontal.</w:t>
      </w:r>
    </w:p>
    <w:p w:rsidR="00C078AD" w:rsidRPr="00BE6F3C" w:rsidRDefault="00C078AD" w:rsidP="00641C70">
      <w:pPr>
        <w:pStyle w:val="SingleTxtG"/>
        <w:keepNext/>
        <w:ind w:left="2268"/>
        <w:jc w:val="left"/>
        <w:rPr>
          <w:rFonts w:eastAsia="Times New Roman"/>
          <w:b/>
          <w:bCs/>
        </w:rPr>
      </w:pPr>
      <w:r w:rsidRPr="00BE6F3C">
        <w:rPr>
          <w:b/>
          <w:bCs/>
        </w:rPr>
        <w:t>Figure 4</w:t>
      </w:r>
      <w:r w:rsidRPr="00BE6F3C">
        <w:rPr>
          <w:b/>
          <w:bCs/>
        </w:rPr>
        <w:br/>
        <w:t>Détermination de la zone I</w:t>
      </w:r>
    </w:p>
    <w:p w:rsidR="00C078AD" w:rsidRPr="00BE6F3C" w:rsidRDefault="00C078AD" w:rsidP="00C078AD">
      <w:pPr>
        <w:pStyle w:val="SingleTxtG"/>
        <w:ind w:left="2268"/>
        <w:rPr>
          <w:rFonts w:eastAsia="Malgun Gothic"/>
          <w:lang w:eastAsia="ko-KR"/>
        </w:rPr>
      </w:pPr>
      <w:r w:rsidRPr="00BE6F3C">
        <w:rPr>
          <w:noProof/>
          <w:lang w:eastAsia="fr-FR"/>
        </w:rPr>
        <w:drawing>
          <wp:inline distT="0" distB="0" distL="0" distR="0" wp14:anchorId="325427A3" wp14:editId="61816D1B">
            <wp:extent cx="3960000" cy="2544593"/>
            <wp:effectExtent l="0" t="0" r="2540" b="8255"/>
            <wp:docPr id="4"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6638" t="35930" r="34552" b="21040"/>
                    <a:stretch/>
                  </pic:blipFill>
                  <pic:spPr bwMode="auto">
                    <a:xfrm>
                      <a:off x="0" y="0"/>
                      <a:ext cx="3960000" cy="2544593"/>
                    </a:xfrm>
                    <a:prstGeom prst="rect">
                      <a:avLst/>
                    </a:prstGeom>
                    <a:ln>
                      <a:noFill/>
                    </a:ln>
                    <a:extLst>
                      <a:ext uri="{53640926-AAD7-44D8-BBD7-CCE9431645EC}">
                        <a14:shadowObscured xmlns:a14="http://schemas.microsoft.com/office/drawing/2010/main"/>
                      </a:ext>
                    </a:extLst>
                  </pic:spPr>
                </pic:pic>
              </a:graphicData>
            </a:graphic>
          </wp:inline>
        </w:drawing>
      </w:r>
    </w:p>
    <w:p w:rsidR="00C078AD" w:rsidRPr="00BE6F3C" w:rsidRDefault="00C078AD" w:rsidP="00C078AD">
      <w:pPr>
        <w:pStyle w:val="SingleTxtG"/>
        <w:rPr>
          <w:b/>
        </w:rPr>
      </w:pPr>
      <w:r w:rsidRPr="00BE6F3C">
        <w:rPr>
          <w:b/>
        </w:rPr>
        <w:t>7.1.3.3.3</w:t>
      </w:r>
      <w:r w:rsidRPr="00BE6F3C">
        <w:rPr>
          <w:b/>
        </w:rPr>
        <w:tab/>
      </w:r>
      <w:r w:rsidRPr="00BE6F3C">
        <w:rPr>
          <w:b/>
          <w:bCs/>
        </w:rPr>
        <w:t>Détermination du masque opaque</w:t>
      </w:r>
    </w:p>
    <w:p w:rsidR="00C078AD" w:rsidRPr="00BE6F3C" w:rsidRDefault="00C078AD" w:rsidP="00C078AD">
      <w:pPr>
        <w:pStyle w:val="SingleTxtG"/>
        <w:ind w:left="2268"/>
        <w:rPr>
          <w:rFonts w:eastAsia="Malgun Gothic"/>
          <w:b/>
          <w:bCs/>
        </w:rPr>
      </w:pPr>
      <w:r w:rsidRPr="00BE6F3C">
        <w:rPr>
          <w:b/>
          <w:bCs/>
        </w:rPr>
        <w:t>P5 − un plan contenant la droite OQ et formant un angle de 5° au-dessus du plan horizontal</w:t>
      </w:r>
      <w:r w:rsidR="00641C70">
        <w:rPr>
          <w:b/>
          <w:bCs/>
        </w:rPr>
        <w:t> ;</w:t>
      </w:r>
    </w:p>
    <w:p w:rsidR="00C078AD" w:rsidRPr="00BE6F3C" w:rsidRDefault="00C078AD" w:rsidP="00C078AD">
      <w:pPr>
        <w:pStyle w:val="SingleTxtG"/>
        <w:ind w:left="2268"/>
        <w:rPr>
          <w:rFonts w:eastAsia="Malgun Gothic"/>
          <w:b/>
          <w:bCs/>
        </w:rPr>
      </w:pPr>
      <w:r w:rsidRPr="00BE6F3C">
        <w:rPr>
          <w:b/>
          <w:bCs/>
        </w:rPr>
        <w:t xml:space="preserve">P6 − un plan vertical passant par le point </w:t>
      </w:r>
      <w:r w:rsidR="00641C70">
        <w:rPr>
          <w:b/>
          <w:bCs/>
        </w:rPr>
        <w:t>“</w:t>
      </w:r>
      <w:r w:rsidRPr="00BE6F3C">
        <w:rPr>
          <w:b/>
          <w:bCs/>
        </w:rPr>
        <w:t>O</w:t>
      </w:r>
      <w:r w:rsidR="00641C70">
        <w:rPr>
          <w:b/>
          <w:bCs/>
        </w:rPr>
        <w:t>”</w:t>
      </w:r>
      <w:r w:rsidRPr="00BE6F3C">
        <w:rPr>
          <w:b/>
          <w:bCs/>
        </w:rPr>
        <w:t xml:space="preserve"> et faisant un angle de 20° avec l’axe des X vers la droite pour les véhicules à conduite à gauche et vers la gauche pour les véhicules à conduite à droite</w:t>
      </w:r>
      <w:r w:rsidR="00641C70">
        <w:rPr>
          <w:b/>
          <w:bCs/>
        </w:rPr>
        <w:t> ;</w:t>
      </w:r>
    </w:p>
    <w:p w:rsidR="00C078AD" w:rsidRPr="00BE6F3C" w:rsidRDefault="00C078AD" w:rsidP="00C078AD">
      <w:pPr>
        <w:pStyle w:val="SingleTxtG"/>
        <w:ind w:left="2268"/>
        <w:rPr>
          <w:rFonts w:eastAsia="Malgun Gothic"/>
          <w:b/>
          <w:bCs/>
        </w:rPr>
      </w:pPr>
      <w:r w:rsidRPr="00BE6F3C">
        <w:rPr>
          <w:b/>
          <w:bCs/>
        </w:rPr>
        <w:lastRenderedPageBreak/>
        <w:t>P7 − un plan symétrique du précédent par rapport au plan longitudinal médian du véhicule.</w:t>
      </w:r>
    </w:p>
    <w:p w:rsidR="00C078AD" w:rsidRPr="00BE6F3C" w:rsidRDefault="00C078AD" w:rsidP="00C078AD">
      <w:pPr>
        <w:pStyle w:val="SingleTxtG"/>
        <w:ind w:left="2268" w:hanging="1134"/>
        <w:rPr>
          <w:b/>
          <w:bCs/>
        </w:rPr>
      </w:pPr>
      <w:r w:rsidRPr="00BE6F3C">
        <w:rPr>
          <w:b/>
        </w:rPr>
        <w:t>7.1.3.3.3.1</w:t>
      </w:r>
      <w:r w:rsidRPr="00BE6F3C">
        <w:rPr>
          <w:b/>
        </w:rPr>
        <w:tab/>
      </w:r>
      <w:r w:rsidRPr="00BE6F3C">
        <w:rPr>
          <w:b/>
          <w:bCs/>
        </w:rPr>
        <w:t>Au choix du constructeur du véhicule, on pourra appliquer l’un des deux paragraphes suivants (voir fig.</w:t>
      </w:r>
      <w:r w:rsidR="009A24CF">
        <w:rPr>
          <w:b/>
          <w:bCs/>
        </w:rPr>
        <w:t> </w:t>
      </w:r>
      <w:r w:rsidRPr="00BE6F3C">
        <w:rPr>
          <w:b/>
          <w:bCs/>
        </w:rPr>
        <w:t>4</w:t>
      </w:r>
      <w:r w:rsidR="009A24CF">
        <w:rPr>
          <w:b/>
          <w:bCs/>
        </w:rPr>
        <w:t> </w:t>
      </w:r>
      <w:r w:rsidRPr="00BE6F3C">
        <w:rPr>
          <w:b/>
          <w:bCs/>
        </w:rPr>
        <w:t>a) ou fig.</w:t>
      </w:r>
      <w:r w:rsidR="009A24CF">
        <w:rPr>
          <w:b/>
          <w:bCs/>
        </w:rPr>
        <w:t> </w:t>
      </w:r>
      <w:r w:rsidRPr="00BE6F3C">
        <w:rPr>
          <w:b/>
          <w:bCs/>
        </w:rPr>
        <w:t>4</w:t>
      </w:r>
      <w:r w:rsidR="009A24CF">
        <w:rPr>
          <w:b/>
          <w:bCs/>
        </w:rPr>
        <w:t> </w:t>
      </w:r>
      <w:r w:rsidRPr="00BE6F3C">
        <w:rPr>
          <w:b/>
          <w:bCs/>
        </w:rPr>
        <w:t>b))</w:t>
      </w:r>
      <w:r w:rsidR="00641C70">
        <w:rPr>
          <w:b/>
          <w:bCs/>
        </w:rPr>
        <w:t> :</w:t>
      </w:r>
    </w:p>
    <w:p w:rsidR="00C078AD" w:rsidRPr="00BE6F3C" w:rsidRDefault="00C078AD" w:rsidP="00C078AD">
      <w:pPr>
        <w:pStyle w:val="SingleTxtG"/>
        <w:ind w:left="2268" w:hanging="1134"/>
        <w:rPr>
          <w:b/>
          <w:bCs/>
        </w:rPr>
      </w:pPr>
      <w:r w:rsidRPr="00BE6F3C">
        <w:rPr>
          <w:b/>
        </w:rPr>
        <w:t>7.1.3.3.3.1.1</w:t>
      </w:r>
      <w:r w:rsidRPr="00BE6F3C">
        <w:rPr>
          <w:b/>
        </w:rPr>
        <w:tab/>
      </w:r>
      <w:r w:rsidR="009A24CF" w:rsidRPr="00BE6F3C">
        <w:rPr>
          <w:b/>
          <w:bCs/>
        </w:rPr>
        <w:t xml:space="preserve">Tout </w:t>
      </w:r>
      <w:r w:rsidRPr="00BE6F3C">
        <w:rPr>
          <w:b/>
          <w:bCs/>
        </w:rPr>
        <w:t>masque opaque limité vers le bas par P5 et latéralement par P6 et P7</w:t>
      </w:r>
      <w:r w:rsidR="00641C70">
        <w:rPr>
          <w:b/>
          <w:bCs/>
        </w:rPr>
        <w:t> ;</w:t>
      </w:r>
    </w:p>
    <w:p w:rsidR="00C078AD" w:rsidRPr="00BE6F3C" w:rsidRDefault="00C078AD" w:rsidP="00C078AD">
      <w:pPr>
        <w:pStyle w:val="SingleTxtG"/>
        <w:ind w:left="2268" w:hanging="1134"/>
        <w:rPr>
          <w:b/>
          <w:bCs/>
        </w:rPr>
      </w:pPr>
      <w:r w:rsidRPr="00BE6F3C">
        <w:rPr>
          <w:b/>
        </w:rPr>
        <w:t>7.1.3.3.3.1.2</w:t>
      </w:r>
      <w:r w:rsidRPr="00BE6F3C">
        <w:rPr>
          <w:b/>
        </w:rPr>
        <w:tab/>
      </w:r>
      <w:r w:rsidR="009A24CF" w:rsidRPr="00BE6F3C">
        <w:rPr>
          <w:b/>
          <w:bCs/>
        </w:rPr>
        <w:t xml:space="preserve">Tout </w:t>
      </w:r>
      <w:r w:rsidRPr="00BE6F3C">
        <w:rPr>
          <w:b/>
          <w:bCs/>
        </w:rPr>
        <w:t>masque opaque limité vers le bas par P5, pour autant qu’il soit inscrit dans une zone de 300</w:t>
      </w:r>
      <w:r w:rsidR="009A24CF">
        <w:rPr>
          <w:b/>
          <w:bCs/>
        </w:rPr>
        <w:t> </w:t>
      </w:r>
      <w:r w:rsidRPr="00BE6F3C">
        <w:rPr>
          <w:b/>
          <w:bCs/>
        </w:rPr>
        <w:t>mm de largeur centrée sur le plan longitudinal médian du véhicule.</w:t>
      </w:r>
    </w:p>
    <w:p w:rsidR="009A24CF" w:rsidRDefault="00C078AD" w:rsidP="009A24CF">
      <w:pPr>
        <w:pStyle w:val="SingleTxtG"/>
        <w:keepNext/>
        <w:ind w:left="2268"/>
        <w:jc w:val="left"/>
        <w:rPr>
          <w:b/>
          <w:bCs/>
        </w:rPr>
      </w:pPr>
      <w:r w:rsidRPr="00BE6F3C">
        <w:rPr>
          <w:b/>
          <w:bCs/>
        </w:rPr>
        <w:t>Figure 4 a)</w:t>
      </w:r>
      <w:r w:rsidRPr="00BE6F3C">
        <w:br/>
      </w:r>
      <w:r w:rsidRPr="00BE6F3C">
        <w:rPr>
          <w:b/>
          <w:bCs/>
        </w:rPr>
        <w:t xml:space="preserve">Zone I (dans le cas d’un véhicule </w:t>
      </w:r>
      <w:proofErr w:type="spellStart"/>
      <w:r w:rsidRPr="00BE6F3C">
        <w:rPr>
          <w:b/>
          <w:bCs/>
        </w:rPr>
        <w:t>à</w:t>
      </w:r>
      <w:proofErr w:type="spellEnd"/>
      <w:r w:rsidRPr="00BE6F3C">
        <w:rPr>
          <w:b/>
          <w:bCs/>
        </w:rPr>
        <w:t xml:space="preserve"> conduite à gauche)</w:t>
      </w:r>
      <w:r w:rsidRPr="00BE6F3C">
        <w:br/>
      </w:r>
      <w:r w:rsidRPr="00BE6F3C">
        <w:rPr>
          <w:b/>
          <w:bCs/>
        </w:rPr>
        <w:t>(masque opaque supérieur tel qu’il est défini au paragraphe 7.1.3.3.3.1.1)</w:t>
      </w:r>
    </w:p>
    <w:p w:rsidR="00C078AD" w:rsidRPr="00C078AD" w:rsidRDefault="00C078AD" w:rsidP="009A24CF">
      <w:pPr>
        <w:pStyle w:val="SingleTxtG"/>
        <w:ind w:left="2268"/>
        <w:jc w:val="left"/>
        <w:rPr>
          <w:b/>
          <w:bCs/>
        </w:rPr>
      </w:pPr>
      <w:r w:rsidRPr="00BE6F3C">
        <w:rPr>
          <w:bCs/>
          <w:noProof/>
          <w:sz w:val="23"/>
          <w:szCs w:val="23"/>
          <w:lang w:eastAsia="fr-FR"/>
        </w:rPr>
        <w:drawing>
          <wp:inline distT="0" distB="0" distL="0" distR="0" wp14:anchorId="3D439D4B" wp14:editId="65F62315">
            <wp:extent cx="3960000" cy="2498674"/>
            <wp:effectExtent l="0" t="0" r="254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e J(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60000" cy="2498674"/>
                    </a:xfrm>
                    <a:prstGeom prst="rect">
                      <a:avLst/>
                    </a:prstGeom>
                  </pic:spPr>
                </pic:pic>
              </a:graphicData>
            </a:graphic>
          </wp:inline>
        </w:drawing>
      </w:r>
    </w:p>
    <w:p w:rsidR="00C078AD" w:rsidRPr="00BE6F3C" w:rsidRDefault="00C078AD" w:rsidP="009A24CF">
      <w:pPr>
        <w:pStyle w:val="SingleTxtG"/>
        <w:keepNext/>
        <w:ind w:left="2268"/>
        <w:jc w:val="left"/>
        <w:rPr>
          <w:b/>
          <w:bCs/>
        </w:rPr>
      </w:pPr>
      <w:r w:rsidRPr="00BE6F3C">
        <w:rPr>
          <w:b/>
          <w:bCs/>
        </w:rPr>
        <w:t>Figure 4 b)</w:t>
      </w:r>
      <w:r w:rsidRPr="00BE6F3C">
        <w:br/>
      </w:r>
      <w:r w:rsidRPr="00BE6F3C">
        <w:rPr>
          <w:b/>
          <w:bCs/>
        </w:rPr>
        <w:t xml:space="preserve">Zone I (dans le cas d’un véhicule </w:t>
      </w:r>
      <w:proofErr w:type="spellStart"/>
      <w:r w:rsidRPr="00BE6F3C">
        <w:rPr>
          <w:b/>
          <w:bCs/>
        </w:rPr>
        <w:t>à</w:t>
      </w:r>
      <w:proofErr w:type="spellEnd"/>
      <w:r w:rsidRPr="00BE6F3C">
        <w:rPr>
          <w:b/>
          <w:bCs/>
        </w:rPr>
        <w:t xml:space="preserve"> conduite à gauche)</w:t>
      </w:r>
      <w:r w:rsidRPr="00BE6F3C">
        <w:br/>
      </w:r>
      <w:r w:rsidRPr="00BE6F3C">
        <w:rPr>
          <w:b/>
          <w:bCs/>
        </w:rPr>
        <w:t>(masque opaque supérieur tel qu’il est défini au paragraphe 7.1.3.3.3.1.2)</w:t>
      </w:r>
    </w:p>
    <w:p w:rsidR="00C078AD" w:rsidRPr="00BE6F3C" w:rsidRDefault="00C078AD" w:rsidP="00C078AD">
      <w:pPr>
        <w:pStyle w:val="SingleTxtG"/>
        <w:ind w:left="2268"/>
      </w:pPr>
      <w:r w:rsidRPr="00BE6F3C">
        <w:rPr>
          <w:noProof/>
          <w:lang w:eastAsia="fr-FR"/>
        </w:rPr>
        <w:drawing>
          <wp:inline distT="0" distB="0" distL="0" distR="0" wp14:anchorId="2EACB87E" wp14:editId="332E87C6">
            <wp:extent cx="3816000" cy="2428364"/>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e J(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6000" cy="2428364"/>
                    </a:xfrm>
                    <a:prstGeom prst="rect">
                      <a:avLst/>
                    </a:prstGeom>
                  </pic:spPr>
                </pic:pic>
              </a:graphicData>
            </a:graphic>
          </wp:inline>
        </w:drawing>
      </w:r>
      <w:r w:rsidRPr="00BE6F3C">
        <w:t> »</w:t>
      </w:r>
      <w:r>
        <w:t>.</w:t>
      </w:r>
    </w:p>
    <w:p w:rsidR="00C078AD" w:rsidRPr="00BE6F3C" w:rsidRDefault="00C078AD" w:rsidP="00C078AD">
      <w:pPr>
        <w:pStyle w:val="HChG"/>
      </w:pPr>
      <w:r w:rsidRPr="00BE6F3C">
        <w:tab/>
        <w:t>II.</w:t>
      </w:r>
      <w:r w:rsidRPr="00BE6F3C">
        <w:tab/>
        <w:t>Justification</w:t>
      </w:r>
    </w:p>
    <w:p w:rsidR="00C078AD" w:rsidRPr="00BE6F3C" w:rsidRDefault="00C078AD" w:rsidP="00655CCD">
      <w:pPr>
        <w:pStyle w:val="SingleTxtG"/>
        <w:keepNext/>
      </w:pPr>
      <w:r w:rsidRPr="00BE6F3C">
        <w:t>1.</w:t>
      </w:r>
      <w:r w:rsidRPr="00BE6F3C">
        <w:tab/>
        <w:t>Dans le cas des camions présentant un plateau de chargement ouvert, l’installation d’un rétroviseur intérieur est nécessaire pour assurer la visibilité arrière.</w:t>
      </w:r>
    </w:p>
    <w:p w:rsidR="00C078AD" w:rsidRPr="00BE6F3C" w:rsidRDefault="00C078AD" w:rsidP="009A24CF">
      <w:pPr>
        <w:pStyle w:val="SingleTxtG"/>
        <w:keepLines/>
      </w:pPr>
      <w:r w:rsidRPr="00BE6F3C">
        <w:lastRenderedPageBreak/>
        <w:t>2.</w:t>
      </w:r>
      <w:r w:rsidRPr="00BE6F3C">
        <w:tab/>
        <w:t>Diverses options de sécurité et de confort (systèmes d’avertissement de franchissement de ligne (LDWS), capteurs autonomes, etc.) pour camions sont actuellement disponibles ou sont en cours de développement. Si ces options sont installées sur la partie inférieure du pare-brise, au-dessus du tableau de bord, cela peut limiter le champ de vision direct du conducteur et nuire à la sécurité.</w:t>
      </w:r>
    </w:p>
    <w:p w:rsidR="00C078AD" w:rsidRPr="00BE6F3C" w:rsidRDefault="00C078AD" w:rsidP="00C078AD">
      <w:pPr>
        <w:pStyle w:val="SingleTxtG"/>
        <w:rPr>
          <w:rFonts w:eastAsia="Malgun Gothic"/>
        </w:rPr>
      </w:pPr>
      <w:r w:rsidRPr="00BE6F3C">
        <w:t>3.</w:t>
      </w:r>
      <w:r w:rsidRPr="00BE6F3C">
        <w:tab/>
        <w:t>Pour une installation optimisée, ces options pourraient être intégrées au rétroviseur intérieur. Cependant, sur certains modèles, une partie de la zone I serait alors obstruée. Par conséquent, il convient de délimiter une zone dans laquelle le masque opaque qui peut servir pour l’installation des options précitées sera autorisé. Pour ce faire, il est proposé d’ajouter les nouveaux plans P5, P6 et P7.</w:t>
      </w:r>
    </w:p>
    <w:p w:rsidR="00C078AD" w:rsidRPr="00BE6F3C" w:rsidRDefault="00C078AD" w:rsidP="00C078AD">
      <w:pPr>
        <w:pStyle w:val="SingleTxtG"/>
        <w:rPr>
          <w:rFonts w:eastAsia="Malgun Gothic"/>
        </w:rPr>
      </w:pPr>
      <w:r w:rsidRPr="00BE6F3C">
        <w:t>4.</w:t>
      </w:r>
      <w:r w:rsidRPr="00BE6F3C">
        <w:tab/>
        <w:t>En revanche, le nouveau masque opaque pour les véhicules des catégories 1-2 et 2 doit être équivalent à</w:t>
      </w:r>
      <w:bookmarkStart w:id="0" w:name="_GoBack"/>
      <w:bookmarkEnd w:id="0"/>
      <w:r w:rsidRPr="00BE6F3C">
        <w:t xml:space="preserve"> celui déterminé à partir des points «</w:t>
      </w:r>
      <w:r w:rsidR="009A24CF">
        <w:t> </w:t>
      </w:r>
      <w:r w:rsidRPr="00BE6F3C">
        <w:t>V</w:t>
      </w:r>
      <w:r w:rsidR="009A24CF">
        <w:t> </w:t>
      </w:r>
      <w:r w:rsidRPr="00BE6F3C">
        <w:t>» sur les véhicules de la catégorie 1-1 afin de ne pas compromettre la sécurité. La République de Corée propose donc un angle de 5° pour déterminer P5.</w:t>
      </w:r>
    </w:p>
    <w:p w:rsidR="00F9573C" w:rsidRPr="00C078AD" w:rsidRDefault="00C078AD" w:rsidP="00C078AD">
      <w:pPr>
        <w:pStyle w:val="SingleTxtG"/>
        <w:spacing w:before="240" w:after="0"/>
        <w:jc w:val="center"/>
        <w:rPr>
          <w:u w:val="single"/>
        </w:rPr>
      </w:pPr>
      <w:r>
        <w:rPr>
          <w:u w:val="single"/>
        </w:rPr>
        <w:tab/>
      </w:r>
      <w:r>
        <w:rPr>
          <w:u w:val="single"/>
        </w:rPr>
        <w:tab/>
      </w:r>
      <w:r>
        <w:rPr>
          <w:u w:val="single"/>
        </w:rPr>
        <w:tab/>
      </w:r>
    </w:p>
    <w:sectPr w:rsidR="00F9573C" w:rsidRPr="00C078AD" w:rsidSect="004F63AD">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3F5" w:rsidRDefault="003823F5" w:rsidP="00F95C08">
      <w:pPr>
        <w:spacing w:line="240" w:lineRule="auto"/>
      </w:pPr>
    </w:p>
  </w:endnote>
  <w:endnote w:type="continuationSeparator" w:id="0">
    <w:p w:rsidR="003823F5" w:rsidRPr="00AC3823" w:rsidRDefault="003823F5" w:rsidP="00AC3823">
      <w:pPr>
        <w:pStyle w:val="Pieddepage"/>
      </w:pPr>
    </w:p>
  </w:endnote>
  <w:endnote w:type="continuationNotice" w:id="1">
    <w:p w:rsidR="003823F5" w:rsidRDefault="003823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3AD" w:rsidRPr="004F63AD" w:rsidRDefault="004F63AD" w:rsidP="004F63AD">
    <w:pPr>
      <w:pStyle w:val="Pieddepage"/>
      <w:tabs>
        <w:tab w:val="right" w:pos="9638"/>
      </w:tabs>
    </w:pPr>
    <w:r w:rsidRPr="004F63AD">
      <w:rPr>
        <w:b/>
        <w:sz w:val="18"/>
      </w:rPr>
      <w:fldChar w:fldCharType="begin"/>
    </w:r>
    <w:r w:rsidRPr="004F63AD">
      <w:rPr>
        <w:b/>
        <w:sz w:val="18"/>
      </w:rPr>
      <w:instrText xml:space="preserve"> PAGE  \* MERGEFORMAT </w:instrText>
    </w:r>
    <w:r w:rsidRPr="004F63AD">
      <w:rPr>
        <w:b/>
        <w:sz w:val="18"/>
      </w:rPr>
      <w:fldChar w:fldCharType="separate"/>
    </w:r>
    <w:r w:rsidRPr="004F63AD">
      <w:rPr>
        <w:b/>
        <w:noProof/>
        <w:sz w:val="18"/>
      </w:rPr>
      <w:t>2</w:t>
    </w:r>
    <w:r w:rsidRPr="004F63AD">
      <w:rPr>
        <w:b/>
        <w:sz w:val="18"/>
      </w:rPr>
      <w:fldChar w:fldCharType="end"/>
    </w:r>
    <w:r>
      <w:rPr>
        <w:b/>
        <w:sz w:val="18"/>
      </w:rPr>
      <w:tab/>
    </w:r>
    <w:r>
      <w:t>GE.19-12304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3AD" w:rsidRPr="004F63AD" w:rsidRDefault="004F63AD" w:rsidP="004F63AD">
    <w:pPr>
      <w:pStyle w:val="Pieddepage"/>
      <w:tabs>
        <w:tab w:val="right" w:pos="9638"/>
      </w:tabs>
      <w:rPr>
        <w:b/>
        <w:sz w:val="18"/>
      </w:rPr>
    </w:pPr>
    <w:r>
      <w:t>GE.19-12304</w:t>
    </w:r>
    <w:r>
      <w:tab/>
    </w:r>
    <w:r w:rsidRPr="004F63AD">
      <w:rPr>
        <w:b/>
        <w:sz w:val="18"/>
      </w:rPr>
      <w:fldChar w:fldCharType="begin"/>
    </w:r>
    <w:r w:rsidRPr="004F63AD">
      <w:rPr>
        <w:b/>
        <w:sz w:val="18"/>
      </w:rPr>
      <w:instrText xml:space="preserve"> PAGE  \* MERGEFORMAT </w:instrText>
    </w:r>
    <w:r w:rsidRPr="004F63AD">
      <w:rPr>
        <w:b/>
        <w:sz w:val="18"/>
      </w:rPr>
      <w:fldChar w:fldCharType="separate"/>
    </w:r>
    <w:r w:rsidRPr="004F63AD">
      <w:rPr>
        <w:b/>
        <w:noProof/>
        <w:sz w:val="18"/>
      </w:rPr>
      <w:t>3</w:t>
    </w:r>
    <w:r w:rsidRPr="004F63A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4F63AD" w:rsidRDefault="004F63AD" w:rsidP="004F63AD">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19-12304  (F)    140819    210819</w:t>
    </w:r>
    <w:r>
      <w:rPr>
        <w:sz w:val="20"/>
      </w:rPr>
      <w:br/>
    </w:r>
    <w:r w:rsidRPr="004F63AD">
      <w:rPr>
        <w:rFonts w:ascii="C39T30Lfz" w:hAnsi="C39T30Lfz"/>
        <w:sz w:val="56"/>
      </w:rPr>
      <w:t></w:t>
    </w:r>
    <w:r w:rsidRPr="004F63AD">
      <w:rPr>
        <w:rFonts w:ascii="C39T30Lfz" w:hAnsi="C39T30Lfz"/>
        <w:sz w:val="56"/>
      </w:rPr>
      <w:t></w:t>
    </w:r>
    <w:r w:rsidRPr="004F63AD">
      <w:rPr>
        <w:rFonts w:ascii="C39T30Lfz" w:hAnsi="C39T30Lfz"/>
        <w:sz w:val="56"/>
      </w:rPr>
      <w:t></w:t>
    </w:r>
    <w:r w:rsidRPr="004F63AD">
      <w:rPr>
        <w:rFonts w:ascii="C39T30Lfz" w:hAnsi="C39T30Lfz"/>
        <w:sz w:val="56"/>
      </w:rPr>
      <w:t></w:t>
    </w:r>
    <w:r w:rsidRPr="004F63AD">
      <w:rPr>
        <w:rFonts w:ascii="C39T30Lfz" w:hAnsi="C39T30Lfz"/>
        <w:sz w:val="56"/>
      </w:rPr>
      <w:t></w:t>
    </w:r>
    <w:r w:rsidRPr="004F63AD">
      <w:rPr>
        <w:rFonts w:ascii="C39T30Lfz" w:hAnsi="C39T30Lfz"/>
        <w:sz w:val="56"/>
      </w:rPr>
      <w:t></w:t>
    </w:r>
    <w:r w:rsidRPr="004F63AD">
      <w:rPr>
        <w:rFonts w:ascii="C39T30Lfz" w:hAnsi="C39T30Lfz"/>
        <w:sz w:val="56"/>
      </w:rPr>
      <w:t></w:t>
    </w:r>
    <w:r w:rsidRPr="004F63AD">
      <w:rPr>
        <w:rFonts w:ascii="C39T30Lfz" w:hAnsi="C39T30Lfz"/>
        <w:sz w:val="56"/>
      </w:rPr>
      <w:t></w:t>
    </w:r>
    <w:r w:rsidRPr="004F63AD">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19/3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3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3F5" w:rsidRPr="00AC3823" w:rsidRDefault="003823F5" w:rsidP="00AC3823">
      <w:pPr>
        <w:pStyle w:val="Pieddepage"/>
        <w:tabs>
          <w:tab w:val="right" w:pos="2155"/>
        </w:tabs>
        <w:spacing w:after="80" w:line="240" w:lineRule="atLeast"/>
        <w:ind w:left="680"/>
        <w:rPr>
          <w:u w:val="single"/>
        </w:rPr>
      </w:pPr>
      <w:r>
        <w:rPr>
          <w:u w:val="single"/>
        </w:rPr>
        <w:tab/>
      </w:r>
    </w:p>
  </w:footnote>
  <w:footnote w:type="continuationSeparator" w:id="0">
    <w:p w:rsidR="003823F5" w:rsidRPr="00AC3823" w:rsidRDefault="003823F5" w:rsidP="00AC3823">
      <w:pPr>
        <w:pStyle w:val="Pieddepage"/>
        <w:tabs>
          <w:tab w:val="right" w:pos="2155"/>
        </w:tabs>
        <w:spacing w:after="80" w:line="240" w:lineRule="atLeast"/>
        <w:ind w:left="680"/>
        <w:rPr>
          <w:u w:val="single"/>
        </w:rPr>
      </w:pPr>
      <w:r>
        <w:rPr>
          <w:u w:val="single"/>
        </w:rPr>
        <w:tab/>
      </w:r>
    </w:p>
  </w:footnote>
  <w:footnote w:type="continuationNotice" w:id="1">
    <w:p w:rsidR="003823F5" w:rsidRPr="00AC3823" w:rsidRDefault="003823F5">
      <w:pPr>
        <w:spacing w:line="240" w:lineRule="auto"/>
        <w:rPr>
          <w:sz w:val="2"/>
          <w:szCs w:val="2"/>
        </w:rPr>
      </w:pPr>
    </w:p>
  </w:footnote>
  <w:footnote w:id="2">
    <w:p w:rsidR="00C078AD" w:rsidRPr="00CA29B8" w:rsidRDefault="00C078AD" w:rsidP="00C078AD">
      <w:pPr>
        <w:pStyle w:val="Notedebasdepage"/>
      </w:pPr>
      <w:r w:rsidRPr="00C078AD">
        <w:rPr>
          <w:sz w:val="20"/>
          <w:lang w:val="fr-FR"/>
        </w:rPr>
        <w:tab/>
      </w:r>
      <w:r w:rsidRPr="00C078AD">
        <w:rPr>
          <w:sz w:val="20"/>
          <w:lang w:val="fr-FR"/>
        </w:rPr>
        <w:t>*</w:t>
      </w:r>
      <w:r w:rsidRPr="00C078AD">
        <w:rPr>
          <w:sz w:val="20"/>
          <w:lang w:val="fr-FR"/>
        </w:rPr>
        <w:tab/>
      </w:r>
      <w:r w:rsidRPr="00C078AD">
        <w:rPr>
          <w:spacing w:val="-1"/>
          <w:lang w:val="fr-FR"/>
        </w:rPr>
        <w:t>Conformément au programme de travail du Comité des transports intérieurs pour la période 2018</w:t>
      </w:r>
      <w:r w:rsidRPr="00C078AD">
        <w:rPr>
          <w:spacing w:val="-1"/>
          <w:lang w:val="fr-FR"/>
        </w:rPr>
        <w:noBreakHyphen/>
        <w:t>2019</w:t>
      </w:r>
      <w:r>
        <w:rPr>
          <w:lang w:val="fr-FR"/>
        </w:rPr>
        <w:t xml:space="preserve"> (ECE/TRANS/274, par.</w:t>
      </w:r>
      <w:r>
        <w:rPr>
          <w:lang w:val="fr-FR"/>
        </w:rPr>
        <w:t> </w:t>
      </w:r>
      <w:r>
        <w:rPr>
          <w:lang w:val="fr-FR"/>
        </w:rPr>
        <w:t>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3AD" w:rsidRPr="004F63AD" w:rsidRDefault="004F63AD">
    <w:pPr>
      <w:pStyle w:val="En-tte"/>
    </w:pPr>
    <w:fldSimple w:instr=" TITLE  \* MERGEFORMAT ">
      <w:r w:rsidR="00655CCD">
        <w:t>ECE/TRANS/WP.29/GRSG/2019/33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3AD" w:rsidRPr="004F63AD" w:rsidRDefault="004F63AD" w:rsidP="004F63AD">
    <w:pPr>
      <w:pStyle w:val="En-tte"/>
      <w:jc w:val="right"/>
    </w:pPr>
    <w:fldSimple w:instr=" TITLE  \* MERGEFORMAT ">
      <w:r w:rsidR="00655CCD">
        <w:t>ECE/TRANS/WP.29/GRSG/2019/33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823F5"/>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823F5"/>
    <w:rsid w:val="003916DE"/>
    <w:rsid w:val="00410183"/>
    <w:rsid w:val="00421996"/>
    <w:rsid w:val="00441C3B"/>
    <w:rsid w:val="00446FE5"/>
    <w:rsid w:val="00452396"/>
    <w:rsid w:val="004837D8"/>
    <w:rsid w:val="004E2EED"/>
    <w:rsid w:val="004E468C"/>
    <w:rsid w:val="004F63AD"/>
    <w:rsid w:val="005505B7"/>
    <w:rsid w:val="00573BE5"/>
    <w:rsid w:val="00586ED3"/>
    <w:rsid w:val="00596AA9"/>
    <w:rsid w:val="00641C70"/>
    <w:rsid w:val="00655CCD"/>
    <w:rsid w:val="0071601D"/>
    <w:rsid w:val="007A62E6"/>
    <w:rsid w:val="007F20FA"/>
    <w:rsid w:val="0080684C"/>
    <w:rsid w:val="00871C75"/>
    <w:rsid w:val="008776DC"/>
    <w:rsid w:val="009446C0"/>
    <w:rsid w:val="009705C8"/>
    <w:rsid w:val="009A24CF"/>
    <w:rsid w:val="009C1CF4"/>
    <w:rsid w:val="009F6B74"/>
    <w:rsid w:val="00A3029F"/>
    <w:rsid w:val="00A30353"/>
    <w:rsid w:val="00AC3823"/>
    <w:rsid w:val="00AE323C"/>
    <w:rsid w:val="00AF0CB5"/>
    <w:rsid w:val="00B00181"/>
    <w:rsid w:val="00B00B0D"/>
    <w:rsid w:val="00B45F2E"/>
    <w:rsid w:val="00B765F7"/>
    <w:rsid w:val="00BA0CA9"/>
    <w:rsid w:val="00C02897"/>
    <w:rsid w:val="00C078AD"/>
    <w:rsid w:val="00C2016F"/>
    <w:rsid w:val="00C97039"/>
    <w:rsid w:val="00D3439C"/>
    <w:rsid w:val="00DB1831"/>
    <w:rsid w:val="00DD3BFD"/>
    <w:rsid w:val="00DF6678"/>
    <w:rsid w:val="00E0299A"/>
    <w:rsid w:val="00E85C74"/>
    <w:rsid w:val="00EA6547"/>
    <w:rsid w:val="00ED56FB"/>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DD0C10"/>
  <w15:docId w15:val="{04A48404-D868-4246-BA62-D7036E5F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4</Pages>
  <Words>669</Words>
  <Characters>4686</Characters>
  <Application>Microsoft Office Word</Application>
  <DocSecurity>0</DocSecurity>
  <Lines>390</Lines>
  <Paragraphs>214</Paragraphs>
  <ScaleCrop>false</ScaleCrop>
  <HeadingPairs>
    <vt:vector size="2" baseType="variant">
      <vt:variant>
        <vt:lpstr>Titre</vt:lpstr>
      </vt:variant>
      <vt:variant>
        <vt:i4>1</vt:i4>
      </vt:variant>
    </vt:vector>
  </HeadingPairs>
  <TitlesOfParts>
    <vt:vector size="1" baseType="lpstr">
      <vt:lpstr>ECE/TRANS/WP.29/GRSG/2019/33</vt:lpstr>
    </vt:vector>
  </TitlesOfParts>
  <Company>DCM</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ECE/TRANS/WP.29/GRSG/2019/33</dc:title>
  <dc:subject/>
  <dc:creator>Nicolas MORIN</dc:creator>
  <cp:keywords/>
  <cp:lastModifiedBy>Nicolas MORIN</cp:lastModifiedBy>
  <cp:revision>2</cp:revision>
  <cp:lastPrinted>2019-08-21T07:39:00Z</cp:lastPrinted>
  <dcterms:created xsi:type="dcterms:W3CDTF">2019-08-21T08:50:00Z</dcterms:created>
  <dcterms:modified xsi:type="dcterms:W3CDTF">2019-08-21T08:50:00Z</dcterms:modified>
</cp:coreProperties>
</file>