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31" w:rsidRPr="00A66D91" w:rsidRDefault="00427B64" w:rsidP="003F1B7C">
      <w:pPr>
        <w:pStyle w:val="HChG"/>
        <w:spacing w:before="120"/>
        <w:ind w:left="567" w:firstLine="0"/>
        <w:jc w:val="both"/>
        <w:rPr>
          <w:lang w:val="en-US"/>
        </w:rPr>
      </w:pPr>
      <w:r w:rsidRPr="00A66D91">
        <w:t>Proposa</w:t>
      </w:r>
      <w:bookmarkStart w:id="0" w:name="_GoBack"/>
      <w:bookmarkEnd w:id="0"/>
      <w:r w:rsidRPr="00A66D91">
        <w:t xml:space="preserve">l for amendments to </w:t>
      </w:r>
      <w:r w:rsidR="004A4D11">
        <w:t xml:space="preserve">the </w:t>
      </w:r>
      <w:r w:rsidR="00A520E3">
        <w:t xml:space="preserve">06 and </w:t>
      </w:r>
      <w:r w:rsidR="004568F9">
        <w:t xml:space="preserve">07 </w:t>
      </w:r>
      <w:r w:rsidR="004A4D11" w:rsidRPr="004A4D11">
        <w:t>series of amendments to</w:t>
      </w:r>
      <w:r w:rsidR="004A4D11">
        <w:t xml:space="preserve"> </w:t>
      </w:r>
      <w:r w:rsidR="00C730D4">
        <w:t>Regulation No. 83</w:t>
      </w:r>
      <w:r w:rsidR="00D5758D">
        <w:t xml:space="preserve"> (</w:t>
      </w:r>
      <w:r w:rsidR="0097250F">
        <w:t>E</w:t>
      </w:r>
      <w:r w:rsidR="001909F9" w:rsidRPr="001909F9">
        <w:t>missions of M</w:t>
      </w:r>
      <w:r w:rsidR="001909F9" w:rsidRPr="002D62E4">
        <w:rPr>
          <w:vertAlign w:val="subscript"/>
        </w:rPr>
        <w:t>1</w:t>
      </w:r>
      <w:r w:rsidR="001909F9" w:rsidRPr="001909F9">
        <w:t xml:space="preserve"> and N</w:t>
      </w:r>
      <w:r w:rsidR="001909F9" w:rsidRPr="002D62E4">
        <w:rPr>
          <w:vertAlign w:val="subscript"/>
        </w:rPr>
        <w:t>1</w:t>
      </w:r>
      <w:r w:rsidR="001909F9" w:rsidRPr="001909F9">
        <w:t xml:space="preserve"> vehicles</w:t>
      </w:r>
      <w:r w:rsidR="00D5758D">
        <w:t>)</w:t>
      </w:r>
    </w:p>
    <w:p w:rsidR="00A66D91" w:rsidRPr="00A66D91" w:rsidRDefault="00085C2A" w:rsidP="00085C2A">
      <w:pPr>
        <w:ind w:left="600" w:right="1134"/>
        <w:jc w:val="both"/>
      </w:pPr>
      <w:r>
        <w:t>T</w:t>
      </w:r>
      <w:r w:rsidR="00D5758D">
        <w:t xml:space="preserve">he text reproduced below was prepared by the expert from </w:t>
      </w:r>
      <w:r w:rsidR="005D7B0B">
        <w:t>the European Commission</w:t>
      </w:r>
      <w:r w:rsidR="00D5758D">
        <w:t xml:space="preserve"> </w:t>
      </w:r>
      <w:r w:rsidR="00C730D4">
        <w:t xml:space="preserve">to </w:t>
      </w:r>
      <w:r w:rsidR="005D7B0B">
        <w:t xml:space="preserve">correct </w:t>
      </w:r>
      <w:r w:rsidR="00A32397">
        <w:t>and update</w:t>
      </w:r>
      <w:r w:rsidR="000D2F0A">
        <w:t xml:space="preserve"> both the 06 and 07 series of amendments</w:t>
      </w:r>
      <w:r w:rsidR="00A32397">
        <w:t xml:space="preserve"> to Regulation No. 83.</w:t>
      </w:r>
    </w:p>
    <w:p w:rsidR="002D6A98" w:rsidRPr="007F7A9F" w:rsidRDefault="002B6ACD" w:rsidP="000D2F0A">
      <w:pPr>
        <w:pStyle w:val="HChG"/>
        <w:tabs>
          <w:tab w:val="clear" w:pos="851"/>
        </w:tabs>
        <w:spacing w:before="240"/>
        <w:ind w:hanging="567"/>
        <w:rPr>
          <w:lang w:val="en-US"/>
        </w:rPr>
      </w:pPr>
      <w:r w:rsidRPr="007F7A9F">
        <w:rPr>
          <w:lang w:val="en-US"/>
        </w:rPr>
        <w:t>I.</w:t>
      </w:r>
      <w:r w:rsidR="002D62E4">
        <w:rPr>
          <w:lang w:val="en-US"/>
        </w:rPr>
        <w:tab/>
        <w:t>Proposal</w:t>
      </w:r>
    </w:p>
    <w:p w:rsidR="00313425" w:rsidRPr="00243580" w:rsidRDefault="00313425" w:rsidP="00313425">
      <w:pPr>
        <w:pStyle w:val="SingleTxtG"/>
        <w:rPr>
          <w:sz w:val="28"/>
          <w:szCs w:val="28"/>
        </w:rPr>
      </w:pPr>
      <w:r w:rsidRPr="00243580">
        <w:rPr>
          <w:b/>
          <w:i/>
          <w:sz w:val="28"/>
          <w:szCs w:val="28"/>
        </w:rPr>
        <w:t>06 series of amendments only</w:t>
      </w:r>
    </w:p>
    <w:p w:rsidR="00313425" w:rsidRDefault="00313425" w:rsidP="00313425">
      <w:pPr>
        <w:pStyle w:val="SingleTxtG"/>
        <w:rPr>
          <w:i/>
        </w:rPr>
      </w:pPr>
      <w:r w:rsidRPr="00755C63">
        <w:rPr>
          <w:i/>
        </w:rPr>
        <w:t xml:space="preserve">Annex </w:t>
      </w:r>
      <w:r>
        <w:rPr>
          <w:i/>
        </w:rPr>
        <w:t>11</w:t>
      </w:r>
      <w:r w:rsidRPr="00755C63">
        <w:rPr>
          <w:i/>
        </w:rPr>
        <w:t xml:space="preserve"> </w:t>
      </w:r>
      <w:r>
        <w:rPr>
          <w:i/>
        </w:rPr>
        <w:t xml:space="preserve">Appendix 1, </w:t>
      </w:r>
      <w:proofErr w:type="gramStart"/>
      <w:r>
        <w:rPr>
          <w:i/>
        </w:rPr>
        <w:t xml:space="preserve">Paragraph </w:t>
      </w:r>
      <w:r w:rsidRPr="00755C63">
        <w:rPr>
          <w:i/>
        </w:rPr>
        <w:t xml:space="preserve"> </w:t>
      </w:r>
      <w:r>
        <w:rPr>
          <w:i/>
        </w:rPr>
        <w:t>6</w:t>
      </w:r>
      <w:proofErr w:type="gramEnd"/>
      <w:r>
        <w:rPr>
          <w:i/>
        </w:rPr>
        <w:t>.5.3.5.</w:t>
      </w:r>
      <w:r w:rsidRPr="00755C63">
        <w:rPr>
          <w:i/>
        </w:rPr>
        <w:t>, amend to read:</w:t>
      </w:r>
    </w:p>
    <w:p w:rsidR="00313425" w:rsidRPr="006C148C" w:rsidRDefault="00313425" w:rsidP="00313425">
      <w:pPr>
        <w:pStyle w:val="SingleTxtG"/>
        <w:ind w:hanging="1134"/>
      </w:pPr>
      <w:r w:rsidRPr="00E80719">
        <w:t>"</w:t>
      </w:r>
      <w:r w:rsidRPr="006C148C">
        <w:t>6.5.3.</w:t>
      </w:r>
      <w:r>
        <w:t>5</w:t>
      </w:r>
      <w:r w:rsidRPr="006C148C">
        <w:t xml:space="preserve">. </w:t>
      </w:r>
      <w:r w:rsidRPr="006C148C">
        <w:tab/>
      </w:r>
      <w:r>
        <w:t xml:space="preserve">The connection interface between the vehicle and the diagnostic tester must be standardised and must meet all the requirements of ISO DIS 15031-3 "Road vehicles – Communication between vehicle and external test equipment for emissions-related diagnostics – Part 3: Diagnostic connector and related electrical circuits: specification and use", dated 1 November 2001. The installation position must be subject to agreement of the </w:t>
      </w:r>
      <w:r w:rsidRPr="00313425">
        <w:rPr>
          <w:strike/>
        </w:rPr>
        <w:t>administrative department</w:t>
      </w:r>
      <w:r>
        <w:t xml:space="preserve"> </w:t>
      </w:r>
      <w:r w:rsidRPr="003A6050">
        <w:rPr>
          <w:b/>
        </w:rPr>
        <w:t>Type Approval Authority</w:t>
      </w:r>
      <w:r>
        <w:t xml:space="preserve"> such that it is readily accessible by service personnel but protected from tampering by non-qualified personnel.</w:t>
      </w:r>
      <w:r w:rsidRPr="00E80719">
        <w:t>"</w:t>
      </w:r>
    </w:p>
    <w:p w:rsidR="00313425" w:rsidRDefault="00A67A39" w:rsidP="00A67A39">
      <w:pPr>
        <w:pStyle w:val="SingleTxtG"/>
      </w:pPr>
      <w:r>
        <w:rPr>
          <w:b/>
        </w:rPr>
        <w:t xml:space="preserve">Justification: </w:t>
      </w:r>
      <w:r w:rsidRPr="00A67A39">
        <w:t xml:space="preserve">aligns terminology with </w:t>
      </w:r>
      <w:r w:rsidR="00993A13">
        <w:t xml:space="preserve">that used in </w:t>
      </w:r>
      <w:r w:rsidRPr="00A67A39">
        <w:t>the rest of the UNR</w:t>
      </w:r>
      <w:r>
        <w:t>.</w:t>
      </w:r>
    </w:p>
    <w:p w:rsidR="00A67A39" w:rsidRPr="005A62B5" w:rsidRDefault="00A67A39" w:rsidP="00313425">
      <w:pPr>
        <w:pStyle w:val="SingleTxtG"/>
        <w:ind w:hanging="992"/>
        <w:rPr>
          <w:b/>
        </w:rPr>
      </w:pPr>
    </w:p>
    <w:p w:rsidR="00313425" w:rsidRPr="00243580" w:rsidRDefault="00313425" w:rsidP="00313425">
      <w:pPr>
        <w:pStyle w:val="SingleTxtG"/>
        <w:rPr>
          <w:sz w:val="28"/>
          <w:szCs w:val="28"/>
        </w:rPr>
      </w:pPr>
      <w:r w:rsidRPr="00243580">
        <w:rPr>
          <w:b/>
          <w:i/>
          <w:sz w:val="28"/>
          <w:szCs w:val="28"/>
        </w:rPr>
        <w:t>07 series of amendments only</w:t>
      </w:r>
    </w:p>
    <w:p w:rsidR="00313425" w:rsidRDefault="00313425" w:rsidP="00313425">
      <w:pPr>
        <w:pStyle w:val="SingleTxtG"/>
      </w:pPr>
      <w:r>
        <w:rPr>
          <w:i/>
        </w:rPr>
        <w:t>Paragraph 5.2.1.</w:t>
      </w:r>
      <w:r w:rsidRPr="0083042A">
        <w:rPr>
          <w:i/>
        </w:rPr>
        <w:t xml:space="preserve">, </w:t>
      </w:r>
      <w:r>
        <w:rPr>
          <w:i/>
        </w:rPr>
        <w:t>amend</w:t>
      </w:r>
      <w:r w:rsidRPr="0083042A">
        <w:rPr>
          <w:i/>
        </w:rPr>
        <w:t xml:space="preserve"> </w:t>
      </w:r>
      <w:r w:rsidRPr="002D62E4">
        <w:t>to read:</w:t>
      </w:r>
    </w:p>
    <w:p w:rsidR="00313425" w:rsidRDefault="00313425" w:rsidP="00313425">
      <w:pPr>
        <w:pStyle w:val="SingleTxtG"/>
        <w:ind w:hanging="1134"/>
      </w:pPr>
      <w:r w:rsidRPr="007C65A5">
        <w:t>"</w:t>
      </w:r>
      <w:r>
        <w:t>5.2.1</w:t>
      </w:r>
      <w:r w:rsidRPr="00197050">
        <w:t xml:space="preserve">. </w:t>
      </w:r>
      <w:r w:rsidRPr="00197050">
        <w:tab/>
      </w:r>
      <w:r>
        <w:t>Positive ignition engine-powered vehicles and hybrid electric vehicles equipped with a positive ignition engine shall be subject to the following tests:</w:t>
      </w:r>
    </w:p>
    <w:p w:rsidR="00313425" w:rsidRDefault="00313425" w:rsidP="00313425">
      <w:pPr>
        <w:pStyle w:val="SingleTxtG"/>
        <w:ind w:hanging="1134"/>
      </w:pPr>
      <w:r>
        <w:tab/>
        <w:t>Type I (verifying the average exhaust emissions after a cold start);</w:t>
      </w:r>
    </w:p>
    <w:p w:rsidR="00313425" w:rsidRDefault="00313425" w:rsidP="00313425">
      <w:pPr>
        <w:pStyle w:val="SingleTxtG"/>
        <w:ind w:hanging="1134"/>
      </w:pPr>
      <w:r>
        <w:tab/>
        <w:t>Type II (carbon monoxide emission at idling speed);</w:t>
      </w:r>
    </w:p>
    <w:p w:rsidR="00313425" w:rsidRDefault="00313425" w:rsidP="00313425">
      <w:pPr>
        <w:pStyle w:val="SingleTxtG"/>
        <w:ind w:hanging="1134"/>
      </w:pPr>
      <w:r>
        <w:tab/>
        <w:t>Type III (emission of crankcase gases);</w:t>
      </w:r>
    </w:p>
    <w:p w:rsidR="00313425" w:rsidRDefault="00313425" w:rsidP="00313425">
      <w:pPr>
        <w:pStyle w:val="SingleTxtG"/>
        <w:ind w:hanging="1134"/>
      </w:pPr>
      <w:r>
        <w:tab/>
        <w:t>Type IV (evaporation emissions);</w:t>
      </w:r>
    </w:p>
    <w:p w:rsidR="00313425" w:rsidRDefault="00313425" w:rsidP="00313425">
      <w:pPr>
        <w:pStyle w:val="SingleTxtG"/>
        <w:ind w:hanging="1134"/>
      </w:pPr>
      <w:r>
        <w:tab/>
        <w:t>Type V (durability of anti-pollution devices);</w:t>
      </w:r>
    </w:p>
    <w:p w:rsidR="00313425" w:rsidRDefault="00313425" w:rsidP="00313425">
      <w:pPr>
        <w:pStyle w:val="SingleTxtG"/>
        <w:ind w:hanging="1134"/>
      </w:pPr>
      <w:r>
        <w:tab/>
        <w:t>Type VI (verifying the average low ambient temperature carbon monoxide and hydrocarbon exhaust emissions after a cold start;</w:t>
      </w:r>
    </w:p>
    <w:p w:rsidR="00313425" w:rsidRDefault="00313425" w:rsidP="00313425">
      <w:pPr>
        <w:pStyle w:val="SingleTxtG"/>
        <w:ind w:hanging="1134"/>
      </w:pPr>
      <w:r>
        <w:tab/>
        <w:t>OBD-</w:t>
      </w:r>
      <w:proofErr w:type="gramStart"/>
      <w:r>
        <w:t>test</w:t>
      </w:r>
      <w:r w:rsidRPr="00A54547">
        <w:rPr>
          <w:strike/>
        </w:rPr>
        <w:t>;</w:t>
      </w:r>
      <w:r w:rsidRPr="00A54547">
        <w:rPr>
          <w:b/>
        </w:rPr>
        <w:t>.</w:t>
      </w:r>
      <w:proofErr w:type="gramEnd"/>
    </w:p>
    <w:p w:rsidR="00313425" w:rsidRDefault="00313425" w:rsidP="00313425">
      <w:pPr>
        <w:pStyle w:val="SingleTxtG"/>
      </w:pPr>
      <w:r w:rsidRPr="00A54547">
        <w:rPr>
          <w:strike/>
        </w:rPr>
        <w:t>Engine power test.</w:t>
      </w:r>
      <w:r w:rsidRPr="007C65A5">
        <w:t>"</w:t>
      </w:r>
    </w:p>
    <w:p w:rsidR="00FB71B3" w:rsidRDefault="00FB71B3" w:rsidP="00FB71B3">
      <w:pPr>
        <w:pStyle w:val="SingleTxtG"/>
      </w:pPr>
      <w:r>
        <w:rPr>
          <w:b/>
        </w:rPr>
        <w:t xml:space="preserve">Justification: </w:t>
      </w:r>
      <w:r>
        <w:t>Corrects error introduced in the 07 series of amendments. Engine power is covered by UN Regulation 85.</w:t>
      </w:r>
    </w:p>
    <w:p w:rsidR="00243580" w:rsidRDefault="00243580">
      <w:pPr>
        <w:suppressAutoHyphens w:val="0"/>
        <w:spacing w:line="240" w:lineRule="auto"/>
        <w:rPr>
          <w:i/>
        </w:rPr>
      </w:pPr>
      <w:r>
        <w:rPr>
          <w:i/>
        </w:rPr>
        <w:br w:type="page"/>
      </w:r>
    </w:p>
    <w:p w:rsidR="00313425" w:rsidRDefault="00313425" w:rsidP="00313425">
      <w:pPr>
        <w:pStyle w:val="SingleTxtG"/>
      </w:pPr>
      <w:r>
        <w:rPr>
          <w:i/>
        </w:rPr>
        <w:t>Paragraph 5.2.2.</w:t>
      </w:r>
      <w:r w:rsidRPr="0083042A">
        <w:rPr>
          <w:i/>
        </w:rPr>
        <w:t xml:space="preserve">, </w:t>
      </w:r>
      <w:r>
        <w:rPr>
          <w:i/>
        </w:rPr>
        <w:t>amend</w:t>
      </w:r>
      <w:r w:rsidRPr="0083042A">
        <w:rPr>
          <w:i/>
        </w:rPr>
        <w:t xml:space="preserve"> </w:t>
      </w:r>
      <w:r w:rsidRPr="002D62E4">
        <w:t>to read:</w:t>
      </w:r>
    </w:p>
    <w:p w:rsidR="00313425" w:rsidRDefault="00313425" w:rsidP="00313425">
      <w:pPr>
        <w:pStyle w:val="SingleTxtG"/>
        <w:ind w:hanging="1134"/>
      </w:pPr>
      <w:r w:rsidRPr="007C65A5">
        <w:t>"</w:t>
      </w:r>
      <w:r>
        <w:t>5.2.2</w:t>
      </w:r>
      <w:r w:rsidRPr="00197050">
        <w:t xml:space="preserve">. </w:t>
      </w:r>
      <w:r w:rsidRPr="00197050">
        <w:tab/>
      </w:r>
      <w:r>
        <w:t>Positive ignition engine-powered vehicle and hybrid electric vehicles equipped with positive ignition engine fuelled with LPG or NG/biomethane (mono or bi-fuel) shall be subjected to the following tests (according to Table A):</w:t>
      </w:r>
    </w:p>
    <w:p w:rsidR="00313425" w:rsidRDefault="00313425" w:rsidP="00313425">
      <w:pPr>
        <w:pStyle w:val="SingleTxtG"/>
        <w:ind w:hanging="1134"/>
      </w:pPr>
      <w:r>
        <w:lastRenderedPageBreak/>
        <w:tab/>
        <w:t>Type I (verifying the average exhaust emissions after a cold start);</w:t>
      </w:r>
    </w:p>
    <w:p w:rsidR="00313425" w:rsidRDefault="00313425" w:rsidP="00313425">
      <w:pPr>
        <w:pStyle w:val="SingleTxtG"/>
        <w:ind w:hanging="1134"/>
      </w:pPr>
      <w:r>
        <w:tab/>
        <w:t>Type II (carbon monoxide emissions at idling speed);</w:t>
      </w:r>
    </w:p>
    <w:p w:rsidR="00313425" w:rsidRDefault="00313425" w:rsidP="00313425">
      <w:pPr>
        <w:pStyle w:val="SingleTxtG"/>
        <w:ind w:hanging="1134"/>
      </w:pPr>
      <w:r>
        <w:tab/>
        <w:t>Type III (emission of crankcase gases);</w:t>
      </w:r>
    </w:p>
    <w:p w:rsidR="00313425" w:rsidRDefault="00313425" w:rsidP="00313425">
      <w:pPr>
        <w:pStyle w:val="SingleTxtG"/>
        <w:ind w:hanging="1134"/>
      </w:pPr>
      <w:r>
        <w:tab/>
        <w:t>Type IV (evaporative emissions), where applicable;</w:t>
      </w:r>
    </w:p>
    <w:p w:rsidR="00313425" w:rsidRDefault="00313425" w:rsidP="00313425">
      <w:pPr>
        <w:pStyle w:val="SingleTxtG"/>
        <w:ind w:hanging="1134"/>
      </w:pPr>
      <w:r>
        <w:tab/>
        <w:t>Type V (durability of anti-pollution devices);</w:t>
      </w:r>
    </w:p>
    <w:p w:rsidR="00313425" w:rsidRDefault="00313425" w:rsidP="00313425">
      <w:pPr>
        <w:pStyle w:val="SingleTxtG"/>
        <w:ind w:hanging="1134"/>
      </w:pPr>
      <w:r>
        <w:tab/>
        <w:t xml:space="preserve">Type VI (verifying the average low ambient temperature carbon monoxide </w:t>
      </w:r>
      <w:r>
        <w:tab/>
      </w:r>
      <w:r>
        <w:tab/>
        <w:t>and hydrocarbon exhaust emissions after a cold start), where applicable,</w:t>
      </w:r>
    </w:p>
    <w:p w:rsidR="00313425" w:rsidRDefault="00313425" w:rsidP="00313425">
      <w:pPr>
        <w:pStyle w:val="SingleTxtG"/>
        <w:ind w:hanging="1134"/>
      </w:pPr>
      <w:r>
        <w:tab/>
        <w:t xml:space="preserve">OBD </w:t>
      </w:r>
      <w:proofErr w:type="gramStart"/>
      <w:r>
        <w:t>test</w:t>
      </w:r>
      <w:r w:rsidRPr="00A54547">
        <w:rPr>
          <w:strike/>
        </w:rPr>
        <w:t>;</w:t>
      </w:r>
      <w:r w:rsidRPr="00A54547">
        <w:rPr>
          <w:b/>
        </w:rPr>
        <w:t>.</w:t>
      </w:r>
      <w:proofErr w:type="gramEnd"/>
    </w:p>
    <w:p w:rsidR="00313425" w:rsidRDefault="00313425" w:rsidP="00313425">
      <w:pPr>
        <w:pStyle w:val="SingleTxtG"/>
      </w:pPr>
      <w:r w:rsidRPr="00A54547">
        <w:rPr>
          <w:strike/>
        </w:rPr>
        <w:t>Engine power test.</w:t>
      </w:r>
      <w:r w:rsidRPr="007C65A5">
        <w:t>"</w:t>
      </w:r>
    </w:p>
    <w:p w:rsidR="00313425" w:rsidRDefault="00A67A39" w:rsidP="00A67A39">
      <w:pPr>
        <w:pStyle w:val="SingleTxtG"/>
      </w:pPr>
      <w:r>
        <w:rPr>
          <w:b/>
        </w:rPr>
        <w:t xml:space="preserve">Justification: </w:t>
      </w:r>
      <w:r>
        <w:t>Corrects error introduced in the 07 series of amendments. Engine power is covered by UN Regulation 85.</w:t>
      </w:r>
    </w:p>
    <w:p w:rsidR="00A67A39" w:rsidRDefault="00A67A39" w:rsidP="00A67A39">
      <w:pPr>
        <w:pStyle w:val="SingleTxtG"/>
        <w:ind w:hanging="992"/>
      </w:pPr>
    </w:p>
    <w:p w:rsidR="00313425" w:rsidRDefault="00313425" w:rsidP="00313425">
      <w:pPr>
        <w:pStyle w:val="SingleTxtG"/>
        <w:rPr>
          <w:i/>
        </w:rPr>
      </w:pPr>
      <w:r w:rsidRPr="00452AB5">
        <w:rPr>
          <w:i/>
        </w:rPr>
        <w:t>Paragraph</w:t>
      </w:r>
      <w:r>
        <w:rPr>
          <w:i/>
        </w:rPr>
        <w:t xml:space="preserve"> 13.</w:t>
      </w:r>
      <w:r w:rsidRPr="00452AB5">
        <w:rPr>
          <w:i/>
        </w:rPr>
        <w:t>, amend to read:</w:t>
      </w:r>
    </w:p>
    <w:p w:rsidR="00313425" w:rsidRPr="009E75BA" w:rsidRDefault="00313425" w:rsidP="00313425">
      <w:pPr>
        <w:pStyle w:val="SingleTxtG"/>
        <w:ind w:hanging="1134"/>
      </w:pPr>
      <w:r w:rsidRPr="007C65A5">
        <w:t>"</w:t>
      </w:r>
      <w:r>
        <w:t>13</w:t>
      </w:r>
      <w:r w:rsidRPr="00197050">
        <w:t xml:space="preserve">. </w:t>
      </w:r>
      <w:r w:rsidRPr="00197050">
        <w:tab/>
      </w:r>
      <w:r w:rsidRPr="009E75BA">
        <w:t>The Contracting Parties to the 1958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w:t>
      </w:r>
      <w:r w:rsidRPr="00711FB5">
        <w:rPr>
          <w:b/>
        </w:rPr>
        <w:t>,</w:t>
      </w:r>
      <w:r w:rsidRPr="009E75BA">
        <w:t xml:space="preserve"> or refusal or withdrawal of approval</w:t>
      </w:r>
      <w:r w:rsidRPr="00711FB5">
        <w:t xml:space="preserve">, </w:t>
      </w:r>
      <w:r w:rsidRPr="00006D6E">
        <w:rPr>
          <w:strike/>
        </w:rPr>
        <w:t>or extension or refusal or withdrawal of approval,</w:t>
      </w:r>
      <w:r w:rsidRPr="00711FB5">
        <w:t xml:space="preserve"> </w:t>
      </w:r>
      <w:r w:rsidRPr="009E75BA">
        <w:t>issued in other countries, are to be sent.</w:t>
      </w:r>
      <w:r w:rsidRPr="00E80719">
        <w:t>"</w:t>
      </w:r>
    </w:p>
    <w:p w:rsidR="00313425" w:rsidRDefault="00A67A39" w:rsidP="00313425">
      <w:pPr>
        <w:pStyle w:val="SingleTxtG"/>
      </w:pPr>
      <w:r>
        <w:rPr>
          <w:b/>
        </w:rPr>
        <w:t xml:space="preserve">Justification: </w:t>
      </w:r>
      <w:r>
        <w:t>Removes repeated text.</w:t>
      </w:r>
    </w:p>
    <w:p w:rsidR="00A67A39" w:rsidRDefault="00A67A39" w:rsidP="00313425">
      <w:pPr>
        <w:pStyle w:val="SingleTxtG"/>
      </w:pPr>
    </w:p>
    <w:p w:rsidR="00313425" w:rsidRDefault="00313425" w:rsidP="00313425">
      <w:pPr>
        <w:pStyle w:val="SingleTxtG"/>
        <w:rPr>
          <w:i/>
        </w:rPr>
      </w:pPr>
      <w:r>
        <w:rPr>
          <w:i/>
        </w:rPr>
        <w:t xml:space="preserve">Appendix 3 </w:t>
      </w:r>
      <w:r w:rsidRPr="00452AB5">
        <w:rPr>
          <w:i/>
        </w:rPr>
        <w:t>Paragraph</w:t>
      </w:r>
      <w:r>
        <w:rPr>
          <w:i/>
        </w:rPr>
        <w:t xml:space="preserve"> 6.</w:t>
      </w:r>
      <w:r w:rsidRPr="00452AB5">
        <w:rPr>
          <w:i/>
        </w:rPr>
        <w:t>, amend to read:</w:t>
      </w:r>
    </w:p>
    <w:p w:rsidR="00313425" w:rsidRPr="00E160D4" w:rsidRDefault="00313425" w:rsidP="00313425">
      <w:pPr>
        <w:pStyle w:val="SingleTxtG"/>
        <w:ind w:hanging="992"/>
      </w:pPr>
      <w:r w:rsidRPr="007C65A5">
        <w:t>"</w:t>
      </w:r>
      <w:r w:rsidRPr="00E160D4">
        <w:t>6.</w:t>
      </w:r>
      <w:r w:rsidRPr="00E160D4">
        <w:tab/>
        <w:t>Plan of remedial measures</w:t>
      </w:r>
    </w:p>
    <w:p w:rsidR="00313425" w:rsidRPr="00E160D4" w:rsidRDefault="00313425" w:rsidP="00313425">
      <w:pPr>
        <w:pStyle w:val="SingleTxtG"/>
        <w:ind w:hanging="992"/>
      </w:pPr>
      <w:r w:rsidRPr="00E160D4">
        <w:t>6.1.</w:t>
      </w:r>
      <w:r w:rsidRPr="00E160D4">
        <w:tab/>
        <w:t>The Type Approval Authority shall request the manufacturer to submit a plan of remedial measures to remedy the non-compliance when:</w:t>
      </w:r>
    </w:p>
    <w:p w:rsidR="00313425" w:rsidRPr="00E160D4" w:rsidRDefault="00313425" w:rsidP="00313425">
      <w:pPr>
        <w:pStyle w:val="SingleTxtG"/>
        <w:ind w:hanging="992"/>
      </w:pPr>
      <w:r w:rsidRPr="00E160D4">
        <w:t>6.1.1.</w:t>
      </w:r>
      <w:r w:rsidRPr="00E160D4">
        <w:tab/>
        <w:t>For tailpipe emissions more than one vehicle is found to be an outlying emitter that meets either of the following conditions:</w:t>
      </w:r>
    </w:p>
    <w:p w:rsidR="00313425" w:rsidRPr="00E160D4" w:rsidRDefault="00313425" w:rsidP="00313425">
      <w:pPr>
        <w:pStyle w:val="SingleTxtG"/>
      </w:pPr>
      <w:r w:rsidRPr="00E160D4">
        <w:t>(a)</w:t>
      </w:r>
      <w:r w:rsidRPr="00E160D4">
        <w:tab/>
        <w:t>The conditions of paragraph 3.2.2. of Appendix 4 to this Regulation and where both the Type Approval Authority and the manufacturer agree that the excess emission is due to the same cause; or</w:t>
      </w:r>
    </w:p>
    <w:p w:rsidR="00313425" w:rsidRDefault="00313425" w:rsidP="00313425">
      <w:pPr>
        <w:pStyle w:val="SingleTxtG"/>
      </w:pPr>
      <w:r w:rsidRPr="00E160D4">
        <w:t>(b)</w:t>
      </w:r>
      <w:r w:rsidRPr="00E160D4">
        <w:tab/>
        <w:t>The conditions of paragraph 3.2.3. of Appendix 4 to this Regulation where the Type Approval Authority has determined that the excess emission is due to the same cause.</w:t>
      </w:r>
    </w:p>
    <w:p w:rsidR="00313425" w:rsidRPr="00F340C2" w:rsidRDefault="00313425" w:rsidP="00313425">
      <w:pPr>
        <w:pStyle w:val="SingleTxtG"/>
        <w:rPr>
          <w:strike/>
        </w:rPr>
      </w:pPr>
      <w:r w:rsidRPr="00F340C2">
        <w:rPr>
          <w:strike/>
        </w:rPr>
        <w:t>The Type Approval Authority shall request the manufacturer to submit a plan of remedial measures to remedy the non-compliance.</w:t>
      </w:r>
    </w:p>
    <w:p w:rsidR="00313425" w:rsidRDefault="00313425" w:rsidP="00313425">
      <w:pPr>
        <w:pStyle w:val="SingleTxtG"/>
      </w:pPr>
      <w:r>
        <w:t>…</w:t>
      </w:r>
      <w:r w:rsidRPr="00E80719">
        <w:t>"</w:t>
      </w:r>
    </w:p>
    <w:p w:rsidR="00313425" w:rsidRDefault="00A67A39" w:rsidP="00313425">
      <w:pPr>
        <w:pStyle w:val="SingleTxtG"/>
      </w:pPr>
      <w:r>
        <w:rPr>
          <w:b/>
        </w:rPr>
        <w:t xml:space="preserve">Justification: </w:t>
      </w:r>
      <w:r>
        <w:t>Removes repeated text.</w:t>
      </w:r>
    </w:p>
    <w:p w:rsidR="00243580" w:rsidRDefault="00243580">
      <w:pPr>
        <w:suppressAutoHyphens w:val="0"/>
        <w:spacing w:line="240" w:lineRule="auto"/>
      </w:pPr>
      <w:r>
        <w:br w:type="page"/>
      </w:r>
    </w:p>
    <w:p w:rsidR="00313425" w:rsidRPr="00755C63" w:rsidRDefault="00313425" w:rsidP="00313425">
      <w:pPr>
        <w:pStyle w:val="SingleTxtG"/>
        <w:rPr>
          <w:i/>
        </w:rPr>
      </w:pPr>
      <w:r w:rsidRPr="00755C63">
        <w:rPr>
          <w:i/>
        </w:rPr>
        <w:t>Annex 10a Paragraph 1.3. Footnote 3, amend to read:</w:t>
      </w:r>
    </w:p>
    <w:p w:rsidR="00313425" w:rsidRDefault="00313425" w:rsidP="00313425">
      <w:pPr>
        <w:pStyle w:val="SingleTxtG"/>
      </w:pPr>
      <w:r w:rsidRPr="00E80719">
        <w:t>"</w:t>
      </w:r>
      <w:r w:rsidRPr="00381920">
        <w:rPr>
          <w:vertAlign w:val="superscript"/>
        </w:rPr>
        <w:t>3</w:t>
      </w:r>
      <w:r w:rsidRPr="00381920">
        <w:tab/>
        <w:t xml:space="preserve">The hydrogen shall not contain dust, sand, dirt, gums, oils, or other substances in an amount sufficient to damage the fuelling station equipment </w:t>
      </w:r>
      <w:r w:rsidRPr="00755C63">
        <w:rPr>
          <w:strike/>
        </w:rPr>
        <w:t>of</w:t>
      </w:r>
      <w:r w:rsidRPr="00381920">
        <w:t xml:space="preserve"> </w:t>
      </w:r>
      <w:r w:rsidRPr="00755C63">
        <w:rPr>
          <w:b/>
        </w:rPr>
        <w:t>or</w:t>
      </w:r>
      <w:r>
        <w:t xml:space="preserve"> </w:t>
      </w:r>
      <w:r w:rsidRPr="00381920">
        <w:t>the vehicle (engine) being fuelled.</w:t>
      </w:r>
      <w:r w:rsidRPr="00E80719">
        <w:t>"</w:t>
      </w:r>
    </w:p>
    <w:p w:rsidR="00313425" w:rsidRDefault="00A67A39" w:rsidP="00313425">
      <w:pPr>
        <w:pStyle w:val="SingleTxtG"/>
      </w:pPr>
      <w:r>
        <w:rPr>
          <w:b/>
        </w:rPr>
        <w:t xml:space="preserve">Justification: </w:t>
      </w:r>
      <w:r>
        <w:t>Corrects a typo</w:t>
      </w:r>
      <w:r w:rsidR="0050589B">
        <w:t>grap</w:t>
      </w:r>
      <w:r w:rsidR="00FB71B3">
        <w:t>h</w:t>
      </w:r>
      <w:r w:rsidR="0050589B">
        <w:t>ica</w:t>
      </w:r>
      <w:r>
        <w:t>l error.</w:t>
      </w:r>
    </w:p>
    <w:p w:rsidR="00A67A39" w:rsidRDefault="00A67A39" w:rsidP="00313425">
      <w:pPr>
        <w:pStyle w:val="SingleTxtG"/>
      </w:pPr>
    </w:p>
    <w:p w:rsidR="00313425" w:rsidRDefault="00313425" w:rsidP="00313425">
      <w:pPr>
        <w:pStyle w:val="SingleTxtG"/>
        <w:rPr>
          <w:i/>
        </w:rPr>
      </w:pPr>
      <w:r w:rsidRPr="00755C63">
        <w:rPr>
          <w:i/>
        </w:rPr>
        <w:t xml:space="preserve">Annex </w:t>
      </w:r>
      <w:r>
        <w:rPr>
          <w:i/>
        </w:rPr>
        <w:t>11</w:t>
      </w:r>
      <w:r w:rsidRPr="00755C63">
        <w:rPr>
          <w:i/>
        </w:rPr>
        <w:t xml:space="preserve"> </w:t>
      </w:r>
      <w:r>
        <w:rPr>
          <w:i/>
        </w:rPr>
        <w:t xml:space="preserve">Appendix 1, </w:t>
      </w:r>
      <w:proofErr w:type="gramStart"/>
      <w:r>
        <w:rPr>
          <w:i/>
        </w:rPr>
        <w:t xml:space="preserve">Paragraph </w:t>
      </w:r>
      <w:r w:rsidRPr="00755C63">
        <w:rPr>
          <w:i/>
        </w:rPr>
        <w:t xml:space="preserve"> </w:t>
      </w:r>
      <w:r>
        <w:rPr>
          <w:i/>
        </w:rPr>
        <w:t>6</w:t>
      </w:r>
      <w:proofErr w:type="gramEnd"/>
      <w:r>
        <w:rPr>
          <w:i/>
        </w:rPr>
        <w:t>.5.3.4.</w:t>
      </w:r>
      <w:r w:rsidRPr="00755C63">
        <w:rPr>
          <w:i/>
        </w:rPr>
        <w:t>, amend to read:</w:t>
      </w:r>
    </w:p>
    <w:p w:rsidR="00313425" w:rsidRDefault="00313425" w:rsidP="00313425">
      <w:pPr>
        <w:pStyle w:val="SingleTxtG"/>
        <w:ind w:hanging="1134"/>
      </w:pPr>
      <w:r w:rsidRPr="00E80719">
        <w:t>"</w:t>
      </w:r>
      <w:r>
        <w:t xml:space="preserve">6.5.3.4. </w:t>
      </w:r>
      <w:r>
        <w:tab/>
        <w:t>Basic diagnostic data, (as specified in paragraph 6.5.1.) and bi-directional control information shall be provided using the format and units described in the standard listed in paragraph 6.5.3.</w:t>
      </w:r>
      <w:proofErr w:type="gramStart"/>
      <w:r>
        <w:t>2.(</w:t>
      </w:r>
      <w:proofErr w:type="gramEnd"/>
      <w:r>
        <w:t xml:space="preserve">a) of this appendix and must be available using a diagnostic tool meeting the requirements of the standard listed in paragraph 6.5.3.2.(b) of this appendix. </w:t>
      </w:r>
    </w:p>
    <w:p w:rsidR="00313425" w:rsidRDefault="00313425" w:rsidP="00313425">
      <w:pPr>
        <w:pStyle w:val="SingleTxtG"/>
      </w:pPr>
      <w:r>
        <w:t xml:space="preserve">The vehicle manufacturer shall provide to a national standardisation body the details of any emission-related diagnostic data, e.g. PID’s, OBD monitor Id’s, Test ID’s not specified in the standard listed in paragraph 6.5.3.2.(a) of this </w:t>
      </w:r>
      <w:r w:rsidRPr="006C148C">
        <w:rPr>
          <w:strike/>
        </w:rPr>
        <w:t>Regulation</w:t>
      </w:r>
      <w:r>
        <w:t xml:space="preserve"> </w:t>
      </w:r>
      <w:r w:rsidRPr="006C148C">
        <w:rPr>
          <w:b/>
        </w:rPr>
        <w:t>appendix</w:t>
      </w:r>
      <w:r>
        <w:t xml:space="preserve"> but related to this Regulation.</w:t>
      </w:r>
      <w:r w:rsidRPr="00E80719">
        <w:t>"</w:t>
      </w:r>
    </w:p>
    <w:p w:rsidR="003D2756" w:rsidRDefault="00A67A39" w:rsidP="00313425">
      <w:pPr>
        <w:pStyle w:val="SingleTxtG"/>
      </w:pPr>
      <w:r>
        <w:rPr>
          <w:b/>
        </w:rPr>
        <w:t xml:space="preserve">Justification: </w:t>
      </w:r>
      <w:r>
        <w:t>Corrects a cross-referencing error.</w:t>
      </w:r>
    </w:p>
    <w:p w:rsidR="00A67A39" w:rsidRPr="006C148C" w:rsidRDefault="00A67A39" w:rsidP="00313425">
      <w:pPr>
        <w:pStyle w:val="SingleTxtG"/>
      </w:pPr>
    </w:p>
    <w:p w:rsidR="00313425" w:rsidRDefault="00313425" w:rsidP="00313425">
      <w:pPr>
        <w:pStyle w:val="SingleTxtG"/>
        <w:rPr>
          <w:i/>
        </w:rPr>
      </w:pPr>
      <w:r w:rsidRPr="00755C63">
        <w:rPr>
          <w:i/>
        </w:rPr>
        <w:t xml:space="preserve">Annex </w:t>
      </w:r>
      <w:r>
        <w:rPr>
          <w:i/>
        </w:rPr>
        <w:t>11</w:t>
      </w:r>
      <w:r w:rsidRPr="00755C63">
        <w:rPr>
          <w:i/>
        </w:rPr>
        <w:t xml:space="preserve"> </w:t>
      </w:r>
      <w:r>
        <w:rPr>
          <w:i/>
        </w:rPr>
        <w:t xml:space="preserve">Appendix 1, </w:t>
      </w:r>
      <w:proofErr w:type="gramStart"/>
      <w:r>
        <w:rPr>
          <w:i/>
        </w:rPr>
        <w:t xml:space="preserve">Paragraph </w:t>
      </w:r>
      <w:r w:rsidRPr="00755C63">
        <w:rPr>
          <w:i/>
        </w:rPr>
        <w:t xml:space="preserve"> </w:t>
      </w:r>
      <w:r>
        <w:rPr>
          <w:i/>
        </w:rPr>
        <w:t>6</w:t>
      </w:r>
      <w:proofErr w:type="gramEnd"/>
      <w:r>
        <w:rPr>
          <w:i/>
        </w:rPr>
        <w:t>.5.3.6.</w:t>
      </w:r>
      <w:r w:rsidRPr="00755C63">
        <w:rPr>
          <w:i/>
        </w:rPr>
        <w:t>, amend to read:</w:t>
      </w:r>
    </w:p>
    <w:p w:rsidR="00313425" w:rsidRPr="006C148C" w:rsidRDefault="00313425" w:rsidP="00313425">
      <w:pPr>
        <w:pStyle w:val="SingleTxtG"/>
        <w:ind w:hanging="1134"/>
      </w:pPr>
      <w:r w:rsidRPr="00E80719">
        <w:t>"</w:t>
      </w:r>
      <w:r w:rsidRPr="006C148C">
        <w:t xml:space="preserve">6.5.3.6. </w:t>
      </w:r>
      <w:r w:rsidRPr="006C148C">
        <w:tab/>
        <w:t xml:space="preserve">The connection interface between the vehicle and the diagnostic tester shall be standardised and shall meet all the requirements of </w:t>
      </w:r>
      <w:r w:rsidRPr="006C148C">
        <w:rPr>
          <w:bCs/>
        </w:rPr>
        <w:t>the standard listed in paragraph 6.5.3.</w:t>
      </w:r>
      <w:proofErr w:type="gramStart"/>
      <w:r w:rsidRPr="006C148C">
        <w:rPr>
          <w:bCs/>
        </w:rPr>
        <w:t>2.(</w:t>
      </w:r>
      <w:proofErr w:type="gramEnd"/>
      <w:r w:rsidRPr="006C148C">
        <w:rPr>
          <w:bCs/>
        </w:rPr>
        <w:t>c) of this appendix</w:t>
      </w:r>
      <w:r w:rsidRPr="006C148C">
        <w:t xml:space="preserve">. The installation position shall be subject to agreement of the </w:t>
      </w:r>
      <w:r w:rsidRPr="003A6050">
        <w:rPr>
          <w:strike/>
        </w:rPr>
        <w:t>administrative department</w:t>
      </w:r>
      <w:r w:rsidRPr="006C148C">
        <w:t xml:space="preserve"> </w:t>
      </w:r>
      <w:r w:rsidRPr="003A6050">
        <w:rPr>
          <w:b/>
        </w:rPr>
        <w:t>Type Approval Authority</w:t>
      </w:r>
      <w:r>
        <w:t xml:space="preserve"> </w:t>
      </w:r>
      <w:r w:rsidRPr="006C148C">
        <w:t>such that it is readily accessible by service personnel but protected from tampering by non-qualified personnel.</w:t>
      </w:r>
    </w:p>
    <w:p w:rsidR="00993A13" w:rsidRDefault="00993A13" w:rsidP="00993A13">
      <w:pPr>
        <w:pStyle w:val="SingleTxtG"/>
      </w:pPr>
      <w:r>
        <w:rPr>
          <w:b/>
        </w:rPr>
        <w:t xml:space="preserve">Justification: </w:t>
      </w:r>
      <w:r w:rsidRPr="00A67A39">
        <w:t xml:space="preserve">aligns terminology with </w:t>
      </w:r>
      <w:r>
        <w:t xml:space="preserve">that used in </w:t>
      </w:r>
      <w:r w:rsidRPr="00A67A39">
        <w:t>the rest of the UNR</w:t>
      </w:r>
      <w:r>
        <w:t>.</w:t>
      </w:r>
    </w:p>
    <w:p w:rsidR="00313425" w:rsidRPr="00313425" w:rsidRDefault="00313425" w:rsidP="002D62E4">
      <w:pPr>
        <w:pStyle w:val="SingleTxtG"/>
      </w:pPr>
    </w:p>
    <w:p w:rsidR="00A520E3" w:rsidRPr="00243580" w:rsidRDefault="00A520E3" w:rsidP="002D62E4">
      <w:pPr>
        <w:pStyle w:val="SingleTxtG"/>
        <w:rPr>
          <w:b/>
          <w:i/>
          <w:sz w:val="28"/>
          <w:szCs w:val="28"/>
        </w:rPr>
      </w:pPr>
      <w:r w:rsidRPr="00243580">
        <w:rPr>
          <w:b/>
          <w:i/>
          <w:sz w:val="28"/>
          <w:szCs w:val="28"/>
        </w:rPr>
        <w:t>06 and 07 series of amendments</w:t>
      </w:r>
    </w:p>
    <w:p w:rsidR="00041F59" w:rsidRDefault="00041F59" w:rsidP="00041F59">
      <w:pPr>
        <w:pStyle w:val="SingleTxtG"/>
        <w:rPr>
          <w:i/>
        </w:rPr>
      </w:pPr>
      <w:r>
        <w:rPr>
          <w:i/>
        </w:rPr>
        <w:t xml:space="preserve">Appendix 5 </w:t>
      </w:r>
      <w:r w:rsidRPr="00452AB5">
        <w:rPr>
          <w:i/>
        </w:rPr>
        <w:t>Paragraph</w:t>
      </w:r>
      <w:r>
        <w:rPr>
          <w:i/>
        </w:rPr>
        <w:t xml:space="preserve"> 2.</w:t>
      </w:r>
      <w:r w:rsidRPr="00452AB5">
        <w:rPr>
          <w:i/>
        </w:rPr>
        <w:t>, amend to read:</w:t>
      </w:r>
    </w:p>
    <w:p w:rsidR="00041F59" w:rsidRPr="007C65A5" w:rsidRDefault="00041F59" w:rsidP="00041F59">
      <w:pPr>
        <w:pStyle w:val="SingleTxtG"/>
        <w:ind w:hanging="992"/>
      </w:pPr>
      <w:r w:rsidRPr="007C65A5">
        <w:t>"</w:t>
      </w:r>
      <w:r>
        <w:t>2</w:t>
      </w:r>
      <w:r w:rsidRPr="00E160D4">
        <w:t>.</w:t>
      </w:r>
      <w:r w:rsidRPr="00E160D4">
        <w:tab/>
      </w:r>
      <w:r w:rsidRPr="00F340C2">
        <w:t xml:space="preserve">The manufacturer shall compile all the information needed to comply with the requirements of </w:t>
      </w:r>
      <w:r w:rsidRPr="002E0BF5">
        <w:rPr>
          <w:strike/>
        </w:rPr>
        <w:t xml:space="preserve">this </w:t>
      </w:r>
      <w:r w:rsidRPr="00F340C2">
        <w:rPr>
          <w:strike/>
        </w:rPr>
        <w:t>annex</w:t>
      </w:r>
      <w:r>
        <w:t xml:space="preserve"> </w:t>
      </w:r>
      <w:r w:rsidR="002E0BF5">
        <w:rPr>
          <w:b/>
        </w:rPr>
        <w:t>Paragraph 9 and Appendices 3, 4 and 5 of this Regulation</w:t>
      </w:r>
      <w:r w:rsidRPr="00F340C2">
        <w:t>. The Type Approval Authority may also take information from surveillance programmes into consideration.</w:t>
      </w:r>
      <w:r w:rsidRPr="007C65A5">
        <w:t>"</w:t>
      </w:r>
    </w:p>
    <w:p w:rsidR="000007AB" w:rsidRDefault="0050589B" w:rsidP="007316AC">
      <w:pPr>
        <w:pStyle w:val="SingleTxtG"/>
      </w:pPr>
      <w:r>
        <w:rPr>
          <w:b/>
        </w:rPr>
        <w:t xml:space="preserve">Justification: </w:t>
      </w:r>
      <w:r w:rsidR="0071192E">
        <w:t>the word ‘annex’ was applicable for the EU regulation text from which Appendix 5 was developed for the 06 series of UNR 83</w:t>
      </w:r>
      <w:r w:rsidR="002E0BF5">
        <w:t>. However it</w:t>
      </w:r>
      <w:r w:rsidR="0071192E">
        <w:t xml:space="preserve"> is not correct for UNR 83</w:t>
      </w:r>
      <w:r w:rsidR="002E0BF5">
        <w:t>, as the contents of Annex II of EU 692/2008 are included in more than one section of the UNR (Section 9 and Appendices 3, 4 and 5)</w:t>
      </w:r>
      <w:r>
        <w:t>.</w:t>
      </w:r>
      <w:r w:rsidR="002E0BF5">
        <w:t xml:space="preserve"> These sections of UNR83 should therefore be referred to in Paragraph 2 of Appendix 5</w:t>
      </w:r>
      <w:r w:rsidR="00FB71B3">
        <w:t>, in place of ‘this annex’</w:t>
      </w:r>
      <w:r w:rsidR="002E0BF5">
        <w:t>.</w:t>
      </w:r>
    </w:p>
    <w:p w:rsidR="0050589B" w:rsidRDefault="0050589B" w:rsidP="007316AC">
      <w:pPr>
        <w:pStyle w:val="SingleTxtG"/>
      </w:pPr>
    </w:p>
    <w:p w:rsidR="00041F59" w:rsidRDefault="00041F59" w:rsidP="00041F59">
      <w:pPr>
        <w:pStyle w:val="SingleTxtG"/>
        <w:rPr>
          <w:i/>
        </w:rPr>
      </w:pPr>
      <w:r>
        <w:rPr>
          <w:i/>
        </w:rPr>
        <w:t xml:space="preserve">Appendix 6 </w:t>
      </w:r>
      <w:r w:rsidRPr="00452AB5">
        <w:rPr>
          <w:i/>
        </w:rPr>
        <w:t>Paragraph</w:t>
      </w:r>
      <w:r>
        <w:rPr>
          <w:i/>
        </w:rPr>
        <w:t xml:space="preserve"> 9.4.</w:t>
      </w:r>
      <w:r w:rsidRPr="00452AB5">
        <w:rPr>
          <w:i/>
        </w:rPr>
        <w:t>, amend to read:</w:t>
      </w:r>
    </w:p>
    <w:p w:rsidR="00041F59" w:rsidRPr="007C65A5" w:rsidRDefault="00041F59" w:rsidP="00041F59">
      <w:pPr>
        <w:pStyle w:val="SingleTxtG"/>
        <w:ind w:hanging="992"/>
      </w:pPr>
      <w:r w:rsidRPr="007C65A5">
        <w:t>"</w:t>
      </w:r>
      <w:r>
        <w:t>9.4</w:t>
      </w:r>
      <w:r w:rsidRPr="00E160D4">
        <w:t>.</w:t>
      </w:r>
      <w:r w:rsidRPr="00E160D4">
        <w:tab/>
      </w:r>
      <w:r w:rsidRPr="00041F59">
        <w:t xml:space="preserve">The instructions shall specify that use of, and refilling of, a required reagent of the correct specifications is mandatory for the vehicle to comply with the certificate of conformity issued for that </w:t>
      </w:r>
      <w:r w:rsidR="00DF551C" w:rsidRPr="00DF551C">
        <w:rPr>
          <w:b/>
        </w:rPr>
        <w:t>type of</w:t>
      </w:r>
      <w:r w:rsidR="00DF551C">
        <w:t xml:space="preserve"> </w:t>
      </w:r>
      <w:r w:rsidRPr="00041F59">
        <w:t xml:space="preserve">vehicle </w:t>
      </w:r>
      <w:r w:rsidRPr="00041F59">
        <w:rPr>
          <w:strike/>
        </w:rPr>
        <w:t>type</w:t>
      </w:r>
      <w:r>
        <w:t>.</w:t>
      </w:r>
      <w:r w:rsidRPr="007C65A5">
        <w:t>"</w:t>
      </w:r>
    </w:p>
    <w:p w:rsidR="00041F59" w:rsidRDefault="0050589B" w:rsidP="007316AC">
      <w:pPr>
        <w:pStyle w:val="SingleTxtG"/>
      </w:pPr>
      <w:r>
        <w:rPr>
          <w:b/>
        </w:rPr>
        <w:t xml:space="preserve">Justification: </w:t>
      </w:r>
      <w:r w:rsidRPr="0050589B">
        <w:t>corrects a potential misunderstanding. A ‘vehicle type’ does not have a certificate of conformity.</w:t>
      </w:r>
    </w:p>
    <w:p w:rsidR="0050589B" w:rsidRDefault="0050589B" w:rsidP="007316AC">
      <w:pPr>
        <w:pStyle w:val="SingleTxtG"/>
      </w:pPr>
    </w:p>
    <w:p w:rsidR="005A62B5" w:rsidRDefault="005A62B5" w:rsidP="005A62B5">
      <w:pPr>
        <w:pStyle w:val="SingleTxtG"/>
        <w:rPr>
          <w:i/>
        </w:rPr>
      </w:pPr>
      <w:r>
        <w:rPr>
          <w:i/>
        </w:rPr>
        <w:t xml:space="preserve">Annex 1 </w:t>
      </w:r>
      <w:r w:rsidRPr="00452AB5">
        <w:rPr>
          <w:i/>
        </w:rPr>
        <w:t>Paragraph</w:t>
      </w:r>
      <w:r>
        <w:rPr>
          <w:i/>
        </w:rPr>
        <w:t xml:space="preserve"> 3.2.12.2.6.2.</w:t>
      </w:r>
      <w:r w:rsidRPr="00452AB5">
        <w:rPr>
          <w:i/>
        </w:rPr>
        <w:t>, amend to read:</w:t>
      </w:r>
    </w:p>
    <w:p w:rsidR="00157F46" w:rsidRPr="00041F59" w:rsidRDefault="005A62B5" w:rsidP="005A62B5">
      <w:pPr>
        <w:pStyle w:val="SingleTxtG"/>
        <w:ind w:hanging="992"/>
      </w:pPr>
      <w:r w:rsidRPr="005A62B5">
        <w:t>"3.2.12.2.6.2.</w:t>
      </w:r>
      <w:r w:rsidRPr="005A62B5">
        <w:tab/>
        <w:t xml:space="preserve">Type and design of particulate trap </w:t>
      </w:r>
      <w:r w:rsidRPr="005A62B5">
        <w:rPr>
          <w:strike/>
        </w:rPr>
        <w:t>and design</w:t>
      </w:r>
      <w:r w:rsidRPr="005A62B5">
        <w:t>:</w:t>
      </w:r>
      <w:r>
        <w:t xml:space="preserve"> …………..</w:t>
      </w:r>
      <w:r w:rsidRPr="005A62B5">
        <w:t>"</w:t>
      </w:r>
    </w:p>
    <w:p w:rsidR="00A32397" w:rsidRDefault="0050589B" w:rsidP="007C65A5">
      <w:pPr>
        <w:pStyle w:val="SingleTxtG"/>
      </w:pPr>
      <w:r>
        <w:rPr>
          <w:b/>
        </w:rPr>
        <w:t xml:space="preserve">Justification: </w:t>
      </w:r>
      <w:r>
        <w:t>Removes repeated text.</w:t>
      </w:r>
    </w:p>
    <w:p w:rsidR="0050589B" w:rsidRDefault="0050589B" w:rsidP="007C65A5">
      <w:pPr>
        <w:pStyle w:val="SingleTxtG"/>
        <w:rPr>
          <w:b/>
          <w:i/>
        </w:rPr>
      </w:pPr>
    </w:p>
    <w:p w:rsidR="005A62B5" w:rsidRPr="005A62B5" w:rsidRDefault="005A62B5" w:rsidP="007C65A5">
      <w:pPr>
        <w:pStyle w:val="SingleTxtG"/>
        <w:rPr>
          <w:i/>
        </w:rPr>
      </w:pPr>
      <w:r w:rsidRPr="005A62B5">
        <w:rPr>
          <w:i/>
        </w:rPr>
        <w:t>Annex 5, Paragraph 3.1., amend to read:</w:t>
      </w:r>
      <w:r w:rsidRPr="005A62B5">
        <w:rPr>
          <w:i/>
        </w:rPr>
        <w:tab/>
      </w:r>
    </w:p>
    <w:p w:rsidR="005A62B5" w:rsidRDefault="0026032A" w:rsidP="005A62B5">
      <w:pPr>
        <w:pStyle w:val="SingleTxtG"/>
        <w:ind w:hanging="992"/>
      </w:pPr>
      <w:r w:rsidRPr="005A62B5">
        <w:t>"</w:t>
      </w:r>
      <w:r w:rsidR="005A62B5" w:rsidRPr="005A62B5">
        <w:t>3.1.</w:t>
      </w:r>
      <w:r w:rsidR="005A62B5" w:rsidRPr="005A62B5">
        <w:tab/>
        <w:t xml:space="preserve">The sampling probe shall be inserted </w:t>
      </w:r>
      <w:r w:rsidR="005A62B5" w:rsidRPr="00480FC4">
        <w:rPr>
          <w:strike/>
        </w:rPr>
        <w:t>into the exhaust pipe</w:t>
      </w:r>
      <w:r w:rsidR="005A62B5" w:rsidRPr="005A62B5">
        <w:t xml:space="preserve"> to a depth of at least 300 mm into the pipe connecting the exhaust with the sampling bag and as close as possible to the exhaust."</w:t>
      </w:r>
    </w:p>
    <w:p w:rsidR="0050589B" w:rsidRDefault="0050589B" w:rsidP="0050589B">
      <w:pPr>
        <w:pStyle w:val="SingleTxtG"/>
      </w:pPr>
      <w:r>
        <w:rPr>
          <w:b/>
        </w:rPr>
        <w:t xml:space="preserve">Justification: </w:t>
      </w:r>
      <w:r>
        <w:t>Removes unnecessary and potentially confusing text.</w:t>
      </w:r>
    </w:p>
    <w:p w:rsidR="00480FC4" w:rsidRDefault="00480FC4" w:rsidP="005A62B5">
      <w:pPr>
        <w:pStyle w:val="SingleTxtG"/>
        <w:ind w:hanging="992"/>
      </w:pPr>
    </w:p>
    <w:p w:rsidR="00480FC4" w:rsidRPr="00480FC4" w:rsidRDefault="00480FC4" w:rsidP="00480FC4">
      <w:pPr>
        <w:pStyle w:val="SingleTxtG"/>
        <w:rPr>
          <w:i/>
        </w:rPr>
      </w:pPr>
      <w:r w:rsidRPr="00480FC4">
        <w:rPr>
          <w:i/>
        </w:rPr>
        <w:t xml:space="preserve">Annex 7, </w:t>
      </w:r>
      <w:r>
        <w:rPr>
          <w:i/>
        </w:rPr>
        <w:t>Pa</w:t>
      </w:r>
      <w:r w:rsidRPr="00480FC4">
        <w:rPr>
          <w:i/>
        </w:rPr>
        <w:t>ra</w:t>
      </w:r>
      <w:r>
        <w:rPr>
          <w:i/>
        </w:rPr>
        <w:t>graph</w:t>
      </w:r>
      <w:r w:rsidRPr="00480FC4">
        <w:rPr>
          <w:i/>
        </w:rPr>
        <w:t xml:space="preserve"> 5.1.3.3.</w:t>
      </w:r>
      <w:r w:rsidRPr="005A62B5">
        <w:rPr>
          <w:i/>
        </w:rPr>
        <w:t>, amend to read:</w:t>
      </w:r>
      <w:r w:rsidRPr="005A62B5">
        <w:rPr>
          <w:i/>
        </w:rPr>
        <w:tab/>
      </w:r>
      <w:r w:rsidRPr="00480FC4">
        <w:rPr>
          <w:i/>
        </w:rPr>
        <w:tab/>
      </w:r>
    </w:p>
    <w:p w:rsidR="005A62B5" w:rsidRDefault="0026032A" w:rsidP="005A62B5">
      <w:pPr>
        <w:pStyle w:val="SingleTxtG"/>
        <w:ind w:hanging="992"/>
      </w:pPr>
      <w:r w:rsidRPr="005A62B5">
        <w:t>"</w:t>
      </w:r>
      <w:r w:rsidR="00480FC4" w:rsidRPr="00480FC4">
        <w:t>5.1.3.3.</w:t>
      </w:r>
      <w:r w:rsidR="00480FC4" w:rsidRPr="00480FC4">
        <w:tab/>
        <w:t xml:space="preserve">The canister is connected to a fuel tank, possibly an external one, filled with reference fuel, to 40 per cent </w:t>
      </w:r>
      <w:r w:rsidR="00480FC4" w:rsidRPr="00480FC4">
        <w:rPr>
          <w:strike/>
        </w:rPr>
        <w:t>volume</w:t>
      </w:r>
      <w:r w:rsidR="00480FC4" w:rsidRPr="00480FC4">
        <w:t xml:space="preserve"> </w:t>
      </w:r>
      <w:r w:rsidR="00480FC4" w:rsidRPr="00480FC4">
        <w:rPr>
          <w:b/>
        </w:rPr>
        <w:t>capacity</w:t>
      </w:r>
      <w:r w:rsidR="00480FC4">
        <w:t xml:space="preserve"> </w:t>
      </w:r>
      <w:r w:rsidR="00480FC4" w:rsidRPr="00480FC4">
        <w:t>of the fuel tank(s).</w:t>
      </w:r>
      <w:r w:rsidR="00480FC4" w:rsidRPr="005A62B5">
        <w:t>"</w:t>
      </w:r>
    </w:p>
    <w:p w:rsidR="0071192E" w:rsidRDefault="0071192E" w:rsidP="0071192E">
      <w:pPr>
        <w:pStyle w:val="SingleTxtG"/>
      </w:pPr>
      <w:r>
        <w:rPr>
          <w:b/>
        </w:rPr>
        <w:t xml:space="preserve">Justification: </w:t>
      </w:r>
      <w:r>
        <w:t>Provides a more correct terminology.</w:t>
      </w:r>
    </w:p>
    <w:p w:rsidR="0026032A" w:rsidRDefault="0026032A" w:rsidP="005A62B5">
      <w:pPr>
        <w:pStyle w:val="SingleTxtG"/>
        <w:ind w:hanging="992"/>
      </w:pPr>
    </w:p>
    <w:p w:rsidR="0026032A" w:rsidRDefault="0026032A" w:rsidP="0026032A">
      <w:pPr>
        <w:pStyle w:val="SingleTxtG"/>
      </w:pPr>
      <w:r w:rsidRPr="0026032A">
        <w:rPr>
          <w:i/>
        </w:rPr>
        <w:t xml:space="preserve">Annex 11, </w:t>
      </w:r>
      <w:r>
        <w:rPr>
          <w:i/>
        </w:rPr>
        <w:t>Paragraph</w:t>
      </w:r>
      <w:r w:rsidRPr="0026032A">
        <w:rPr>
          <w:i/>
        </w:rPr>
        <w:t xml:space="preserve"> 2.2</w:t>
      </w:r>
      <w:r>
        <w:rPr>
          <w:i/>
        </w:rPr>
        <w:t>.</w:t>
      </w:r>
      <w:r w:rsidRPr="005A62B5">
        <w:rPr>
          <w:i/>
        </w:rPr>
        <w:t>, amend to read:</w:t>
      </w:r>
      <w:r w:rsidRPr="0026032A">
        <w:tab/>
      </w:r>
    </w:p>
    <w:p w:rsidR="0026032A" w:rsidRDefault="0026032A" w:rsidP="005A62B5">
      <w:pPr>
        <w:pStyle w:val="SingleTxtG"/>
        <w:ind w:hanging="992"/>
      </w:pPr>
      <w:r w:rsidRPr="005A62B5">
        <w:t>"</w:t>
      </w:r>
      <w:r w:rsidRPr="0026032A">
        <w:t>2.2.</w:t>
      </w:r>
      <w:r w:rsidRPr="0026032A">
        <w:tab/>
        <w:t xml:space="preserve">"Vehicle type" means a category of power-driven vehicles which do not differ in </w:t>
      </w:r>
      <w:r w:rsidRPr="0026032A">
        <w:rPr>
          <w:strike/>
        </w:rPr>
        <w:t>such</w:t>
      </w:r>
      <w:r w:rsidRPr="0026032A">
        <w:t xml:space="preserve"> essential engine and OBD system characteristics.</w:t>
      </w:r>
      <w:r w:rsidRPr="005A62B5">
        <w:t>"</w:t>
      </w:r>
    </w:p>
    <w:p w:rsidR="003A6050" w:rsidRDefault="0071192E" w:rsidP="0071192E">
      <w:pPr>
        <w:pStyle w:val="SingleTxtG"/>
      </w:pPr>
      <w:r>
        <w:rPr>
          <w:b/>
        </w:rPr>
        <w:t xml:space="preserve">Justification: </w:t>
      </w:r>
      <w:r>
        <w:t>Removes superfluous and potentially confusing text.</w:t>
      </w:r>
    </w:p>
    <w:p w:rsidR="006C148C" w:rsidRDefault="006C148C" w:rsidP="00E160D4">
      <w:pPr>
        <w:pStyle w:val="SingleTxtG"/>
      </w:pPr>
    </w:p>
    <w:p w:rsidR="002B6ACD" w:rsidRPr="00A66D91" w:rsidRDefault="002B6ACD" w:rsidP="007F7A9F">
      <w:pPr>
        <w:pStyle w:val="HChG"/>
        <w:tabs>
          <w:tab w:val="clear" w:pos="851"/>
        </w:tabs>
        <w:ind w:hanging="567"/>
      </w:pPr>
      <w:r w:rsidRPr="007F7A9F">
        <w:rPr>
          <w:lang w:val="en-US"/>
        </w:rPr>
        <w:t>II.</w:t>
      </w:r>
      <w:r w:rsidRPr="007F7A9F">
        <w:rPr>
          <w:lang w:val="en-US"/>
        </w:rPr>
        <w:tab/>
        <w:t>Justification</w:t>
      </w:r>
    </w:p>
    <w:p w:rsidR="007F7A9F" w:rsidRPr="005135AF" w:rsidRDefault="0050589B" w:rsidP="002D62E4">
      <w:pPr>
        <w:pStyle w:val="SingleTxtG"/>
        <w:rPr>
          <w:lang w:val="en-US"/>
        </w:rPr>
      </w:pPr>
      <w:r>
        <w:rPr>
          <w:lang w:val="en-US"/>
        </w:rPr>
        <w:t>See justification for each individual proposed amendment.</w:t>
      </w:r>
    </w:p>
    <w:p w:rsidR="007F7A9F" w:rsidRPr="00DF5A31" w:rsidRDefault="007F7A9F" w:rsidP="007F7A9F">
      <w:pPr>
        <w:spacing w:after="120"/>
        <w:ind w:left="1134" w:right="1134"/>
        <w:jc w:val="center"/>
        <w:rPr>
          <w:u w:val="single"/>
        </w:rPr>
      </w:pPr>
      <w:r>
        <w:rPr>
          <w:u w:val="single"/>
        </w:rPr>
        <w:tab/>
      </w:r>
      <w:r>
        <w:rPr>
          <w:u w:val="single"/>
        </w:rPr>
        <w:tab/>
      </w:r>
      <w:r>
        <w:rPr>
          <w:u w:val="single"/>
        </w:rPr>
        <w:tab/>
      </w:r>
    </w:p>
    <w:sectPr w:rsidR="007F7A9F" w:rsidRPr="00DF5A31" w:rsidSect="00243580">
      <w:headerReference w:type="default" r:id="rId7"/>
      <w:footerReference w:type="even" r:id="rId8"/>
      <w:footerReference w:type="default" r:id="rId9"/>
      <w:headerReference w:type="first" r:id="rId10"/>
      <w:endnotePr>
        <w:numFmt w:val="decimal"/>
      </w:endnotePr>
      <w:pgSz w:w="11907" w:h="16840" w:code="9"/>
      <w:pgMar w:top="1276"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3E" w:rsidRDefault="000D753E"/>
  </w:endnote>
  <w:endnote w:type="continuationSeparator" w:id="0">
    <w:p w:rsidR="000D753E" w:rsidRDefault="000D753E"/>
  </w:endnote>
  <w:endnote w:type="continuationNotice" w:id="1">
    <w:p w:rsidR="000D753E" w:rsidRDefault="000D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FB71B3">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FB71B3">
      <w:rPr>
        <w:b/>
        <w:noProof/>
        <w:sz w:val="18"/>
      </w:rPr>
      <w:t>3</w:t>
    </w:r>
    <w:r w:rsidRPr="007012A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3E" w:rsidRPr="000B175B" w:rsidRDefault="000D753E" w:rsidP="000B175B">
      <w:pPr>
        <w:tabs>
          <w:tab w:val="right" w:pos="2155"/>
        </w:tabs>
        <w:spacing w:after="80"/>
        <w:ind w:left="680"/>
        <w:rPr>
          <w:u w:val="single"/>
        </w:rPr>
      </w:pPr>
      <w:r>
        <w:rPr>
          <w:u w:val="single"/>
        </w:rPr>
        <w:tab/>
      </w:r>
    </w:p>
  </w:footnote>
  <w:footnote w:type="continuationSeparator" w:id="0">
    <w:p w:rsidR="000D753E" w:rsidRPr="00FC68B7" w:rsidRDefault="000D753E" w:rsidP="00FC68B7">
      <w:pPr>
        <w:tabs>
          <w:tab w:val="left" w:pos="2155"/>
        </w:tabs>
        <w:spacing w:after="80"/>
        <w:ind w:left="680"/>
        <w:rPr>
          <w:u w:val="single"/>
        </w:rPr>
      </w:pPr>
      <w:r>
        <w:rPr>
          <w:u w:val="single"/>
        </w:rPr>
        <w:tab/>
      </w:r>
    </w:p>
  </w:footnote>
  <w:footnote w:type="continuationNotice" w:id="1">
    <w:p w:rsidR="000D753E" w:rsidRDefault="000D7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F4" w:rsidRPr="007012AD" w:rsidRDefault="003811F4" w:rsidP="003E4E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7F7A9F" w:rsidRPr="0035238E" w:rsidTr="007F7A9F">
      <w:trPr>
        <w:gridBefore w:val="1"/>
        <w:gridAfter w:val="1"/>
        <w:wBefore w:w="108" w:type="dxa"/>
        <w:wAfter w:w="296" w:type="dxa"/>
        <w:trHeight w:hRule="exact" w:val="991"/>
      </w:trPr>
      <w:tc>
        <w:tcPr>
          <w:tcW w:w="5103" w:type="dxa"/>
          <w:gridSpan w:val="2"/>
          <w:shd w:val="clear" w:color="auto" w:fill="auto"/>
        </w:tcPr>
        <w:p w:rsidR="007F7A9F" w:rsidRPr="0035238E" w:rsidRDefault="007F7A9F" w:rsidP="005D7B0B">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 xml:space="preserve">expert from </w:t>
          </w:r>
          <w:r w:rsidR="005D7B0B">
            <w:rPr>
              <w:rFonts w:eastAsia="HGSGothicM"/>
              <w:kern w:val="2"/>
              <w:lang w:val="en-US" w:eastAsia="ja-JP"/>
            </w:rPr>
            <w:t>the European Commission</w:t>
          </w:r>
        </w:p>
      </w:tc>
      <w:tc>
        <w:tcPr>
          <w:tcW w:w="4341" w:type="dxa"/>
          <w:shd w:val="clear" w:color="auto" w:fill="auto"/>
        </w:tcPr>
        <w:p w:rsidR="007F7A9F" w:rsidRPr="007F7A9F" w:rsidRDefault="007F7A9F" w:rsidP="006C52FF">
          <w:pPr>
            <w:jc w:val="right"/>
            <w:rPr>
              <w:lang w:val="en-US"/>
            </w:rPr>
          </w:pPr>
          <w:r w:rsidRPr="007F7A9F">
            <w:rPr>
              <w:lang w:val="en-US"/>
            </w:rPr>
            <w:t xml:space="preserve">Informal document </w:t>
          </w:r>
          <w:r w:rsidRPr="007F7A9F">
            <w:rPr>
              <w:b/>
              <w:lang w:val="en-US"/>
            </w:rPr>
            <w:t>GRPE-</w:t>
          </w:r>
          <w:r w:rsidR="005D7B0B">
            <w:rPr>
              <w:b/>
              <w:lang w:val="en-US"/>
            </w:rPr>
            <w:t>7</w:t>
          </w:r>
          <w:r w:rsidR="004E311C">
            <w:rPr>
              <w:b/>
              <w:lang w:val="en-US"/>
            </w:rPr>
            <w:t>8</w:t>
          </w:r>
          <w:r>
            <w:rPr>
              <w:b/>
              <w:lang w:val="en-US"/>
            </w:rPr>
            <w:t>-</w:t>
          </w:r>
          <w:r w:rsidR="00516D6D">
            <w:rPr>
              <w:b/>
              <w:lang w:val="en-US"/>
            </w:rPr>
            <w:t>22</w:t>
          </w:r>
        </w:p>
        <w:p w:rsidR="007F7A9F" w:rsidRPr="007F7A9F" w:rsidRDefault="007F7A9F" w:rsidP="006C52FF">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004E311C">
            <w:rPr>
              <w:rFonts w:eastAsia="HGSGothicM"/>
              <w:kern w:val="2"/>
              <w:lang w:val="en-US" w:eastAsia="ar-SA"/>
            </w:rPr>
            <w:t>8</w:t>
          </w:r>
          <w:r w:rsidR="005D7B0B" w:rsidRPr="005D7B0B">
            <w:rPr>
              <w:rFonts w:eastAsia="HGSGothicM"/>
              <w:kern w:val="2"/>
              <w:vertAlign w:val="superscript"/>
              <w:lang w:val="en-US" w:eastAsia="ar-SA"/>
            </w:rPr>
            <w:t>th</w:t>
          </w:r>
          <w:r w:rsidRPr="007F7A9F">
            <w:rPr>
              <w:rFonts w:eastAsia="HGSGothicM"/>
              <w:kern w:val="2"/>
              <w:lang w:val="en-US" w:eastAsia="ar-SA"/>
            </w:rPr>
            <w:t xml:space="preserve"> GRPE, </w:t>
          </w:r>
          <w:r w:rsidR="005D7B0B">
            <w:rPr>
              <w:rFonts w:eastAsia="HGSGothicM"/>
              <w:kern w:val="2"/>
              <w:lang w:val="en-US" w:eastAsia="ja-JP"/>
            </w:rPr>
            <w:t>0</w:t>
          </w:r>
          <w:r w:rsidR="004E311C">
            <w:rPr>
              <w:rFonts w:eastAsia="HGSGothicM"/>
              <w:kern w:val="2"/>
              <w:lang w:val="en-US" w:eastAsia="ja-JP"/>
            </w:rPr>
            <w:t>8</w:t>
          </w:r>
          <w:r w:rsidRPr="007F7A9F">
            <w:rPr>
              <w:rFonts w:eastAsia="HGSGothicM" w:hint="eastAsia"/>
              <w:kern w:val="2"/>
              <w:lang w:val="en-US" w:eastAsia="ja-JP"/>
            </w:rPr>
            <w:t>-</w:t>
          </w:r>
          <w:r w:rsidRPr="007F7A9F">
            <w:rPr>
              <w:rFonts w:eastAsia="HGSGothicM"/>
              <w:kern w:val="2"/>
              <w:lang w:val="en-US" w:eastAsia="ja-JP"/>
            </w:rPr>
            <w:t>1</w:t>
          </w:r>
          <w:r w:rsidR="004E311C">
            <w:rPr>
              <w:rFonts w:eastAsia="HGSGothicM"/>
              <w:kern w:val="2"/>
              <w:lang w:val="en-US" w:eastAsia="ja-JP"/>
            </w:rPr>
            <w:t>1</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w:t>
          </w:r>
          <w:r w:rsidR="004E311C">
            <w:rPr>
              <w:rFonts w:eastAsia="HGSGothicM"/>
              <w:kern w:val="2"/>
              <w:lang w:val="en-US" w:eastAsia="ar-SA"/>
            </w:rPr>
            <w:t>9</w:t>
          </w:r>
          <w:r w:rsidRPr="007F7A9F">
            <w:rPr>
              <w:rFonts w:eastAsia="HGSGothicM"/>
              <w:kern w:val="2"/>
              <w:lang w:val="en-US" w:eastAsia="ko-KR"/>
            </w:rPr>
            <w:t xml:space="preserve">, </w:t>
          </w:r>
        </w:p>
        <w:p w:rsidR="007F7A9F" w:rsidRPr="0035238E" w:rsidRDefault="007F7A9F" w:rsidP="006C52FF">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2D62E4">
            <w:rPr>
              <w:rFonts w:eastAsia="HGSGothicM" w:hint="eastAsia"/>
              <w:kern w:val="2"/>
              <w:lang w:val="en-US" w:eastAsia="ja-JP"/>
            </w:rPr>
            <w:t>3(</w:t>
          </w:r>
          <w:r w:rsidR="002D62E4">
            <w:rPr>
              <w:rFonts w:eastAsia="HGSGothicM"/>
              <w:kern w:val="2"/>
              <w:lang w:val="en-US" w:eastAsia="ja-JP"/>
            </w:rPr>
            <w:t>a</w:t>
          </w:r>
          <w:r>
            <w:rPr>
              <w:rFonts w:eastAsia="HGSGothicM"/>
              <w:kern w:val="2"/>
              <w:lang w:val="en-US" w:eastAsia="ja-JP"/>
            </w:rPr>
            <w:t>)</w:t>
          </w:r>
        </w:p>
      </w:tc>
    </w:tr>
    <w:tr w:rsidR="003811F4" w:rsidRPr="00510AA1" w:rsidTr="007F7A9F">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24" w:type="dxa"/>
          <w:gridSpan w:val="3"/>
          <w:tcBorders>
            <w:left w:val="nil"/>
          </w:tcBorders>
        </w:tcPr>
        <w:p w:rsidR="003811F4" w:rsidRPr="00510AA1" w:rsidRDefault="003811F4" w:rsidP="007F7A9F">
          <w:pPr>
            <w:pStyle w:val="Header"/>
            <w:pBdr>
              <w:bottom w:val="none" w:sz="0" w:space="0" w:color="auto"/>
            </w:pBdr>
            <w:ind w:left="119"/>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5" w15:restartNumberingAfterBreak="0">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8" w15:restartNumberingAfterBreak="0">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3"/>
  </w:num>
  <w:num w:numId="16">
    <w:abstractNumId w:val="10"/>
  </w:num>
  <w:num w:numId="17">
    <w:abstractNumId w:val="16"/>
  </w:num>
  <w:num w:numId="18">
    <w:abstractNumId w:val="17"/>
  </w:num>
  <w:num w:numId="19">
    <w:abstractNumId w:val="18"/>
  </w:num>
  <w:num w:numId="20">
    <w:abstractNumId w:val="19"/>
  </w:num>
  <w:num w:numId="21">
    <w:abstractNumId w:val="22"/>
  </w:num>
  <w:num w:numId="22">
    <w:abstractNumId w:val="15"/>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7012AD"/>
    <w:rsid w:val="000007AB"/>
    <w:rsid w:val="00006D6E"/>
    <w:rsid w:val="000111B6"/>
    <w:rsid w:val="0001170B"/>
    <w:rsid w:val="00013153"/>
    <w:rsid w:val="00020E5E"/>
    <w:rsid w:val="00040CBA"/>
    <w:rsid w:val="00041F59"/>
    <w:rsid w:val="00046B1F"/>
    <w:rsid w:val="00050F6B"/>
    <w:rsid w:val="00052635"/>
    <w:rsid w:val="00056DBB"/>
    <w:rsid w:val="0005760E"/>
    <w:rsid w:val="00057E97"/>
    <w:rsid w:val="000634A3"/>
    <w:rsid w:val="000646F4"/>
    <w:rsid w:val="00071F3E"/>
    <w:rsid w:val="00072C8C"/>
    <w:rsid w:val="000733B5"/>
    <w:rsid w:val="00074E76"/>
    <w:rsid w:val="00081815"/>
    <w:rsid w:val="00085C2A"/>
    <w:rsid w:val="000931C0"/>
    <w:rsid w:val="00097FBE"/>
    <w:rsid w:val="000A0B22"/>
    <w:rsid w:val="000B0595"/>
    <w:rsid w:val="000B175B"/>
    <w:rsid w:val="000B2F02"/>
    <w:rsid w:val="000B38AE"/>
    <w:rsid w:val="000B3A0F"/>
    <w:rsid w:val="000B4EF7"/>
    <w:rsid w:val="000C1463"/>
    <w:rsid w:val="000C1F85"/>
    <w:rsid w:val="000C2C03"/>
    <w:rsid w:val="000C2D2E"/>
    <w:rsid w:val="000C7908"/>
    <w:rsid w:val="000D2F0A"/>
    <w:rsid w:val="000D4046"/>
    <w:rsid w:val="000D5626"/>
    <w:rsid w:val="000D5B3C"/>
    <w:rsid w:val="000D753E"/>
    <w:rsid w:val="000E0415"/>
    <w:rsid w:val="000E342D"/>
    <w:rsid w:val="000E64D0"/>
    <w:rsid w:val="000F7C1C"/>
    <w:rsid w:val="001052B0"/>
    <w:rsid w:val="001065EC"/>
    <w:rsid w:val="001103AA"/>
    <w:rsid w:val="0011340B"/>
    <w:rsid w:val="0011666B"/>
    <w:rsid w:val="00122D61"/>
    <w:rsid w:val="00123CCA"/>
    <w:rsid w:val="00127783"/>
    <w:rsid w:val="00157F46"/>
    <w:rsid w:val="00165F3A"/>
    <w:rsid w:val="001711BC"/>
    <w:rsid w:val="00182290"/>
    <w:rsid w:val="001909F9"/>
    <w:rsid w:val="001912FF"/>
    <w:rsid w:val="00193F61"/>
    <w:rsid w:val="00197050"/>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2DA8"/>
    <w:rsid w:val="00211E0B"/>
    <w:rsid w:val="00216658"/>
    <w:rsid w:val="00222E07"/>
    <w:rsid w:val="00240F4C"/>
    <w:rsid w:val="00243580"/>
    <w:rsid w:val="0024772E"/>
    <w:rsid w:val="0026032A"/>
    <w:rsid w:val="00261254"/>
    <w:rsid w:val="00261DE7"/>
    <w:rsid w:val="00264962"/>
    <w:rsid w:val="00267F5F"/>
    <w:rsid w:val="002702CF"/>
    <w:rsid w:val="002739CA"/>
    <w:rsid w:val="0027548C"/>
    <w:rsid w:val="0027799F"/>
    <w:rsid w:val="00286B4D"/>
    <w:rsid w:val="002A1D6E"/>
    <w:rsid w:val="002B6ACD"/>
    <w:rsid w:val="002C1D9F"/>
    <w:rsid w:val="002C61EA"/>
    <w:rsid w:val="002D1072"/>
    <w:rsid w:val="002D4643"/>
    <w:rsid w:val="002D62E4"/>
    <w:rsid w:val="002D6A98"/>
    <w:rsid w:val="002E0BF5"/>
    <w:rsid w:val="002E26D1"/>
    <w:rsid w:val="002F175C"/>
    <w:rsid w:val="002F7DE0"/>
    <w:rsid w:val="00302E18"/>
    <w:rsid w:val="00304AE4"/>
    <w:rsid w:val="00313425"/>
    <w:rsid w:val="003229D8"/>
    <w:rsid w:val="0032531C"/>
    <w:rsid w:val="00332333"/>
    <w:rsid w:val="00335235"/>
    <w:rsid w:val="003369AB"/>
    <w:rsid w:val="003432B0"/>
    <w:rsid w:val="003449E3"/>
    <w:rsid w:val="00352709"/>
    <w:rsid w:val="00360CFA"/>
    <w:rsid w:val="003619B5"/>
    <w:rsid w:val="00361AC3"/>
    <w:rsid w:val="00362D58"/>
    <w:rsid w:val="00365763"/>
    <w:rsid w:val="00371178"/>
    <w:rsid w:val="00380D09"/>
    <w:rsid w:val="003811F4"/>
    <w:rsid w:val="00381920"/>
    <w:rsid w:val="00385E7D"/>
    <w:rsid w:val="00387665"/>
    <w:rsid w:val="00392DD7"/>
    <w:rsid w:val="00392E47"/>
    <w:rsid w:val="0039768A"/>
    <w:rsid w:val="003A2038"/>
    <w:rsid w:val="003A6050"/>
    <w:rsid w:val="003A6810"/>
    <w:rsid w:val="003B112A"/>
    <w:rsid w:val="003B32C2"/>
    <w:rsid w:val="003B59CA"/>
    <w:rsid w:val="003C2CC4"/>
    <w:rsid w:val="003C534D"/>
    <w:rsid w:val="003D2756"/>
    <w:rsid w:val="003D4B23"/>
    <w:rsid w:val="003E130E"/>
    <w:rsid w:val="003E4E9F"/>
    <w:rsid w:val="003E7763"/>
    <w:rsid w:val="003F1B7C"/>
    <w:rsid w:val="00401D87"/>
    <w:rsid w:val="00410C89"/>
    <w:rsid w:val="00422E03"/>
    <w:rsid w:val="00426B9B"/>
    <w:rsid w:val="004271E0"/>
    <w:rsid w:val="00427B64"/>
    <w:rsid w:val="00431F17"/>
    <w:rsid w:val="004325CB"/>
    <w:rsid w:val="00435AA2"/>
    <w:rsid w:val="004426DF"/>
    <w:rsid w:val="00442A83"/>
    <w:rsid w:val="004525AE"/>
    <w:rsid w:val="00452AB5"/>
    <w:rsid w:val="0045495B"/>
    <w:rsid w:val="00454EAD"/>
    <w:rsid w:val="004561E5"/>
    <w:rsid w:val="004568F9"/>
    <w:rsid w:val="004618F4"/>
    <w:rsid w:val="004758FE"/>
    <w:rsid w:val="004763EA"/>
    <w:rsid w:val="00480FC4"/>
    <w:rsid w:val="004817BA"/>
    <w:rsid w:val="00481E83"/>
    <w:rsid w:val="0048397A"/>
    <w:rsid w:val="00485CBB"/>
    <w:rsid w:val="004866B7"/>
    <w:rsid w:val="004A03D5"/>
    <w:rsid w:val="004A4D11"/>
    <w:rsid w:val="004A7964"/>
    <w:rsid w:val="004A7CFA"/>
    <w:rsid w:val="004B4392"/>
    <w:rsid w:val="004C2461"/>
    <w:rsid w:val="004C3036"/>
    <w:rsid w:val="004C7462"/>
    <w:rsid w:val="004D0A01"/>
    <w:rsid w:val="004E311C"/>
    <w:rsid w:val="004E6CDA"/>
    <w:rsid w:val="004E77B2"/>
    <w:rsid w:val="004F1941"/>
    <w:rsid w:val="004F783D"/>
    <w:rsid w:val="00504B2D"/>
    <w:rsid w:val="0050589B"/>
    <w:rsid w:val="00510AA1"/>
    <w:rsid w:val="00510B11"/>
    <w:rsid w:val="00516D6D"/>
    <w:rsid w:val="00520B76"/>
    <w:rsid w:val="00520D00"/>
    <w:rsid w:val="0052136D"/>
    <w:rsid w:val="005249C2"/>
    <w:rsid w:val="00527358"/>
    <w:rsid w:val="0052775E"/>
    <w:rsid w:val="00531A99"/>
    <w:rsid w:val="00540AA6"/>
    <w:rsid w:val="005420F2"/>
    <w:rsid w:val="00554A45"/>
    <w:rsid w:val="0055614A"/>
    <w:rsid w:val="0056081A"/>
    <w:rsid w:val="0056209A"/>
    <w:rsid w:val="005628B6"/>
    <w:rsid w:val="005664DB"/>
    <w:rsid w:val="005700FE"/>
    <w:rsid w:val="00576C31"/>
    <w:rsid w:val="00584721"/>
    <w:rsid w:val="00590356"/>
    <w:rsid w:val="00593181"/>
    <w:rsid w:val="005941EC"/>
    <w:rsid w:val="0059724D"/>
    <w:rsid w:val="005A04B9"/>
    <w:rsid w:val="005A310C"/>
    <w:rsid w:val="005A62B5"/>
    <w:rsid w:val="005B1894"/>
    <w:rsid w:val="005B320C"/>
    <w:rsid w:val="005B3DB3"/>
    <w:rsid w:val="005B4CCA"/>
    <w:rsid w:val="005B4E13"/>
    <w:rsid w:val="005B5BE4"/>
    <w:rsid w:val="005C22BE"/>
    <w:rsid w:val="005C2C7B"/>
    <w:rsid w:val="005C342F"/>
    <w:rsid w:val="005C7D1E"/>
    <w:rsid w:val="005D46F5"/>
    <w:rsid w:val="005D7B0B"/>
    <w:rsid w:val="005E36D9"/>
    <w:rsid w:val="005E7AD2"/>
    <w:rsid w:val="005F7B75"/>
    <w:rsid w:val="006001EE"/>
    <w:rsid w:val="00605042"/>
    <w:rsid w:val="00611A1D"/>
    <w:rsid w:val="00611FC4"/>
    <w:rsid w:val="00616FDD"/>
    <w:rsid w:val="006176FB"/>
    <w:rsid w:val="006236D1"/>
    <w:rsid w:val="00630563"/>
    <w:rsid w:val="006343C6"/>
    <w:rsid w:val="00640B26"/>
    <w:rsid w:val="00652D0A"/>
    <w:rsid w:val="00662BB6"/>
    <w:rsid w:val="00671B51"/>
    <w:rsid w:val="0067362F"/>
    <w:rsid w:val="00676606"/>
    <w:rsid w:val="00684C21"/>
    <w:rsid w:val="00696333"/>
    <w:rsid w:val="006A2530"/>
    <w:rsid w:val="006A2644"/>
    <w:rsid w:val="006A358C"/>
    <w:rsid w:val="006A37A4"/>
    <w:rsid w:val="006A74D1"/>
    <w:rsid w:val="006B73C4"/>
    <w:rsid w:val="006C0814"/>
    <w:rsid w:val="006C148C"/>
    <w:rsid w:val="006C3589"/>
    <w:rsid w:val="006C43E1"/>
    <w:rsid w:val="006C52FF"/>
    <w:rsid w:val="006D37AF"/>
    <w:rsid w:val="006D51D0"/>
    <w:rsid w:val="006D5FB9"/>
    <w:rsid w:val="006D658E"/>
    <w:rsid w:val="006E0708"/>
    <w:rsid w:val="006E46FF"/>
    <w:rsid w:val="006E564B"/>
    <w:rsid w:val="006E5C3B"/>
    <w:rsid w:val="006E7191"/>
    <w:rsid w:val="007012AD"/>
    <w:rsid w:val="00703577"/>
    <w:rsid w:val="00705894"/>
    <w:rsid w:val="00706931"/>
    <w:rsid w:val="0071192E"/>
    <w:rsid w:val="00711FB5"/>
    <w:rsid w:val="00716440"/>
    <w:rsid w:val="00720346"/>
    <w:rsid w:val="00724E73"/>
    <w:rsid w:val="0072632A"/>
    <w:rsid w:val="007316AC"/>
    <w:rsid w:val="007327D5"/>
    <w:rsid w:val="00732E66"/>
    <w:rsid w:val="00737C02"/>
    <w:rsid w:val="007418BC"/>
    <w:rsid w:val="007425E3"/>
    <w:rsid w:val="007450D0"/>
    <w:rsid w:val="0075009A"/>
    <w:rsid w:val="0075390F"/>
    <w:rsid w:val="00754973"/>
    <w:rsid w:val="00755C63"/>
    <w:rsid w:val="007629C8"/>
    <w:rsid w:val="0077047D"/>
    <w:rsid w:val="00773CF1"/>
    <w:rsid w:val="007762EA"/>
    <w:rsid w:val="00776794"/>
    <w:rsid w:val="0077764F"/>
    <w:rsid w:val="00777913"/>
    <w:rsid w:val="0078186F"/>
    <w:rsid w:val="007863D7"/>
    <w:rsid w:val="0079571E"/>
    <w:rsid w:val="007B04A3"/>
    <w:rsid w:val="007B45FE"/>
    <w:rsid w:val="007B6BA5"/>
    <w:rsid w:val="007C3390"/>
    <w:rsid w:val="007C4F4B"/>
    <w:rsid w:val="007C65A5"/>
    <w:rsid w:val="007C72CB"/>
    <w:rsid w:val="007C7E67"/>
    <w:rsid w:val="007D0E2A"/>
    <w:rsid w:val="007E01E9"/>
    <w:rsid w:val="007E63F3"/>
    <w:rsid w:val="007F1E80"/>
    <w:rsid w:val="007F6611"/>
    <w:rsid w:val="007F6D60"/>
    <w:rsid w:val="007F7A9F"/>
    <w:rsid w:val="00801694"/>
    <w:rsid w:val="00802CC0"/>
    <w:rsid w:val="00811920"/>
    <w:rsid w:val="008122EE"/>
    <w:rsid w:val="00815AD0"/>
    <w:rsid w:val="00815EDB"/>
    <w:rsid w:val="00823F4F"/>
    <w:rsid w:val="008242D7"/>
    <w:rsid w:val="008257B1"/>
    <w:rsid w:val="0083042A"/>
    <w:rsid w:val="00832334"/>
    <w:rsid w:val="00832EF2"/>
    <w:rsid w:val="00841E43"/>
    <w:rsid w:val="008427AA"/>
    <w:rsid w:val="00843767"/>
    <w:rsid w:val="008603C8"/>
    <w:rsid w:val="008679D9"/>
    <w:rsid w:val="00871868"/>
    <w:rsid w:val="00876173"/>
    <w:rsid w:val="008863A1"/>
    <w:rsid w:val="008878DE"/>
    <w:rsid w:val="008979B1"/>
    <w:rsid w:val="008A1ED5"/>
    <w:rsid w:val="008A4E3A"/>
    <w:rsid w:val="008A6B25"/>
    <w:rsid w:val="008A6C4F"/>
    <w:rsid w:val="008B2335"/>
    <w:rsid w:val="008B24B1"/>
    <w:rsid w:val="008B2E36"/>
    <w:rsid w:val="008B4B9C"/>
    <w:rsid w:val="008C0AAB"/>
    <w:rsid w:val="008C0DD6"/>
    <w:rsid w:val="008D142A"/>
    <w:rsid w:val="008D2907"/>
    <w:rsid w:val="008D2B69"/>
    <w:rsid w:val="008D74E3"/>
    <w:rsid w:val="008E0678"/>
    <w:rsid w:val="008E2825"/>
    <w:rsid w:val="008E41BA"/>
    <w:rsid w:val="008E446C"/>
    <w:rsid w:val="008F31D2"/>
    <w:rsid w:val="00910DB5"/>
    <w:rsid w:val="00911C8F"/>
    <w:rsid w:val="00915EF6"/>
    <w:rsid w:val="00916B25"/>
    <w:rsid w:val="009223CA"/>
    <w:rsid w:val="00923338"/>
    <w:rsid w:val="00930BB4"/>
    <w:rsid w:val="009315AD"/>
    <w:rsid w:val="00931AD9"/>
    <w:rsid w:val="00931AE2"/>
    <w:rsid w:val="00940F93"/>
    <w:rsid w:val="009448C3"/>
    <w:rsid w:val="009614FB"/>
    <w:rsid w:val="00961D9D"/>
    <w:rsid w:val="009626B5"/>
    <w:rsid w:val="0097151B"/>
    <w:rsid w:val="0097250F"/>
    <w:rsid w:val="009760F3"/>
    <w:rsid w:val="00976CFB"/>
    <w:rsid w:val="0098401E"/>
    <w:rsid w:val="00992FB7"/>
    <w:rsid w:val="00993A13"/>
    <w:rsid w:val="009A0830"/>
    <w:rsid w:val="009A0E8D"/>
    <w:rsid w:val="009B26E7"/>
    <w:rsid w:val="009B64BB"/>
    <w:rsid w:val="009B7B91"/>
    <w:rsid w:val="009E360B"/>
    <w:rsid w:val="009E5FC2"/>
    <w:rsid w:val="009E75BA"/>
    <w:rsid w:val="009F4F13"/>
    <w:rsid w:val="009F68AA"/>
    <w:rsid w:val="00A00697"/>
    <w:rsid w:val="00A00A3F"/>
    <w:rsid w:val="00A01489"/>
    <w:rsid w:val="00A10F0F"/>
    <w:rsid w:val="00A122B1"/>
    <w:rsid w:val="00A12EA4"/>
    <w:rsid w:val="00A26369"/>
    <w:rsid w:val="00A3026E"/>
    <w:rsid w:val="00A32397"/>
    <w:rsid w:val="00A338F1"/>
    <w:rsid w:val="00A35114"/>
    <w:rsid w:val="00A35BE0"/>
    <w:rsid w:val="00A35D95"/>
    <w:rsid w:val="00A360EB"/>
    <w:rsid w:val="00A40A57"/>
    <w:rsid w:val="00A4402B"/>
    <w:rsid w:val="00A46243"/>
    <w:rsid w:val="00A520E3"/>
    <w:rsid w:val="00A54547"/>
    <w:rsid w:val="00A6129C"/>
    <w:rsid w:val="00A6560E"/>
    <w:rsid w:val="00A66D91"/>
    <w:rsid w:val="00A67A39"/>
    <w:rsid w:val="00A713CD"/>
    <w:rsid w:val="00A71D7C"/>
    <w:rsid w:val="00A72F22"/>
    <w:rsid w:val="00A7360F"/>
    <w:rsid w:val="00A748A6"/>
    <w:rsid w:val="00A769F4"/>
    <w:rsid w:val="00A776B4"/>
    <w:rsid w:val="00A77748"/>
    <w:rsid w:val="00A94361"/>
    <w:rsid w:val="00A94715"/>
    <w:rsid w:val="00AA007B"/>
    <w:rsid w:val="00AA184B"/>
    <w:rsid w:val="00AA2513"/>
    <w:rsid w:val="00AA293C"/>
    <w:rsid w:val="00AA30FD"/>
    <w:rsid w:val="00AA4741"/>
    <w:rsid w:val="00AC0837"/>
    <w:rsid w:val="00AC0B1D"/>
    <w:rsid w:val="00AD2AAE"/>
    <w:rsid w:val="00AF0AE1"/>
    <w:rsid w:val="00AF1F7C"/>
    <w:rsid w:val="00AF580C"/>
    <w:rsid w:val="00B0427B"/>
    <w:rsid w:val="00B25D6A"/>
    <w:rsid w:val="00B30179"/>
    <w:rsid w:val="00B421C1"/>
    <w:rsid w:val="00B53C21"/>
    <w:rsid w:val="00B55C71"/>
    <w:rsid w:val="00B562AA"/>
    <w:rsid w:val="00B56E4A"/>
    <w:rsid w:val="00B56E9C"/>
    <w:rsid w:val="00B60945"/>
    <w:rsid w:val="00B64B1F"/>
    <w:rsid w:val="00B6553F"/>
    <w:rsid w:val="00B76B3E"/>
    <w:rsid w:val="00B77D05"/>
    <w:rsid w:val="00B8021B"/>
    <w:rsid w:val="00B81206"/>
    <w:rsid w:val="00B81E12"/>
    <w:rsid w:val="00B900A3"/>
    <w:rsid w:val="00B92CAA"/>
    <w:rsid w:val="00BA10AD"/>
    <w:rsid w:val="00BA7A6A"/>
    <w:rsid w:val="00BB0306"/>
    <w:rsid w:val="00BB35CF"/>
    <w:rsid w:val="00BB6567"/>
    <w:rsid w:val="00BC3FA0"/>
    <w:rsid w:val="00BC4E03"/>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60BE"/>
    <w:rsid w:val="00C22C0C"/>
    <w:rsid w:val="00C26D21"/>
    <w:rsid w:val="00C32C20"/>
    <w:rsid w:val="00C357E6"/>
    <w:rsid w:val="00C4527F"/>
    <w:rsid w:val="00C463DD"/>
    <w:rsid w:val="00C4724C"/>
    <w:rsid w:val="00C512F9"/>
    <w:rsid w:val="00C51F92"/>
    <w:rsid w:val="00C629A0"/>
    <w:rsid w:val="00C64629"/>
    <w:rsid w:val="00C730D4"/>
    <w:rsid w:val="00C745C3"/>
    <w:rsid w:val="00C75D43"/>
    <w:rsid w:val="00C9068E"/>
    <w:rsid w:val="00C90C70"/>
    <w:rsid w:val="00C930F7"/>
    <w:rsid w:val="00C943FA"/>
    <w:rsid w:val="00C96DF2"/>
    <w:rsid w:val="00CA0E19"/>
    <w:rsid w:val="00CA2F0B"/>
    <w:rsid w:val="00CA7600"/>
    <w:rsid w:val="00CB09C9"/>
    <w:rsid w:val="00CB3E03"/>
    <w:rsid w:val="00CD4AA6"/>
    <w:rsid w:val="00CE4A8F"/>
    <w:rsid w:val="00CE694B"/>
    <w:rsid w:val="00CE7088"/>
    <w:rsid w:val="00CF5099"/>
    <w:rsid w:val="00D0576E"/>
    <w:rsid w:val="00D2031B"/>
    <w:rsid w:val="00D21840"/>
    <w:rsid w:val="00D248B6"/>
    <w:rsid w:val="00D25FE2"/>
    <w:rsid w:val="00D26E07"/>
    <w:rsid w:val="00D34613"/>
    <w:rsid w:val="00D37A57"/>
    <w:rsid w:val="00D43252"/>
    <w:rsid w:val="00D43CF9"/>
    <w:rsid w:val="00D4601A"/>
    <w:rsid w:val="00D47EEA"/>
    <w:rsid w:val="00D50293"/>
    <w:rsid w:val="00D556B9"/>
    <w:rsid w:val="00D5758D"/>
    <w:rsid w:val="00D57D40"/>
    <w:rsid w:val="00D70FC8"/>
    <w:rsid w:val="00D773DF"/>
    <w:rsid w:val="00D85B0C"/>
    <w:rsid w:val="00D90F0A"/>
    <w:rsid w:val="00D94A45"/>
    <w:rsid w:val="00D95303"/>
    <w:rsid w:val="00D959B3"/>
    <w:rsid w:val="00D96963"/>
    <w:rsid w:val="00D978C6"/>
    <w:rsid w:val="00DA3C1C"/>
    <w:rsid w:val="00DB1F97"/>
    <w:rsid w:val="00DB3422"/>
    <w:rsid w:val="00DC20E3"/>
    <w:rsid w:val="00DC6D39"/>
    <w:rsid w:val="00DE36BC"/>
    <w:rsid w:val="00DE5E7D"/>
    <w:rsid w:val="00DF218B"/>
    <w:rsid w:val="00DF2648"/>
    <w:rsid w:val="00DF3ED2"/>
    <w:rsid w:val="00DF551C"/>
    <w:rsid w:val="00DF76B2"/>
    <w:rsid w:val="00E032B8"/>
    <w:rsid w:val="00E046DF"/>
    <w:rsid w:val="00E06C0A"/>
    <w:rsid w:val="00E071ED"/>
    <w:rsid w:val="00E160D4"/>
    <w:rsid w:val="00E22B0C"/>
    <w:rsid w:val="00E27346"/>
    <w:rsid w:val="00E404A0"/>
    <w:rsid w:val="00E40A45"/>
    <w:rsid w:val="00E5117F"/>
    <w:rsid w:val="00E560CA"/>
    <w:rsid w:val="00E65FF5"/>
    <w:rsid w:val="00E71BC8"/>
    <w:rsid w:val="00E7260F"/>
    <w:rsid w:val="00E73F5D"/>
    <w:rsid w:val="00E746BA"/>
    <w:rsid w:val="00E77E4E"/>
    <w:rsid w:val="00E80719"/>
    <w:rsid w:val="00E81859"/>
    <w:rsid w:val="00E82BE6"/>
    <w:rsid w:val="00E92B94"/>
    <w:rsid w:val="00E93B57"/>
    <w:rsid w:val="00E9417B"/>
    <w:rsid w:val="00E96630"/>
    <w:rsid w:val="00EA2A77"/>
    <w:rsid w:val="00EB5770"/>
    <w:rsid w:val="00EC0B20"/>
    <w:rsid w:val="00EC2353"/>
    <w:rsid w:val="00EC39A0"/>
    <w:rsid w:val="00EC6FA5"/>
    <w:rsid w:val="00ED035E"/>
    <w:rsid w:val="00ED6B7D"/>
    <w:rsid w:val="00ED7A2A"/>
    <w:rsid w:val="00EE51DD"/>
    <w:rsid w:val="00EE7E38"/>
    <w:rsid w:val="00EF1D7F"/>
    <w:rsid w:val="00F123C3"/>
    <w:rsid w:val="00F12C0D"/>
    <w:rsid w:val="00F15B16"/>
    <w:rsid w:val="00F31E5F"/>
    <w:rsid w:val="00F340C2"/>
    <w:rsid w:val="00F420CF"/>
    <w:rsid w:val="00F42426"/>
    <w:rsid w:val="00F53066"/>
    <w:rsid w:val="00F60A4B"/>
    <w:rsid w:val="00F6100A"/>
    <w:rsid w:val="00F66F22"/>
    <w:rsid w:val="00F67BD7"/>
    <w:rsid w:val="00F76163"/>
    <w:rsid w:val="00F81B1A"/>
    <w:rsid w:val="00F82A40"/>
    <w:rsid w:val="00F8390E"/>
    <w:rsid w:val="00F84AD9"/>
    <w:rsid w:val="00F932F3"/>
    <w:rsid w:val="00F93781"/>
    <w:rsid w:val="00FA33E9"/>
    <w:rsid w:val="00FA721A"/>
    <w:rsid w:val="00FB613B"/>
    <w:rsid w:val="00FB61B3"/>
    <w:rsid w:val="00FB71B3"/>
    <w:rsid w:val="00FC68B7"/>
    <w:rsid w:val="00FD364E"/>
    <w:rsid w:val="00FD3F98"/>
    <w:rsid w:val="00FE106A"/>
    <w:rsid w:val="00FE55EC"/>
    <w:rsid w:val="00FE7450"/>
    <w:rsid w:val="00FF05A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0E65FE5"/>
  <w15:docId w15:val="{FAF2E96D-0B66-4527-87EE-7E381103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paragraph" w:customStyle="1" w:styleId="NumPar3">
    <w:name w:val="NumPar 3"/>
    <w:basedOn w:val="Normal"/>
    <w:next w:val="Normal"/>
    <w:rsid w:val="006C148C"/>
    <w:pPr>
      <w:numPr>
        <w:numId w:val="24"/>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6C148C"/>
    <w:pPr>
      <w:numPr>
        <w:ilvl w:val="1"/>
        <w:numId w:val="24"/>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6C148C"/>
    <w:pPr>
      <w:numPr>
        <w:ilvl w:val="2"/>
        <w:numId w:val="24"/>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Normal"/>
    <w:rsid w:val="006C148C"/>
    <w:pPr>
      <w:keepNext/>
      <w:numPr>
        <w:ilvl w:val="3"/>
        <w:numId w:val="24"/>
      </w:numPr>
      <w:tabs>
        <w:tab w:val="left" w:pos="850"/>
      </w:tabs>
      <w:suppressAutoHyphens w:val="0"/>
      <w:spacing w:before="120" w:after="120" w:line="240" w:lineRule="auto"/>
      <w:jc w:val="both"/>
      <w:outlineLvl w:val="1"/>
    </w:pPr>
    <w:rPr>
      <w:b/>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9247">
      <w:bodyDiv w:val="1"/>
      <w:marLeft w:val="0"/>
      <w:marRight w:val="0"/>
      <w:marTop w:val="0"/>
      <w:marBottom w:val="0"/>
      <w:divBdr>
        <w:top w:val="none" w:sz="0" w:space="0" w:color="auto"/>
        <w:left w:val="none" w:sz="0" w:space="0" w:color="auto"/>
        <w:bottom w:val="none" w:sz="0" w:space="0" w:color="auto"/>
        <w:right w:val="none" w:sz="0" w:space="0" w:color="auto"/>
      </w:divBdr>
    </w:div>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250</TotalTime>
  <Pages>4</Pages>
  <Words>1175</Words>
  <Characters>6700</Characters>
  <Application>Microsoft Office Word</Application>
  <DocSecurity>0</DocSecurity>
  <Lines>55</Lines>
  <Paragraphs>15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Proposal for amendments to the 06 and 07 series of amendments to Regulation No</vt:lpstr>
      <vt:lpstr>Proposal for amendments to the 06 and 07 series of amendments to Regulation No</vt:lpstr>
      <vt:lpstr/>
    </vt:vector>
  </TitlesOfParts>
  <Company>MIT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Francois Cuenot</cp:lastModifiedBy>
  <cp:revision>8</cp:revision>
  <cp:lastPrinted>2015-12-03T11:04:00Z</cp:lastPrinted>
  <dcterms:created xsi:type="dcterms:W3CDTF">2019-01-09T08:47:00Z</dcterms:created>
  <dcterms:modified xsi:type="dcterms:W3CDTF">2019-01-09T17:04:00Z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