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02CF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02CF8" w:rsidP="00102CF8">
            <w:pPr>
              <w:jc w:val="right"/>
            </w:pPr>
            <w:r w:rsidRPr="00102CF8">
              <w:rPr>
                <w:sz w:val="40"/>
              </w:rPr>
              <w:t>ECE</w:t>
            </w:r>
            <w:r>
              <w:t>/TRANS/WP.29/GRB/2019/10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02CF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102CF8" w:rsidRDefault="00102CF8" w:rsidP="00102CF8">
            <w:pPr>
              <w:spacing w:line="240" w:lineRule="exact"/>
            </w:pPr>
            <w:r>
              <w:t>13 novembre 2018</w:t>
            </w:r>
          </w:p>
          <w:p w:rsidR="00102CF8" w:rsidRDefault="00102CF8" w:rsidP="00102CF8">
            <w:pPr>
              <w:spacing w:line="240" w:lineRule="exact"/>
            </w:pPr>
            <w:r>
              <w:t>Français</w:t>
            </w:r>
          </w:p>
          <w:p w:rsidR="00102CF8" w:rsidRPr="00DB58B5" w:rsidRDefault="00102CF8" w:rsidP="00102CF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32960" w:rsidRPr="00B20635" w:rsidRDefault="00732960" w:rsidP="00364B36">
      <w:pPr>
        <w:spacing w:before="120" w:after="120"/>
        <w:rPr>
          <w:b/>
          <w:sz w:val="24"/>
          <w:szCs w:val="24"/>
          <w:lang w:val="fr-FR"/>
        </w:rPr>
      </w:pPr>
      <w:r w:rsidRPr="00B20635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B20635">
        <w:rPr>
          <w:b/>
          <w:sz w:val="24"/>
          <w:szCs w:val="24"/>
          <w:lang w:val="fr-FR"/>
        </w:rPr>
        <w:t xml:space="preserve">harmonisation </w:t>
      </w:r>
      <w:r w:rsidRPr="00B20635">
        <w:rPr>
          <w:b/>
          <w:sz w:val="24"/>
          <w:szCs w:val="24"/>
          <w:lang w:val="fr-FR"/>
        </w:rPr>
        <w:br/>
        <w:t>des Règlements concernant les véhicules</w:t>
      </w:r>
    </w:p>
    <w:p w:rsidR="00732960" w:rsidRPr="00B20635" w:rsidRDefault="00732960" w:rsidP="00364B36">
      <w:pPr>
        <w:spacing w:after="120"/>
        <w:rPr>
          <w:b/>
          <w:lang w:val="fr-FR"/>
        </w:rPr>
      </w:pPr>
      <w:r w:rsidRPr="00B20635">
        <w:rPr>
          <w:b/>
          <w:lang w:val="fr-FR"/>
        </w:rPr>
        <w:t>Groupe de travail du bruit</w:t>
      </w:r>
    </w:p>
    <w:p w:rsidR="00732960" w:rsidRPr="00B20635" w:rsidRDefault="00732960" w:rsidP="00AF5A75">
      <w:pPr>
        <w:rPr>
          <w:b/>
          <w:lang w:val="fr-FR"/>
        </w:rPr>
      </w:pPr>
      <w:r w:rsidRPr="00B20635">
        <w:rPr>
          <w:b/>
          <w:lang w:val="fr-FR"/>
        </w:rPr>
        <w:t>Soixante-neuvième session</w:t>
      </w:r>
    </w:p>
    <w:p w:rsidR="00732960" w:rsidRPr="00B20635" w:rsidRDefault="00732960" w:rsidP="00AF5A75">
      <w:pPr>
        <w:rPr>
          <w:lang w:val="fr-FR"/>
        </w:rPr>
      </w:pPr>
      <w:r w:rsidRPr="00B20635">
        <w:rPr>
          <w:lang w:val="fr-FR"/>
        </w:rPr>
        <w:t>Genève, 22-25 janvier 2019</w:t>
      </w:r>
    </w:p>
    <w:p w:rsidR="00732960" w:rsidRPr="00B20635" w:rsidRDefault="00732960" w:rsidP="00AF5A75">
      <w:pPr>
        <w:rPr>
          <w:lang w:val="fr-FR"/>
        </w:rPr>
      </w:pPr>
      <w:r w:rsidRPr="00B20635">
        <w:rPr>
          <w:lang w:val="fr-FR"/>
        </w:rPr>
        <w:t>Point 4 a) de l</w:t>
      </w:r>
      <w:r>
        <w:rPr>
          <w:lang w:val="fr-FR"/>
        </w:rPr>
        <w:t>’</w:t>
      </w:r>
      <w:r w:rsidRPr="00B20635">
        <w:rPr>
          <w:lang w:val="fr-FR"/>
        </w:rPr>
        <w:t>ordre du jour provisoire</w:t>
      </w:r>
    </w:p>
    <w:p w:rsidR="00732960" w:rsidRPr="00B20635" w:rsidRDefault="00732960" w:rsidP="00AF5A75">
      <w:pPr>
        <w:rPr>
          <w:b/>
          <w:lang w:val="fr-FR"/>
        </w:rPr>
      </w:pPr>
      <w:r w:rsidRPr="00B20635">
        <w:rPr>
          <w:b/>
          <w:lang w:val="fr-FR"/>
        </w:rPr>
        <w:t xml:space="preserve">Règlement ONU </w:t>
      </w:r>
      <w:r w:rsidRPr="00B20635">
        <w:rPr>
          <w:rFonts w:eastAsia="MS Mincho"/>
          <w:b/>
          <w:lang w:val="fr-FR"/>
        </w:rPr>
        <w:t>n</w:t>
      </w:r>
      <w:r w:rsidRPr="00B20635">
        <w:rPr>
          <w:rFonts w:eastAsia="MS Mincho"/>
          <w:b/>
          <w:vertAlign w:val="superscript"/>
          <w:lang w:val="fr-FR"/>
        </w:rPr>
        <w:t>o</w:t>
      </w:r>
      <w:r w:rsidRPr="00B20635">
        <w:rPr>
          <w:b/>
          <w:lang w:val="fr-FR"/>
        </w:rPr>
        <w:t> 51 (Bruit des v</w:t>
      </w:r>
      <w:r w:rsidR="00AF5A75">
        <w:rPr>
          <w:b/>
          <w:lang w:val="fr-FR"/>
        </w:rPr>
        <w:t>éhicules des catégories M et N) </w:t>
      </w:r>
      <w:r w:rsidRPr="00B20635">
        <w:rPr>
          <w:b/>
          <w:lang w:val="fr-FR"/>
        </w:rPr>
        <w:t xml:space="preserve">: </w:t>
      </w:r>
      <w:r w:rsidR="00AF5A75">
        <w:rPr>
          <w:b/>
          <w:lang w:val="fr-FR"/>
        </w:rPr>
        <w:br/>
      </w:r>
      <w:r w:rsidRPr="00B20635">
        <w:rPr>
          <w:b/>
          <w:lang w:val="fr-FR"/>
        </w:rPr>
        <w:t>Extension</w:t>
      </w:r>
    </w:p>
    <w:p w:rsidR="00732960" w:rsidRPr="00B20635" w:rsidRDefault="00732960" w:rsidP="00AF5A75">
      <w:pPr>
        <w:pStyle w:val="HChG"/>
        <w:rPr>
          <w:lang w:val="fr-FR"/>
        </w:rPr>
      </w:pPr>
      <w:r w:rsidRPr="00B20635">
        <w:rPr>
          <w:lang w:val="fr-FR"/>
        </w:rPr>
        <w:tab/>
      </w:r>
      <w:r w:rsidRPr="00B20635">
        <w:rPr>
          <w:lang w:val="fr-FR"/>
        </w:rPr>
        <w:tab/>
        <w:t xml:space="preserve">Proposition de complément 6 </w:t>
      </w:r>
      <w:r w:rsidRPr="00B20635">
        <w:rPr>
          <w:bCs/>
          <w:lang w:val="fr-FR"/>
        </w:rPr>
        <w:t>à la série 03 d</w:t>
      </w:r>
      <w:r>
        <w:rPr>
          <w:bCs/>
          <w:lang w:val="fr-FR"/>
        </w:rPr>
        <w:t>’</w:t>
      </w:r>
      <w:r w:rsidRPr="00B20635">
        <w:rPr>
          <w:bCs/>
          <w:lang w:val="fr-FR"/>
        </w:rPr>
        <w:t xml:space="preserve">amendements </w:t>
      </w:r>
      <w:r w:rsidR="00AF5A75">
        <w:rPr>
          <w:bCs/>
          <w:lang w:val="fr-FR"/>
        </w:rPr>
        <w:br/>
      </w:r>
      <w:r w:rsidRPr="00B20635">
        <w:rPr>
          <w:lang w:val="fr-FR"/>
        </w:rPr>
        <w:t>au Règlement ONU n</w:t>
      </w:r>
      <w:r w:rsidRPr="00B20635">
        <w:rPr>
          <w:vertAlign w:val="superscript"/>
          <w:lang w:val="fr-FR"/>
        </w:rPr>
        <w:t>o</w:t>
      </w:r>
      <w:r w:rsidRPr="00B20635">
        <w:rPr>
          <w:lang w:val="fr-FR"/>
        </w:rPr>
        <w:t xml:space="preserve"> 51 (Bruit des véhicules </w:t>
      </w:r>
      <w:r w:rsidR="00AF5A75">
        <w:rPr>
          <w:lang w:val="fr-FR"/>
        </w:rPr>
        <w:br/>
      </w:r>
      <w:r w:rsidRPr="00B20635">
        <w:rPr>
          <w:lang w:val="fr-FR"/>
        </w:rPr>
        <w:t>des catégories M et N)</w:t>
      </w:r>
    </w:p>
    <w:p w:rsidR="00732960" w:rsidRPr="00B20635" w:rsidRDefault="00732960" w:rsidP="00AF5A75">
      <w:pPr>
        <w:pStyle w:val="H1G"/>
        <w:rPr>
          <w:lang w:val="fr-FR"/>
        </w:rPr>
      </w:pPr>
      <w:r w:rsidRPr="00B20635">
        <w:rPr>
          <w:lang w:val="fr-FR"/>
        </w:rPr>
        <w:tab/>
      </w:r>
      <w:r w:rsidRPr="00B20635">
        <w:rPr>
          <w:lang w:val="fr-FR"/>
        </w:rPr>
        <w:tab/>
        <w:t>Communication du groupe de travail informel des prescriptions supplémentaires concernant les émissions sonores</w:t>
      </w:r>
      <w:r w:rsidRPr="00B20635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732960" w:rsidRDefault="00732960" w:rsidP="00AF5A75">
      <w:pPr>
        <w:pStyle w:val="SingleTxtG"/>
        <w:ind w:firstLine="567"/>
        <w:rPr>
          <w:lang w:val="fr-FR"/>
        </w:rPr>
      </w:pPr>
      <w:r w:rsidRPr="00B20635">
        <w:rPr>
          <w:lang w:val="fr-FR"/>
        </w:rPr>
        <w:t>Le texte ci-après, établi par le groupe de travail informel des prescriptions supplémentaires concernant les émissions sonores (PSES), a pour objet</w:t>
      </w:r>
      <w:r w:rsidRPr="00B20635">
        <w:rPr>
          <w:i/>
          <w:lang w:val="fr-FR"/>
        </w:rPr>
        <w:t xml:space="preserve"> </w:t>
      </w:r>
      <w:r w:rsidRPr="00B20635">
        <w:rPr>
          <w:lang w:val="fr-FR"/>
        </w:rPr>
        <w:t>d</w:t>
      </w:r>
      <w:r>
        <w:rPr>
          <w:lang w:val="fr-FR"/>
        </w:rPr>
        <w:t>’</w:t>
      </w:r>
      <w:r w:rsidRPr="00B20635">
        <w:rPr>
          <w:lang w:val="fr-FR"/>
        </w:rPr>
        <w:t>introduire une disposition transitoire</w:t>
      </w:r>
      <w:r w:rsidRPr="00B20635">
        <w:rPr>
          <w:b/>
          <w:bCs/>
          <w:lang w:val="fr-FR"/>
        </w:rPr>
        <w:t xml:space="preserve"> </w:t>
      </w:r>
      <w:r w:rsidRPr="00B20635">
        <w:rPr>
          <w:bCs/>
          <w:lang w:val="fr-FR"/>
        </w:rPr>
        <w:t xml:space="preserve">(semblable à </w:t>
      </w:r>
      <w:r>
        <w:rPr>
          <w:bCs/>
          <w:lang w:val="fr-FR"/>
        </w:rPr>
        <w:t>celle</w:t>
      </w:r>
      <w:r w:rsidRPr="00B20635">
        <w:rPr>
          <w:bCs/>
          <w:lang w:val="fr-FR"/>
        </w:rPr>
        <w:t xml:space="preserve"> introduite dans le complément 3)</w:t>
      </w:r>
      <w:r w:rsidRPr="00B20635">
        <w:rPr>
          <w:b/>
          <w:bCs/>
          <w:lang w:val="fr-FR"/>
        </w:rPr>
        <w:t xml:space="preserve"> </w:t>
      </w:r>
      <w:r w:rsidRPr="00B20635">
        <w:rPr>
          <w:bCs/>
          <w:lang w:val="fr-FR"/>
        </w:rPr>
        <w:t>dans</w:t>
      </w:r>
      <w:r w:rsidRPr="00B20635">
        <w:rPr>
          <w:b/>
          <w:bCs/>
          <w:lang w:val="fr-FR"/>
        </w:rPr>
        <w:t xml:space="preserve"> </w:t>
      </w:r>
      <w:r w:rsidRPr="00B20635">
        <w:rPr>
          <w:lang w:val="fr-FR"/>
        </w:rPr>
        <w:t>les compléments 4 et 5 à la série 03 d</w:t>
      </w:r>
      <w:r>
        <w:rPr>
          <w:lang w:val="fr-FR"/>
        </w:rPr>
        <w:t>’</w:t>
      </w:r>
      <w:r w:rsidRPr="00B20635">
        <w:rPr>
          <w:lang w:val="fr-FR"/>
        </w:rPr>
        <w:t xml:space="preserve">amendements au Règlement </w:t>
      </w:r>
      <w:r w:rsidR="00A03514">
        <w:rPr>
          <w:lang w:val="fr-FR"/>
        </w:rPr>
        <w:t xml:space="preserve">ONU </w:t>
      </w:r>
      <w:r w:rsidR="00A03514" w:rsidRPr="00A03514">
        <w:rPr>
          <w:rFonts w:eastAsia="MS Mincho"/>
          <w:lang w:val="fr-FR"/>
        </w:rPr>
        <w:t>n</w:t>
      </w:r>
      <w:r w:rsidR="00A03514" w:rsidRPr="00A03514">
        <w:rPr>
          <w:rFonts w:eastAsia="MS Mincho"/>
          <w:vertAlign w:val="superscript"/>
          <w:lang w:val="fr-FR"/>
        </w:rPr>
        <w:t>o</w:t>
      </w:r>
      <w:r w:rsidR="00A03514">
        <w:rPr>
          <w:lang w:val="fr-FR"/>
        </w:rPr>
        <w:t> </w:t>
      </w:r>
      <w:r w:rsidRPr="00B20635">
        <w:rPr>
          <w:lang w:val="fr-FR"/>
        </w:rPr>
        <w:t xml:space="preserve">51, de corriger un </w:t>
      </w:r>
      <w:r>
        <w:rPr>
          <w:lang w:val="fr-FR"/>
        </w:rPr>
        <w:t>renvoi</w:t>
      </w:r>
      <w:r w:rsidRPr="00B20635">
        <w:rPr>
          <w:lang w:val="fr-FR"/>
        </w:rPr>
        <w:t xml:space="preserve"> et de préciser les prescriptions applicables au bruit à l</w:t>
      </w:r>
      <w:r>
        <w:rPr>
          <w:lang w:val="fr-FR"/>
        </w:rPr>
        <w:t>’</w:t>
      </w:r>
      <w:r w:rsidRPr="00B20635">
        <w:rPr>
          <w:lang w:val="fr-FR"/>
        </w:rPr>
        <w:t>arrêt. Les modifications proposées se fondent sur le projet de complément 5 à la série 03 d</w:t>
      </w:r>
      <w:r>
        <w:rPr>
          <w:lang w:val="fr-FR"/>
        </w:rPr>
        <w:t>’</w:t>
      </w:r>
      <w:r w:rsidRPr="00B20635">
        <w:rPr>
          <w:lang w:val="fr-FR"/>
        </w:rPr>
        <w:t xml:space="preserve">amendements au Règlement </w:t>
      </w:r>
      <w:r w:rsidR="00A03514">
        <w:rPr>
          <w:lang w:val="fr-FR"/>
        </w:rPr>
        <w:t xml:space="preserve">ONU </w:t>
      </w:r>
      <w:r w:rsidR="00A03514" w:rsidRPr="00A03514">
        <w:rPr>
          <w:rFonts w:eastAsia="MS Mincho"/>
          <w:lang w:val="fr-FR"/>
        </w:rPr>
        <w:t>n</w:t>
      </w:r>
      <w:r w:rsidR="00A03514" w:rsidRPr="00A03514">
        <w:rPr>
          <w:rFonts w:eastAsia="MS Mincho"/>
          <w:vertAlign w:val="superscript"/>
          <w:lang w:val="fr-FR"/>
        </w:rPr>
        <w:t>o</w:t>
      </w:r>
      <w:r w:rsidR="00A03514">
        <w:rPr>
          <w:lang w:val="fr-FR"/>
        </w:rPr>
        <w:t> </w:t>
      </w:r>
      <w:r w:rsidRPr="00B20635">
        <w:rPr>
          <w:lang w:val="fr-FR"/>
        </w:rPr>
        <w:t>51, qui a été adopté par le Groupe de travail du bruit à sa soixante-huitième session (ECE/TRANS/WP.29/GRB/2018/10). Les modifications figurent en caractères gras pour les ajouts et biffés pour les suppressions.</w:t>
      </w:r>
    </w:p>
    <w:p w:rsidR="00732960" w:rsidRPr="00B20635" w:rsidRDefault="00AF5A75" w:rsidP="00AF5A75">
      <w:pPr>
        <w:pStyle w:val="HChG"/>
        <w:rPr>
          <w:lang w:val="fr-FR"/>
        </w:rPr>
      </w:pPr>
      <w:r>
        <w:rPr>
          <w:lang w:val="fr-FR"/>
        </w:rPr>
        <w:br w:type="page"/>
      </w:r>
      <w:r w:rsidR="00732960" w:rsidRPr="00B20635">
        <w:rPr>
          <w:lang w:val="fr-FR"/>
        </w:rPr>
        <w:lastRenderedPageBreak/>
        <w:tab/>
        <w:t>I.</w:t>
      </w:r>
      <w:r w:rsidR="00732960" w:rsidRPr="00B20635">
        <w:rPr>
          <w:lang w:val="fr-FR"/>
        </w:rPr>
        <w:tab/>
        <w:t>Proposition</w:t>
      </w:r>
    </w:p>
    <w:p w:rsidR="00732960" w:rsidRPr="00B20635" w:rsidRDefault="00732960" w:rsidP="001D0561">
      <w:pPr>
        <w:pStyle w:val="SingleTxtG"/>
        <w:keepNext/>
        <w:rPr>
          <w:lang w:val="fr-FR"/>
        </w:rPr>
      </w:pPr>
      <w:r w:rsidRPr="001D0561">
        <w:rPr>
          <w:i/>
          <w:lang w:val="fr-FR"/>
        </w:rPr>
        <w:t>Insérer un nouveau paragraphe</w:t>
      </w:r>
      <w:r>
        <w:rPr>
          <w:lang w:val="fr-FR"/>
        </w:rPr>
        <w:t xml:space="preserve">, </w:t>
      </w:r>
      <w:r w:rsidR="001D0561">
        <w:rPr>
          <w:lang w:val="fr-FR"/>
        </w:rPr>
        <w:t>libellé comme suit </w:t>
      </w:r>
      <w:r w:rsidRPr="00B20635">
        <w:rPr>
          <w:lang w:val="fr-FR"/>
        </w:rPr>
        <w:t>:</w:t>
      </w:r>
    </w:p>
    <w:p w:rsidR="00732960" w:rsidRPr="00B20635" w:rsidRDefault="001D0561" w:rsidP="001D056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732960" w:rsidRPr="001D0561">
        <w:rPr>
          <w:b/>
          <w:lang w:val="fr-FR"/>
        </w:rPr>
        <w:t>11.12</w:t>
      </w:r>
      <w:r w:rsidR="00732960" w:rsidRPr="001D0561">
        <w:rPr>
          <w:b/>
          <w:lang w:val="fr-FR"/>
        </w:rPr>
        <w:tab/>
      </w:r>
      <w:r w:rsidR="00732960" w:rsidRPr="001D0561">
        <w:rPr>
          <w:b/>
          <w:lang w:val="fr-FR"/>
        </w:rPr>
        <w:tab/>
        <w:t>Jusqu’au 1</w:t>
      </w:r>
      <w:r w:rsidR="00732960" w:rsidRPr="001D0561">
        <w:rPr>
          <w:b/>
          <w:vertAlign w:val="superscript"/>
          <w:lang w:val="fr-FR"/>
        </w:rPr>
        <w:t>er</w:t>
      </w:r>
      <w:r>
        <w:rPr>
          <w:b/>
          <w:lang w:val="fr-FR"/>
        </w:rPr>
        <w:t> </w:t>
      </w:r>
      <w:r w:rsidR="00732960" w:rsidRPr="001D0561">
        <w:rPr>
          <w:b/>
          <w:lang w:val="fr-FR"/>
        </w:rPr>
        <w:t>mai 2020, le complément 6 ne s’applique pas aux homologations existantes accordées initialement avant la date d’entrée en vigueur du complément 6.</w:t>
      </w:r>
      <w:r>
        <w:rPr>
          <w:lang w:val="fr-FR"/>
        </w:rPr>
        <w:t> »</w:t>
      </w:r>
      <w:r w:rsidR="00732960">
        <w:rPr>
          <w:lang w:val="fr-FR"/>
        </w:rPr>
        <w:t>.</w:t>
      </w:r>
    </w:p>
    <w:p w:rsidR="00732960" w:rsidRPr="00B20635" w:rsidRDefault="00732960" w:rsidP="001D0561">
      <w:pPr>
        <w:pStyle w:val="SingleTxtG"/>
        <w:keepNext/>
        <w:rPr>
          <w:lang w:val="fr-FR"/>
        </w:rPr>
      </w:pPr>
      <w:r w:rsidRPr="00B20635">
        <w:rPr>
          <w:i/>
          <w:lang w:val="fr-FR"/>
        </w:rPr>
        <w:t>Annexe 3, paragraphe</w:t>
      </w:r>
      <w:r w:rsidRPr="00B20635">
        <w:rPr>
          <w:lang w:val="fr-FR"/>
        </w:rPr>
        <w:t xml:space="preserve"> </w:t>
      </w:r>
      <w:r w:rsidRPr="00B20635">
        <w:rPr>
          <w:i/>
          <w:lang w:val="fr-FR"/>
        </w:rPr>
        <w:t>3.2.5.3</w:t>
      </w:r>
      <w:r w:rsidRPr="00664988">
        <w:rPr>
          <w:lang w:val="fr-FR"/>
        </w:rPr>
        <w:t>, lire</w:t>
      </w:r>
      <w:r w:rsidR="00664988">
        <w:rPr>
          <w:lang w:val="fr-FR"/>
        </w:rPr>
        <w:t> </w:t>
      </w:r>
      <w:r w:rsidRPr="00664988">
        <w:rPr>
          <w:lang w:val="fr-FR"/>
        </w:rPr>
        <w:t>:</w:t>
      </w:r>
    </w:p>
    <w:p w:rsidR="00732960" w:rsidRPr="00664988" w:rsidRDefault="00664988" w:rsidP="0066498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732960" w:rsidRPr="00B20635">
        <w:rPr>
          <w:lang w:val="fr-FR"/>
        </w:rPr>
        <w:t>3.2.5.3</w:t>
      </w:r>
      <w:r>
        <w:rPr>
          <w:lang w:val="fr-FR"/>
        </w:rPr>
        <w:tab/>
      </w:r>
      <w:r w:rsidR="00732960" w:rsidRPr="00664988">
        <w:rPr>
          <w:bCs/>
          <w:lang w:val="fr-FR"/>
        </w:rPr>
        <w:t>Mesure du bruit à proximité de l’échappement</w:t>
      </w:r>
      <w:r w:rsidR="00732960" w:rsidRPr="00664988">
        <w:rPr>
          <w:lang w:val="fr-FR"/>
        </w:rPr>
        <w:t xml:space="preserve"> (voir la figure </w:t>
      </w:r>
      <w:r w:rsidR="00732960" w:rsidRPr="00664988">
        <w:rPr>
          <w:b/>
          <w:bCs/>
          <w:lang w:val="fr-FR"/>
        </w:rPr>
        <w:t>3a</w:t>
      </w:r>
      <w:r>
        <w:rPr>
          <w:b/>
          <w:bCs/>
          <w:lang w:val="fr-FR"/>
        </w:rPr>
        <w:t> </w:t>
      </w:r>
      <w:r w:rsidR="00732960" w:rsidRPr="00664988">
        <w:rPr>
          <w:bCs/>
          <w:strike/>
          <w:lang w:val="fr-FR"/>
        </w:rPr>
        <w:t>2</w:t>
      </w:r>
      <w:r w:rsidR="00732960" w:rsidRPr="00664988">
        <w:rPr>
          <w:lang w:val="fr-FR"/>
        </w:rPr>
        <w:t xml:space="preserve"> de l’appendice de l’annexe 3)</w:t>
      </w:r>
      <w:r>
        <w:rPr>
          <w:lang w:val="fr-FR"/>
        </w:rPr>
        <w:t>. ».</w:t>
      </w:r>
    </w:p>
    <w:p w:rsidR="00732960" w:rsidRPr="00B20635" w:rsidRDefault="00732960" w:rsidP="001D0561">
      <w:pPr>
        <w:pStyle w:val="SingleTxtG"/>
        <w:keepNext/>
        <w:rPr>
          <w:i/>
          <w:lang w:val="fr-FR"/>
        </w:rPr>
      </w:pPr>
      <w:r w:rsidRPr="00B20635">
        <w:rPr>
          <w:i/>
          <w:lang w:val="fr-FR"/>
        </w:rPr>
        <w:t>Annexe 3, paragraphe 3.2.5.3.2.1</w:t>
      </w:r>
      <w:r w:rsidRPr="001D0561">
        <w:rPr>
          <w:lang w:val="fr-FR"/>
        </w:rPr>
        <w:t xml:space="preserve">, </w:t>
      </w:r>
      <w:r w:rsidR="001D0561">
        <w:rPr>
          <w:lang w:val="fr-FR"/>
        </w:rPr>
        <w:t>lire </w:t>
      </w:r>
      <w:r w:rsidRPr="001D0561">
        <w:rPr>
          <w:lang w:val="fr-FR"/>
        </w:rPr>
        <w:t>:</w:t>
      </w:r>
    </w:p>
    <w:p w:rsidR="00732960" w:rsidRPr="00B20635" w:rsidRDefault="00664988" w:rsidP="00611CB7">
      <w:pPr>
        <w:pStyle w:val="SingleTxtG"/>
        <w:keepNext/>
        <w:ind w:left="2268" w:hanging="1134"/>
        <w:jc w:val="left"/>
        <w:rPr>
          <w:b/>
          <w:lang w:val="fr-FR"/>
        </w:rPr>
      </w:pPr>
      <w:r>
        <w:rPr>
          <w:lang w:val="fr-FR"/>
        </w:rPr>
        <w:t>« 3.2.5.3.2.1</w:t>
      </w:r>
      <w:r w:rsidR="00732960" w:rsidRPr="00B20635">
        <w:rPr>
          <w:lang w:val="fr-FR"/>
        </w:rPr>
        <w:tab/>
      </w:r>
      <w:r w:rsidR="00732960" w:rsidRPr="00B20635">
        <w:rPr>
          <w:bCs/>
          <w:lang w:val="fr-FR"/>
        </w:rPr>
        <w:t>Régime moteur recherché</w:t>
      </w:r>
    </w:p>
    <w:p w:rsidR="00732960" w:rsidRPr="00B20635" w:rsidRDefault="00732960" w:rsidP="00664988">
      <w:pPr>
        <w:pStyle w:val="SingleTxtG"/>
        <w:ind w:left="2268"/>
        <w:rPr>
          <w:lang w:val="fr-FR"/>
        </w:rPr>
      </w:pPr>
      <w:r w:rsidRPr="00B20635">
        <w:rPr>
          <w:lang w:val="fr-FR"/>
        </w:rPr>
        <w:t xml:space="preserve">Le régime </w:t>
      </w:r>
      <w:r>
        <w:rPr>
          <w:lang w:val="fr-FR"/>
        </w:rPr>
        <w:t xml:space="preserve">moteur </w:t>
      </w:r>
      <w:r w:rsidRPr="00B20635">
        <w:rPr>
          <w:lang w:val="fr-FR"/>
        </w:rPr>
        <w:t>recherché se définit comme suit</w:t>
      </w:r>
      <w:r w:rsidR="00187C6F">
        <w:rPr>
          <w:lang w:val="fr-FR"/>
        </w:rPr>
        <w:t> </w:t>
      </w:r>
      <w:r w:rsidRPr="00B20635">
        <w:rPr>
          <w:lang w:val="fr-FR"/>
        </w:rPr>
        <w:t>:</w:t>
      </w:r>
    </w:p>
    <w:p w:rsidR="00732960" w:rsidRPr="00B20635" w:rsidRDefault="00732960" w:rsidP="00664988">
      <w:pPr>
        <w:pStyle w:val="SingleTxtG"/>
        <w:ind w:left="2835" w:hanging="567"/>
        <w:rPr>
          <w:lang w:val="fr-FR"/>
        </w:rPr>
      </w:pPr>
      <w:r w:rsidRPr="00B20635">
        <w:rPr>
          <w:lang w:val="fr-FR"/>
        </w:rPr>
        <w:t>a)</w:t>
      </w:r>
      <w:r w:rsidRPr="00B20635">
        <w:rPr>
          <w:lang w:val="fr-FR"/>
        </w:rPr>
        <w:tab/>
        <w:t xml:space="preserve">75 % du régime nominal S pour les véhicules </w:t>
      </w:r>
      <w:r w:rsidR="00611CB7">
        <w:rPr>
          <w:lang w:val="fr-FR"/>
        </w:rPr>
        <w:t>dont le régime moteur nominal ≤</w:t>
      </w:r>
      <w:r w:rsidRPr="00B20635">
        <w:rPr>
          <w:lang w:val="fr-FR"/>
        </w:rPr>
        <w:t>5 000 tr/min</w:t>
      </w:r>
      <w:r w:rsidR="00611CB7">
        <w:rPr>
          <w:lang w:val="fr-FR"/>
        </w:rPr>
        <w:t> </w:t>
      </w:r>
      <w:r w:rsidRPr="00B20635">
        <w:rPr>
          <w:lang w:val="fr-FR"/>
        </w:rPr>
        <w:t>;</w:t>
      </w:r>
    </w:p>
    <w:p w:rsidR="00732960" w:rsidRPr="00B20635" w:rsidRDefault="00732960" w:rsidP="00664988">
      <w:pPr>
        <w:pStyle w:val="SingleTxtG"/>
        <w:ind w:left="2835" w:hanging="567"/>
        <w:rPr>
          <w:lang w:val="fr-FR"/>
        </w:rPr>
      </w:pPr>
      <w:r w:rsidRPr="00B20635">
        <w:rPr>
          <w:lang w:val="fr-FR"/>
        </w:rPr>
        <w:t>b)</w:t>
      </w:r>
      <w:r w:rsidRPr="00B20635">
        <w:rPr>
          <w:lang w:val="fr-FR"/>
        </w:rPr>
        <w:tab/>
        <w:t xml:space="preserve">3 750 tr/min pour les véhicules </w:t>
      </w:r>
      <w:r w:rsidR="00611CB7">
        <w:rPr>
          <w:lang w:val="fr-FR"/>
        </w:rPr>
        <w:t>dont le régime moteur nominal &gt;</w:t>
      </w:r>
      <w:r w:rsidRPr="00B20635">
        <w:rPr>
          <w:lang w:val="fr-FR"/>
        </w:rPr>
        <w:t>5 000 tr</w:t>
      </w:r>
      <w:r w:rsidR="00611CB7">
        <w:rPr>
          <w:lang w:val="fr-FR"/>
        </w:rPr>
        <w:t>/min et &lt;</w:t>
      </w:r>
      <w:r w:rsidRPr="00B20635">
        <w:rPr>
          <w:lang w:val="fr-FR"/>
        </w:rPr>
        <w:t>7 500 tr/min</w:t>
      </w:r>
      <w:r w:rsidR="00611CB7">
        <w:rPr>
          <w:lang w:val="fr-FR"/>
        </w:rPr>
        <w:t> </w:t>
      </w:r>
      <w:r w:rsidRPr="00B20635">
        <w:rPr>
          <w:lang w:val="fr-FR"/>
        </w:rPr>
        <w:t>;</w:t>
      </w:r>
    </w:p>
    <w:p w:rsidR="00732960" w:rsidRPr="00B20635" w:rsidRDefault="00732960" w:rsidP="00664988">
      <w:pPr>
        <w:pStyle w:val="SingleTxtG"/>
        <w:ind w:left="2835" w:hanging="567"/>
        <w:rPr>
          <w:lang w:val="fr-FR"/>
        </w:rPr>
      </w:pPr>
      <w:r w:rsidRPr="00B20635">
        <w:rPr>
          <w:lang w:val="fr-FR"/>
        </w:rPr>
        <w:t>c)</w:t>
      </w:r>
      <w:r w:rsidRPr="00B20635">
        <w:rPr>
          <w:lang w:val="fr-FR"/>
        </w:rPr>
        <w:tab/>
        <w:t xml:space="preserve">50 % du régime nominal S pour les véhicules </w:t>
      </w:r>
      <w:r w:rsidR="00611CB7">
        <w:rPr>
          <w:lang w:val="fr-FR"/>
        </w:rPr>
        <w:t>dont le régime moteur nominal ≥</w:t>
      </w:r>
      <w:r w:rsidRPr="00B20635">
        <w:rPr>
          <w:lang w:val="fr-FR"/>
        </w:rPr>
        <w:t>7 500 tr/min.</w:t>
      </w:r>
    </w:p>
    <w:p w:rsidR="00732960" w:rsidRPr="00B20635" w:rsidRDefault="00732960" w:rsidP="00664988">
      <w:pPr>
        <w:pStyle w:val="SingleTxtG"/>
        <w:ind w:left="2268"/>
        <w:rPr>
          <w:lang w:val="fr-FR"/>
        </w:rPr>
      </w:pPr>
      <w:r w:rsidRPr="00B20635">
        <w:rPr>
          <w:lang w:val="fr-FR"/>
        </w:rPr>
        <w:t xml:space="preserve">Si le véhicule ne peut pas atteindre le régime indiqué ci-dessus, le régime recherché doit être de 5 % inférieur au régime maximal possible </w:t>
      </w:r>
      <w:r>
        <w:rPr>
          <w:lang w:val="fr-FR"/>
        </w:rPr>
        <w:t>pendant</w:t>
      </w:r>
      <w:r w:rsidRPr="00B20635">
        <w:rPr>
          <w:lang w:val="fr-FR"/>
        </w:rPr>
        <w:t xml:space="preserve"> l</w:t>
      </w:r>
      <w:r>
        <w:rPr>
          <w:lang w:val="fr-FR"/>
        </w:rPr>
        <w:t>’</w:t>
      </w:r>
      <w:r w:rsidRPr="00B20635">
        <w:rPr>
          <w:lang w:val="fr-FR"/>
        </w:rPr>
        <w:t>essai à l</w:t>
      </w:r>
      <w:r>
        <w:rPr>
          <w:lang w:val="fr-FR"/>
        </w:rPr>
        <w:t>’</w:t>
      </w:r>
      <w:r w:rsidRPr="00B20635">
        <w:rPr>
          <w:lang w:val="fr-FR"/>
        </w:rPr>
        <w:t>arrêt.</w:t>
      </w:r>
    </w:p>
    <w:p w:rsidR="00732960" w:rsidRPr="00B20635" w:rsidRDefault="00732960" w:rsidP="00611CB7">
      <w:pPr>
        <w:pStyle w:val="SingleTxtG"/>
        <w:ind w:left="2268"/>
        <w:rPr>
          <w:highlight w:val="yellow"/>
          <w:lang w:val="fr-FR"/>
        </w:rPr>
      </w:pPr>
      <w:r w:rsidRPr="00611CB7">
        <w:rPr>
          <w:b/>
          <w:lang w:val="fr-FR"/>
        </w:rPr>
        <w:t xml:space="preserve">Pour les véhicules dont le régime moteur est une valeur fixe (notamment les véhicules hybrides série) supérieure ou inférieure au </w:t>
      </w:r>
      <w:r w:rsidRPr="00187C6F">
        <w:rPr>
          <w:b/>
          <w:lang w:val="fr-FR"/>
        </w:rPr>
        <w:t>régime moteur recherché</w:t>
      </w:r>
      <w:r w:rsidRPr="00611CB7">
        <w:rPr>
          <w:b/>
          <w:lang w:val="fr-FR"/>
        </w:rPr>
        <w:t>, qui ne peut pas être modifiée au moyen de l’accélérateur, l’essai est effectué au régime moteur fixe.</w:t>
      </w:r>
      <w:r w:rsidR="00611CB7">
        <w:rPr>
          <w:lang w:val="fr-FR"/>
        </w:rPr>
        <w:t> »</w:t>
      </w:r>
      <w:r>
        <w:rPr>
          <w:lang w:val="fr-FR"/>
        </w:rPr>
        <w:t>.</w:t>
      </w:r>
    </w:p>
    <w:p w:rsidR="00732960" w:rsidRPr="00B20635" w:rsidRDefault="00732960" w:rsidP="001D0561">
      <w:pPr>
        <w:pStyle w:val="SingleTxtG"/>
        <w:keepNext/>
        <w:rPr>
          <w:lang w:val="fr-FR"/>
        </w:rPr>
      </w:pPr>
      <w:r w:rsidRPr="00B20635">
        <w:rPr>
          <w:i/>
          <w:lang w:val="fr-FR"/>
        </w:rPr>
        <w:t>Annexe 3, paragraphe 3.2.6</w:t>
      </w:r>
      <w:r w:rsidRPr="00611CB7">
        <w:rPr>
          <w:lang w:val="fr-FR"/>
        </w:rPr>
        <w:t>, lire</w:t>
      </w:r>
      <w:r w:rsidR="00611CB7">
        <w:rPr>
          <w:lang w:val="fr-FR"/>
        </w:rPr>
        <w:t> </w:t>
      </w:r>
      <w:r w:rsidRPr="00611CB7">
        <w:rPr>
          <w:lang w:val="fr-FR"/>
        </w:rPr>
        <w:t>:</w:t>
      </w:r>
    </w:p>
    <w:p w:rsidR="00732960" w:rsidRPr="00B20635" w:rsidRDefault="00611CB7" w:rsidP="00611CB7">
      <w:pPr>
        <w:pStyle w:val="SingleTxtG"/>
        <w:keepNext/>
        <w:ind w:left="2268" w:hanging="1134"/>
        <w:jc w:val="left"/>
        <w:rPr>
          <w:lang w:val="fr-FR"/>
        </w:rPr>
      </w:pPr>
      <w:r>
        <w:rPr>
          <w:lang w:val="fr-FR"/>
        </w:rPr>
        <w:t>« 3.2.6</w:t>
      </w:r>
      <w:r>
        <w:rPr>
          <w:lang w:val="fr-FR"/>
        </w:rPr>
        <w:tab/>
      </w:r>
      <w:r>
        <w:rPr>
          <w:lang w:val="fr-FR"/>
        </w:rPr>
        <w:tab/>
        <w:t>Résultats</w:t>
      </w:r>
    </w:p>
    <w:p w:rsidR="00732960" w:rsidRPr="00B20635" w:rsidRDefault="00732960" w:rsidP="00605A6F">
      <w:pPr>
        <w:pStyle w:val="SingleTxtG"/>
        <w:ind w:left="2268"/>
        <w:rPr>
          <w:lang w:val="fr-FR"/>
        </w:rPr>
      </w:pPr>
      <w:r w:rsidRPr="00B20635">
        <w:rPr>
          <w:lang w:val="fr-FR"/>
        </w:rPr>
        <w:t>Trois mesures au moins doivent être effectuées pour chaque position d</w:t>
      </w:r>
      <w:r>
        <w:rPr>
          <w:lang w:val="fr-FR"/>
        </w:rPr>
        <w:t>’</w:t>
      </w:r>
      <w:r w:rsidRPr="00B20635">
        <w:rPr>
          <w:lang w:val="fr-FR"/>
        </w:rPr>
        <w:t xml:space="preserve">essai </w:t>
      </w:r>
      <w:r w:rsidRPr="00605A6F">
        <w:rPr>
          <w:lang w:val="fr-FR"/>
        </w:rPr>
        <w:t>(</w:t>
      </w:r>
      <w:r w:rsidRPr="00187C6F">
        <w:rPr>
          <w:b/>
          <w:lang w:val="fr-FR"/>
        </w:rPr>
        <w:t>sortie d’échappement</w:t>
      </w:r>
      <w:r w:rsidRPr="00605A6F">
        <w:rPr>
          <w:lang w:val="fr-FR"/>
        </w:rPr>
        <w:t>)</w:t>
      </w:r>
      <w:r w:rsidRPr="00B20635">
        <w:rPr>
          <w:lang w:val="fr-FR"/>
        </w:rPr>
        <w:t>. Le niveau sonore maximal pondéré selon la courbe</w:t>
      </w:r>
      <w:r w:rsidR="007A0A8C">
        <w:rPr>
          <w:lang w:val="fr-FR"/>
        </w:rPr>
        <w:t> </w:t>
      </w:r>
      <w:r w:rsidRPr="00B20635">
        <w:rPr>
          <w:lang w:val="fr-FR"/>
        </w:rPr>
        <w:t>A relevé lors de chacune des trois mesures doit être consigné. Les trois premiers résultats valides de mesures consécutives, situés dans une fourchette de 2</w:t>
      </w:r>
      <w:r w:rsidR="007A0A8C">
        <w:rPr>
          <w:lang w:val="fr-FR"/>
        </w:rPr>
        <w:t> </w:t>
      </w:r>
      <w:r w:rsidRPr="00B20635">
        <w:rPr>
          <w:lang w:val="fr-FR"/>
        </w:rPr>
        <w:t>dB(A), après suppression des résultats non valides (voir par. 2.1, hormis les spécifications concernant le terrain d</w:t>
      </w:r>
      <w:r>
        <w:rPr>
          <w:lang w:val="fr-FR"/>
        </w:rPr>
        <w:t>’</w:t>
      </w:r>
      <w:r w:rsidRPr="00B20635">
        <w:rPr>
          <w:lang w:val="fr-FR"/>
        </w:rPr>
        <w:t xml:space="preserve">essai), sont utilisés pour calculer le résultat final pour une position de mesure donnée. </w:t>
      </w:r>
    </w:p>
    <w:p w:rsidR="00732960" w:rsidRPr="00605A6F" w:rsidRDefault="00732960" w:rsidP="00605A6F">
      <w:pPr>
        <w:pStyle w:val="SingleTxtG"/>
        <w:ind w:left="2268"/>
        <w:rPr>
          <w:b/>
          <w:lang w:val="fr-FR"/>
        </w:rPr>
      </w:pPr>
      <w:r w:rsidRPr="00605A6F">
        <w:rPr>
          <w:b/>
          <w:lang w:val="fr-FR"/>
        </w:rPr>
        <w:t>Pour chacune des sorties d’échappement, le résultat de l’essai est la moyenne arithmétique des trois valeurs valables obtenues, arrondie au chiffre entier le plus proche (par exemple,</w:t>
      </w:r>
      <w:r w:rsidR="00605A6F">
        <w:rPr>
          <w:b/>
          <w:lang w:val="fr-FR"/>
        </w:rPr>
        <w:t xml:space="preserve"> </w:t>
      </w:r>
      <w:r w:rsidRPr="00605A6F">
        <w:rPr>
          <w:b/>
          <w:lang w:val="fr-FR"/>
        </w:rPr>
        <w:t>73 pour 72,5, et</w:t>
      </w:r>
      <w:r w:rsidR="00605A6F">
        <w:rPr>
          <w:b/>
          <w:lang w:val="fr-FR"/>
        </w:rPr>
        <w:t xml:space="preserve"> </w:t>
      </w:r>
      <w:r w:rsidRPr="00605A6F">
        <w:rPr>
          <w:b/>
          <w:lang w:val="fr-FR"/>
        </w:rPr>
        <w:t>72 pour 72,4).</w:t>
      </w:r>
    </w:p>
    <w:p w:rsidR="00732960" w:rsidRPr="00605A6F" w:rsidRDefault="00732960" w:rsidP="00605A6F">
      <w:pPr>
        <w:pStyle w:val="SingleTxtG"/>
        <w:ind w:left="2268"/>
        <w:rPr>
          <w:b/>
          <w:lang w:val="fr-FR"/>
        </w:rPr>
      </w:pPr>
      <w:r w:rsidRPr="00605A6F">
        <w:rPr>
          <w:b/>
          <w:lang w:val="fr-FR"/>
        </w:rPr>
        <w:t>Sur les véhicules équipés de sorties d’échappement multiples, la valeur de pression acoustique retenue est celle relevée sur la sortie présentant la pression acoustique moyenne la plus élevée.</w:t>
      </w:r>
    </w:p>
    <w:p w:rsidR="00732960" w:rsidRPr="00605A6F" w:rsidRDefault="00732960" w:rsidP="00605A6F">
      <w:pPr>
        <w:pStyle w:val="SingleTxtG"/>
        <w:ind w:left="2268"/>
        <w:rPr>
          <w:b/>
          <w:lang w:val="fr-FR"/>
        </w:rPr>
      </w:pPr>
      <w:r w:rsidRPr="00605A6F">
        <w:rPr>
          <w:b/>
          <w:lang w:val="fr-FR"/>
        </w:rPr>
        <w:t>Sur les véhicules équipés d’un système d’échappement à modes multiples et d’une commande manuelle de mode, la valeur de pression acoustique retenue est celle obtenue dans le mode présentant la pression acoustique moyenne la plus élevée.</w:t>
      </w:r>
    </w:p>
    <w:p w:rsidR="00732960" w:rsidRPr="00B20635" w:rsidRDefault="00732960" w:rsidP="00605A6F">
      <w:pPr>
        <w:pStyle w:val="SingleTxtG"/>
        <w:ind w:left="2268"/>
        <w:rPr>
          <w:strike/>
          <w:lang w:val="fr-FR"/>
        </w:rPr>
      </w:pPr>
      <w:r w:rsidRPr="00B20635">
        <w:rPr>
          <w:strike/>
          <w:lang w:val="fr-FR"/>
        </w:rPr>
        <w:t>Le résultat final est le niveau sonore maximal, pour toutes les positions de mesure et les trois résultats de mesure.</w:t>
      </w:r>
      <w:r w:rsidR="00605A6F">
        <w:rPr>
          <w:lang w:val="fr-FR"/>
        </w:rPr>
        <w:t> »</w:t>
      </w:r>
      <w:r w:rsidRPr="00605A6F">
        <w:rPr>
          <w:lang w:val="fr-FR"/>
        </w:rPr>
        <w:t>.</w:t>
      </w:r>
    </w:p>
    <w:p w:rsidR="00732960" w:rsidRPr="00B20635" w:rsidRDefault="00605A6F" w:rsidP="00605A6F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732960" w:rsidRPr="00B20635">
        <w:rPr>
          <w:lang w:val="fr-FR"/>
        </w:rPr>
        <w:t>II.</w:t>
      </w:r>
      <w:r w:rsidR="00732960" w:rsidRPr="00B20635">
        <w:rPr>
          <w:lang w:val="fr-FR"/>
        </w:rPr>
        <w:tab/>
        <w:t>Justification</w:t>
      </w:r>
    </w:p>
    <w:p w:rsidR="00732960" w:rsidRPr="00B20635" w:rsidRDefault="00732960" w:rsidP="00605A6F">
      <w:pPr>
        <w:pStyle w:val="SingleTxtG"/>
        <w:keepNext/>
        <w:rPr>
          <w:lang w:val="fr-FR"/>
        </w:rPr>
      </w:pPr>
      <w:r w:rsidRPr="00605A6F">
        <w:rPr>
          <w:bCs/>
          <w:i/>
          <w:lang w:val="fr-FR"/>
        </w:rPr>
        <w:t>Texte principal</w:t>
      </w:r>
      <w:r w:rsidRPr="00605A6F">
        <w:rPr>
          <w:i/>
          <w:lang w:val="fr-FR"/>
        </w:rPr>
        <w:t>, paragraphe 11.12</w:t>
      </w:r>
    </w:p>
    <w:p w:rsidR="00732960" w:rsidRPr="00B20635" w:rsidRDefault="00732960" w:rsidP="00605A6F">
      <w:pPr>
        <w:pStyle w:val="SingleTxtG"/>
        <w:rPr>
          <w:lang w:val="fr-FR"/>
        </w:rPr>
      </w:pPr>
      <w:r w:rsidRPr="00B20635">
        <w:rPr>
          <w:lang w:val="fr-FR"/>
        </w:rPr>
        <w:t>1.</w:t>
      </w:r>
      <w:r w:rsidRPr="00B20635">
        <w:rPr>
          <w:lang w:val="fr-FR"/>
        </w:rPr>
        <w:tab/>
        <w:t>En raison de la révision 3 de l</w:t>
      </w:r>
      <w:r>
        <w:rPr>
          <w:lang w:val="fr-FR"/>
        </w:rPr>
        <w:t>’</w:t>
      </w:r>
      <w:r w:rsidRPr="00B20635">
        <w:rPr>
          <w:lang w:val="fr-FR"/>
        </w:rPr>
        <w:t>Accord de 1958 et de l</w:t>
      </w:r>
      <w:r>
        <w:rPr>
          <w:lang w:val="fr-FR"/>
        </w:rPr>
        <w:t>’</w:t>
      </w:r>
      <w:r w:rsidRPr="00B20635">
        <w:rPr>
          <w:lang w:val="fr-FR"/>
        </w:rPr>
        <w:t>introduction d</w:t>
      </w:r>
      <w:r>
        <w:rPr>
          <w:lang w:val="fr-FR"/>
        </w:rPr>
        <w:t>’</w:t>
      </w:r>
      <w:r w:rsidRPr="00B20635">
        <w:rPr>
          <w:lang w:val="fr-FR"/>
        </w:rPr>
        <w:t>une disposition transitoire dans le complément 3, il est nécessaire d</w:t>
      </w:r>
      <w:r>
        <w:rPr>
          <w:lang w:val="fr-FR"/>
        </w:rPr>
        <w:t>’</w:t>
      </w:r>
      <w:r w:rsidRPr="00B20635">
        <w:rPr>
          <w:lang w:val="fr-FR"/>
        </w:rPr>
        <w:t xml:space="preserve">introduire également une disposition transitoire dans le complément 6. La date de mise en application </w:t>
      </w:r>
      <w:r>
        <w:rPr>
          <w:lang w:val="fr-FR"/>
        </w:rPr>
        <w:t xml:space="preserve">indiquée </w:t>
      </w:r>
      <w:r w:rsidRPr="00B20635">
        <w:rPr>
          <w:lang w:val="fr-FR"/>
        </w:rPr>
        <w:t>dans le complément 6 est la même que dans le complément 3.</w:t>
      </w:r>
    </w:p>
    <w:p w:rsidR="00732960" w:rsidRPr="00B20635" w:rsidRDefault="007A0A8C" w:rsidP="00605A6F">
      <w:pPr>
        <w:pStyle w:val="SingleTxtG"/>
        <w:keepNext/>
        <w:rPr>
          <w:i/>
          <w:lang w:val="fr-FR"/>
        </w:rPr>
      </w:pPr>
      <w:r>
        <w:rPr>
          <w:i/>
          <w:iCs/>
          <w:lang w:val="fr-FR"/>
        </w:rPr>
        <w:t>Annexe 3, paragraphe 3.2.5.3</w:t>
      </w:r>
    </w:p>
    <w:p w:rsidR="00732960" w:rsidRPr="00B20635" w:rsidRDefault="00732960" w:rsidP="00605A6F">
      <w:pPr>
        <w:pStyle w:val="SingleTxtG"/>
        <w:rPr>
          <w:i/>
          <w:iCs/>
          <w:lang w:val="fr-FR"/>
        </w:rPr>
      </w:pPr>
      <w:r w:rsidRPr="00B20635">
        <w:rPr>
          <w:lang w:val="fr-FR"/>
        </w:rPr>
        <w:t>2.</w:t>
      </w:r>
      <w:r w:rsidRPr="00B20635">
        <w:rPr>
          <w:lang w:val="fr-FR"/>
        </w:rPr>
        <w:tab/>
      </w:r>
      <w:r>
        <w:rPr>
          <w:lang w:val="fr-FR"/>
        </w:rPr>
        <w:t>Le renvoi</w:t>
      </w:r>
      <w:r w:rsidRPr="00B20635">
        <w:rPr>
          <w:lang w:val="fr-FR"/>
        </w:rPr>
        <w:t xml:space="preserve"> à la figure a été modifié.</w:t>
      </w:r>
    </w:p>
    <w:p w:rsidR="00732960" w:rsidRPr="00B20635" w:rsidRDefault="00732960" w:rsidP="00605A6F">
      <w:pPr>
        <w:pStyle w:val="SingleTxtG"/>
        <w:keepNext/>
        <w:rPr>
          <w:i/>
          <w:lang w:val="fr-FR"/>
        </w:rPr>
      </w:pPr>
      <w:r w:rsidRPr="00B20635">
        <w:rPr>
          <w:i/>
          <w:iCs/>
          <w:lang w:val="fr-FR"/>
        </w:rPr>
        <w:t>A</w:t>
      </w:r>
      <w:r w:rsidR="00605A6F">
        <w:rPr>
          <w:i/>
          <w:iCs/>
          <w:lang w:val="fr-FR"/>
        </w:rPr>
        <w:t>nnexe 3, paragraphe 3.2.5.3.2.1</w:t>
      </w:r>
    </w:p>
    <w:p w:rsidR="00732960" w:rsidRPr="00B20635" w:rsidRDefault="00732960" w:rsidP="00605A6F">
      <w:pPr>
        <w:pStyle w:val="SingleTxtG"/>
        <w:rPr>
          <w:lang w:val="fr-FR"/>
        </w:rPr>
      </w:pPr>
      <w:r w:rsidRPr="00B20635">
        <w:rPr>
          <w:lang w:val="fr-FR"/>
        </w:rPr>
        <w:t>3.</w:t>
      </w:r>
      <w:r w:rsidRPr="00B20635">
        <w:rPr>
          <w:lang w:val="fr-FR"/>
        </w:rPr>
        <w:tab/>
        <w:t>Tout véhicule équipé d</w:t>
      </w:r>
      <w:r>
        <w:rPr>
          <w:lang w:val="fr-FR"/>
        </w:rPr>
        <w:t>’</w:t>
      </w:r>
      <w:r w:rsidRPr="00B20635">
        <w:rPr>
          <w:lang w:val="fr-FR"/>
        </w:rPr>
        <w:t>un moteur à combustion interne pouvant fonctionner quand le véhicule est à l</w:t>
      </w:r>
      <w:r>
        <w:rPr>
          <w:lang w:val="fr-FR"/>
        </w:rPr>
        <w:t>’</w:t>
      </w:r>
      <w:r w:rsidRPr="00B20635">
        <w:rPr>
          <w:lang w:val="fr-FR"/>
        </w:rPr>
        <w:t xml:space="preserve">arrêt doit avoir un </w:t>
      </w:r>
      <w:r w:rsidRPr="00B20635">
        <w:rPr>
          <w:bCs/>
          <w:lang w:val="fr-FR"/>
        </w:rPr>
        <w:t>mode d</w:t>
      </w:r>
      <w:r>
        <w:rPr>
          <w:bCs/>
          <w:lang w:val="fr-FR"/>
        </w:rPr>
        <w:t>’</w:t>
      </w:r>
      <w:r w:rsidRPr="00B20635">
        <w:rPr>
          <w:bCs/>
          <w:lang w:val="fr-FR"/>
        </w:rPr>
        <w:t>essai</w:t>
      </w:r>
      <w:r w:rsidRPr="00B20635">
        <w:rPr>
          <w:b/>
          <w:bCs/>
          <w:lang w:val="fr-FR"/>
        </w:rPr>
        <w:t xml:space="preserve"> </w:t>
      </w:r>
      <w:r w:rsidRPr="00B20635">
        <w:rPr>
          <w:bCs/>
          <w:lang w:val="fr-FR"/>
        </w:rPr>
        <w:t>valide</w:t>
      </w:r>
      <w:r w:rsidRPr="00B20635">
        <w:rPr>
          <w:b/>
          <w:bCs/>
          <w:lang w:val="fr-FR"/>
        </w:rPr>
        <w:t xml:space="preserve"> </w:t>
      </w:r>
      <w:r w:rsidRPr="00B20635">
        <w:rPr>
          <w:lang w:val="fr-FR"/>
        </w:rPr>
        <w:t>pour le bruit à l</w:t>
      </w:r>
      <w:r>
        <w:rPr>
          <w:lang w:val="fr-FR"/>
        </w:rPr>
        <w:t>’</w:t>
      </w:r>
      <w:r w:rsidRPr="00B20635">
        <w:rPr>
          <w:lang w:val="fr-FR"/>
        </w:rPr>
        <w:t xml:space="preserve">arrêt. Certains véhicules ne peuvent pas atteindre le </w:t>
      </w:r>
      <w:r w:rsidRPr="00B20635">
        <w:rPr>
          <w:iCs/>
          <w:lang w:val="fr-FR"/>
        </w:rPr>
        <w:t xml:space="preserve">régime moteur recherché </w:t>
      </w:r>
      <w:r w:rsidRPr="00B20635">
        <w:rPr>
          <w:lang w:val="fr-FR"/>
        </w:rPr>
        <w:t xml:space="preserve">en raison de la technologie dont ils sont équipés, par exemple les véhicules électriques </w:t>
      </w:r>
      <w:r w:rsidRPr="00B20635">
        <w:rPr>
          <w:bCs/>
          <w:lang w:val="fr-FR"/>
        </w:rPr>
        <w:t>à autonomie prolongée</w:t>
      </w:r>
      <w:r w:rsidRPr="00B20635">
        <w:rPr>
          <w:b/>
          <w:bCs/>
          <w:lang w:val="fr-FR"/>
        </w:rPr>
        <w:t xml:space="preserve"> </w:t>
      </w:r>
      <w:r w:rsidRPr="00B20635">
        <w:rPr>
          <w:lang w:val="fr-FR"/>
        </w:rPr>
        <w:t xml:space="preserve">ou les véhicules électriques hybrides (VEH), dans lesquels le moteur fonctionne comme un </w:t>
      </w:r>
      <w:r w:rsidRPr="00B20635">
        <w:rPr>
          <w:bCs/>
          <w:lang w:val="fr-FR"/>
        </w:rPr>
        <w:t>générateur</w:t>
      </w:r>
      <w:r w:rsidRPr="00B20635">
        <w:rPr>
          <w:b/>
          <w:bCs/>
          <w:lang w:val="fr-FR"/>
        </w:rPr>
        <w:t xml:space="preserve"> </w:t>
      </w:r>
      <w:r w:rsidRPr="00B20635">
        <w:rPr>
          <w:lang w:val="fr-FR"/>
        </w:rPr>
        <w:t>électrique. Cette spécification a été ajoutée pour ce type de véhicules afin que leur régime moteur à l</w:t>
      </w:r>
      <w:r>
        <w:rPr>
          <w:lang w:val="fr-FR"/>
        </w:rPr>
        <w:t>’</w:t>
      </w:r>
      <w:r w:rsidRPr="00B20635">
        <w:rPr>
          <w:lang w:val="fr-FR"/>
        </w:rPr>
        <w:t>arrêt soit approprié pour l</w:t>
      </w:r>
      <w:r>
        <w:rPr>
          <w:lang w:val="fr-FR"/>
        </w:rPr>
        <w:t>’</w:t>
      </w:r>
      <w:r w:rsidRPr="00B20635">
        <w:rPr>
          <w:lang w:val="fr-FR"/>
        </w:rPr>
        <w:t>essai.</w:t>
      </w:r>
    </w:p>
    <w:p w:rsidR="00732960" w:rsidRPr="00605A6F" w:rsidRDefault="00605A6F" w:rsidP="00605A6F">
      <w:pPr>
        <w:pStyle w:val="SingleTxtG"/>
        <w:keepNext/>
        <w:rPr>
          <w:i/>
          <w:lang w:val="fr-FR"/>
        </w:rPr>
      </w:pPr>
      <w:r w:rsidRPr="00605A6F">
        <w:rPr>
          <w:i/>
          <w:lang w:val="fr-FR"/>
        </w:rPr>
        <w:t>Annexe 3, paragraphe 3.2.6</w:t>
      </w:r>
    </w:p>
    <w:p w:rsidR="00F9573C" w:rsidRDefault="00732960" w:rsidP="00605A6F">
      <w:pPr>
        <w:pStyle w:val="SingleTxtG"/>
        <w:rPr>
          <w:lang w:val="fr-FR"/>
        </w:rPr>
      </w:pPr>
      <w:r w:rsidRPr="00B20635">
        <w:rPr>
          <w:lang w:val="fr-FR"/>
        </w:rPr>
        <w:t>4.</w:t>
      </w:r>
      <w:r w:rsidRPr="00B20635">
        <w:rPr>
          <w:lang w:val="fr-FR"/>
        </w:rPr>
        <w:tab/>
        <w:t>Les résultats des mesures au niveau d</w:t>
      </w:r>
      <w:r>
        <w:rPr>
          <w:lang w:val="fr-FR"/>
        </w:rPr>
        <w:t>’</w:t>
      </w:r>
      <w:r w:rsidRPr="00B20635">
        <w:rPr>
          <w:lang w:val="fr-FR"/>
        </w:rPr>
        <w:t>une sortie d</w:t>
      </w:r>
      <w:r>
        <w:rPr>
          <w:lang w:val="fr-FR"/>
        </w:rPr>
        <w:t>’</w:t>
      </w:r>
      <w:r w:rsidRPr="00B20635">
        <w:rPr>
          <w:lang w:val="fr-FR"/>
        </w:rPr>
        <w:t xml:space="preserve">échappement et les </w:t>
      </w:r>
      <w:r w:rsidRPr="00B20635">
        <w:rPr>
          <w:bCs/>
          <w:lang w:val="fr-FR"/>
        </w:rPr>
        <w:t>résultats notifiés</w:t>
      </w:r>
      <w:r w:rsidRPr="00B20635">
        <w:rPr>
          <w:b/>
          <w:bCs/>
          <w:lang w:val="fr-FR"/>
        </w:rPr>
        <w:t xml:space="preserve"> </w:t>
      </w:r>
      <w:r w:rsidRPr="00B20635">
        <w:rPr>
          <w:lang w:val="fr-FR"/>
        </w:rPr>
        <w:t>pour plusieurs sorties et modes sont décrits de manière plus précise. Un texte révisé concernant le calcul du résultat final et le traitement des résultats a été ajouté de manière à s</w:t>
      </w:r>
      <w:r>
        <w:rPr>
          <w:lang w:val="fr-FR"/>
        </w:rPr>
        <w:t>’</w:t>
      </w:r>
      <w:r w:rsidRPr="00B20635">
        <w:rPr>
          <w:lang w:val="fr-FR"/>
        </w:rPr>
        <w:t xml:space="preserve">aligner sur les pratiques générales de mesure du son et les résultats moyens, comme le prévoit le Règlement </w:t>
      </w:r>
      <w:r w:rsidRPr="00B20635">
        <w:rPr>
          <w:bCs/>
          <w:lang w:val="fr-FR"/>
        </w:rPr>
        <w:t xml:space="preserve">ONU </w:t>
      </w:r>
      <w:r w:rsidR="00113462" w:rsidRPr="00113462">
        <w:rPr>
          <w:rFonts w:eastAsia="MS Mincho"/>
          <w:bCs/>
          <w:lang w:val="fr-FR"/>
        </w:rPr>
        <w:t>n</w:t>
      </w:r>
      <w:r w:rsidR="00113462" w:rsidRPr="00113462">
        <w:rPr>
          <w:rFonts w:eastAsia="MS Mincho"/>
          <w:bCs/>
          <w:vertAlign w:val="superscript"/>
          <w:lang w:val="fr-FR"/>
        </w:rPr>
        <w:t>o</w:t>
      </w:r>
      <w:r w:rsidR="00113462">
        <w:rPr>
          <w:bCs/>
          <w:lang w:val="fr-FR"/>
        </w:rPr>
        <w:t> </w:t>
      </w:r>
      <w:r w:rsidRPr="00B20635">
        <w:rPr>
          <w:bCs/>
          <w:lang w:val="fr-FR"/>
        </w:rPr>
        <w:t>51</w:t>
      </w:r>
      <w:r w:rsidRPr="00B20635">
        <w:rPr>
          <w:b/>
          <w:bCs/>
          <w:lang w:val="fr-FR"/>
        </w:rPr>
        <w:t xml:space="preserve"> </w:t>
      </w:r>
      <w:r w:rsidRPr="00B20635">
        <w:rPr>
          <w:lang w:val="fr-FR"/>
        </w:rPr>
        <w:t xml:space="preserve">pour les essais en marche, et sur les </w:t>
      </w:r>
      <w:r w:rsidRPr="00B20635">
        <w:rPr>
          <w:bCs/>
          <w:lang w:val="fr-FR"/>
        </w:rPr>
        <w:t>dispositions relatives aux</w:t>
      </w:r>
      <w:r w:rsidRPr="00B20635">
        <w:rPr>
          <w:b/>
          <w:bCs/>
          <w:lang w:val="fr-FR"/>
        </w:rPr>
        <w:t xml:space="preserve"> </w:t>
      </w:r>
      <w:r w:rsidRPr="00B20635">
        <w:rPr>
          <w:bCs/>
          <w:lang w:val="fr-FR"/>
        </w:rPr>
        <w:t>essais à l</w:t>
      </w:r>
      <w:r>
        <w:rPr>
          <w:bCs/>
          <w:lang w:val="fr-FR"/>
        </w:rPr>
        <w:t>’</w:t>
      </w:r>
      <w:r w:rsidRPr="00B20635">
        <w:rPr>
          <w:bCs/>
          <w:lang w:val="fr-FR"/>
        </w:rPr>
        <w:t>arrêt</w:t>
      </w:r>
      <w:r w:rsidRPr="00B20635">
        <w:rPr>
          <w:b/>
          <w:bCs/>
          <w:lang w:val="fr-FR"/>
        </w:rPr>
        <w:t xml:space="preserve"> </w:t>
      </w:r>
      <w:r w:rsidRPr="00B20635">
        <w:rPr>
          <w:bCs/>
          <w:lang w:val="fr-FR"/>
        </w:rPr>
        <w:t>figurant dans</w:t>
      </w:r>
      <w:r w:rsidRPr="00B20635">
        <w:rPr>
          <w:b/>
          <w:bCs/>
          <w:lang w:val="fr-FR"/>
        </w:rPr>
        <w:t xml:space="preserve"> </w:t>
      </w:r>
      <w:r w:rsidRPr="00B20635">
        <w:rPr>
          <w:lang w:val="fr-FR"/>
        </w:rPr>
        <w:t>d</w:t>
      </w:r>
      <w:r>
        <w:rPr>
          <w:lang w:val="fr-FR"/>
        </w:rPr>
        <w:t>’</w:t>
      </w:r>
      <w:r w:rsidRPr="00B20635">
        <w:rPr>
          <w:lang w:val="fr-FR"/>
        </w:rPr>
        <w:t xml:space="preserve">autres </w:t>
      </w:r>
      <w:r w:rsidR="007A0A8C">
        <w:rPr>
          <w:lang w:val="fr-FR"/>
        </w:rPr>
        <w:t>R</w:t>
      </w:r>
      <w:r w:rsidRPr="00B20635">
        <w:rPr>
          <w:lang w:val="fr-FR"/>
        </w:rPr>
        <w:t xml:space="preserve">èglements ONU, tels que les Règlements </w:t>
      </w:r>
      <w:r w:rsidR="00113462">
        <w:rPr>
          <w:lang w:val="fr-FR"/>
        </w:rPr>
        <w:t xml:space="preserve">ONU </w:t>
      </w:r>
      <w:r w:rsidR="00605A6F" w:rsidRPr="00605A6F">
        <w:rPr>
          <w:rFonts w:eastAsia="MS Mincho"/>
          <w:bCs/>
          <w:lang w:val="fr-FR"/>
        </w:rPr>
        <w:t>n</w:t>
      </w:r>
      <w:r w:rsidR="00605A6F" w:rsidRPr="00605A6F">
        <w:rPr>
          <w:rFonts w:eastAsia="MS Mincho"/>
          <w:bCs/>
          <w:vertAlign w:val="superscript"/>
          <w:lang w:val="fr-FR"/>
        </w:rPr>
        <w:t>o</w:t>
      </w:r>
      <w:r w:rsidR="00605A6F">
        <w:rPr>
          <w:bCs/>
          <w:lang w:val="fr-FR"/>
        </w:rPr>
        <w:t> </w:t>
      </w:r>
      <w:r w:rsidRPr="00B20635">
        <w:rPr>
          <w:lang w:val="fr-FR"/>
        </w:rPr>
        <w:t xml:space="preserve">9 et </w:t>
      </w:r>
      <w:r w:rsidR="00113462" w:rsidRPr="00113462">
        <w:rPr>
          <w:rFonts w:eastAsia="MS Mincho"/>
          <w:lang w:val="fr-FR"/>
        </w:rPr>
        <w:t>n</w:t>
      </w:r>
      <w:r w:rsidR="00113462" w:rsidRPr="00113462">
        <w:rPr>
          <w:rFonts w:eastAsia="MS Mincho"/>
          <w:vertAlign w:val="superscript"/>
          <w:lang w:val="fr-FR"/>
        </w:rPr>
        <w:t>o</w:t>
      </w:r>
      <w:r w:rsidR="00113462">
        <w:rPr>
          <w:lang w:val="fr-FR"/>
        </w:rPr>
        <w:t> </w:t>
      </w:r>
      <w:r w:rsidRPr="00B20635">
        <w:rPr>
          <w:lang w:val="fr-FR"/>
        </w:rPr>
        <w:t xml:space="preserve">41, ou dans </w:t>
      </w:r>
      <w:r>
        <w:rPr>
          <w:lang w:val="fr-FR"/>
        </w:rPr>
        <w:t>d</w:t>
      </w:r>
      <w:r w:rsidRPr="00B20635">
        <w:rPr>
          <w:lang w:val="fr-FR"/>
        </w:rPr>
        <w:t>es normes de l</w:t>
      </w:r>
      <w:r>
        <w:rPr>
          <w:lang w:val="fr-FR"/>
        </w:rPr>
        <w:t>’</w:t>
      </w:r>
      <w:r w:rsidRPr="00B20635">
        <w:rPr>
          <w:lang w:val="fr-FR"/>
        </w:rPr>
        <w:t>Organisation internationale de normalisation (ISO).</w:t>
      </w:r>
    </w:p>
    <w:p w:rsidR="00732960" w:rsidRPr="00732960" w:rsidRDefault="00732960" w:rsidP="007329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2960" w:rsidRPr="00732960" w:rsidSect="00102C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DA" w:rsidRDefault="00E179DA" w:rsidP="00F95C08">
      <w:pPr>
        <w:spacing w:line="240" w:lineRule="auto"/>
      </w:pPr>
    </w:p>
  </w:endnote>
  <w:endnote w:type="continuationSeparator" w:id="0">
    <w:p w:rsidR="00E179DA" w:rsidRPr="00AC3823" w:rsidRDefault="00E179DA" w:rsidP="00AC3823">
      <w:pPr>
        <w:pStyle w:val="Footer"/>
      </w:pPr>
    </w:p>
  </w:endnote>
  <w:endnote w:type="continuationNotice" w:id="1">
    <w:p w:rsidR="00E179DA" w:rsidRDefault="00E179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F8" w:rsidRPr="00102CF8" w:rsidRDefault="00102CF8" w:rsidP="00102CF8">
    <w:pPr>
      <w:pStyle w:val="Footer"/>
      <w:tabs>
        <w:tab w:val="right" w:pos="9638"/>
      </w:tabs>
    </w:pPr>
    <w:r w:rsidRPr="00102CF8">
      <w:rPr>
        <w:b/>
        <w:sz w:val="18"/>
      </w:rPr>
      <w:fldChar w:fldCharType="begin"/>
    </w:r>
    <w:r w:rsidRPr="00102CF8">
      <w:rPr>
        <w:b/>
        <w:sz w:val="18"/>
      </w:rPr>
      <w:instrText xml:space="preserve"> PAGE  \* MERGEFORMAT </w:instrText>
    </w:r>
    <w:r w:rsidRPr="00102CF8">
      <w:rPr>
        <w:b/>
        <w:sz w:val="18"/>
      </w:rPr>
      <w:fldChar w:fldCharType="separate"/>
    </w:r>
    <w:r w:rsidR="00C56984">
      <w:rPr>
        <w:b/>
        <w:noProof/>
        <w:sz w:val="18"/>
      </w:rPr>
      <w:t>2</w:t>
    </w:r>
    <w:r w:rsidRPr="00102CF8">
      <w:rPr>
        <w:b/>
        <w:sz w:val="18"/>
      </w:rPr>
      <w:fldChar w:fldCharType="end"/>
    </w:r>
    <w:r>
      <w:rPr>
        <w:b/>
        <w:sz w:val="18"/>
      </w:rPr>
      <w:tab/>
    </w:r>
    <w:r>
      <w:t>GE.18-19185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F8" w:rsidRPr="00102CF8" w:rsidRDefault="00102CF8" w:rsidP="00102CF8">
    <w:pPr>
      <w:pStyle w:val="Footer"/>
      <w:tabs>
        <w:tab w:val="right" w:pos="9638"/>
      </w:tabs>
      <w:rPr>
        <w:b/>
        <w:sz w:val="18"/>
      </w:rPr>
    </w:pPr>
    <w:r>
      <w:t>GE.18-19185</w:t>
    </w:r>
    <w:r>
      <w:tab/>
    </w:r>
    <w:r w:rsidRPr="00102CF8">
      <w:rPr>
        <w:b/>
        <w:sz w:val="18"/>
      </w:rPr>
      <w:fldChar w:fldCharType="begin"/>
    </w:r>
    <w:r w:rsidRPr="00102CF8">
      <w:rPr>
        <w:b/>
        <w:sz w:val="18"/>
      </w:rPr>
      <w:instrText xml:space="preserve"> PAGE  \* MERGEFORMAT </w:instrText>
    </w:r>
    <w:r w:rsidRPr="00102CF8">
      <w:rPr>
        <w:b/>
        <w:sz w:val="18"/>
      </w:rPr>
      <w:fldChar w:fldCharType="separate"/>
    </w:r>
    <w:r w:rsidR="00C56984">
      <w:rPr>
        <w:b/>
        <w:noProof/>
        <w:sz w:val="18"/>
      </w:rPr>
      <w:t>3</w:t>
    </w:r>
    <w:r w:rsidRPr="00102C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02CF8" w:rsidRDefault="00102CF8" w:rsidP="00102CF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18-19185  (F)    271118    041218</w:t>
    </w:r>
    <w:r>
      <w:rPr>
        <w:sz w:val="20"/>
      </w:rPr>
      <w:br/>
    </w:r>
    <w:r w:rsidRPr="00102CF8">
      <w:rPr>
        <w:rFonts w:ascii="C39T30Lfz" w:hAnsi="C39T30Lfz"/>
        <w:sz w:val="56"/>
      </w:rPr>
      <w:t></w:t>
    </w:r>
    <w:r w:rsidRPr="00102CF8">
      <w:rPr>
        <w:rFonts w:ascii="C39T30Lfz" w:hAnsi="C39T30Lfz"/>
        <w:sz w:val="56"/>
      </w:rPr>
      <w:t></w:t>
    </w:r>
    <w:r w:rsidRPr="00102CF8">
      <w:rPr>
        <w:rFonts w:ascii="C39T30Lfz" w:hAnsi="C39T30Lfz"/>
        <w:sz w:val="56"/>
      </w:rPr>
      <w:t></w:t>
    </w:r>
    <w:r w:rsidRPr="00102CF8">
      <w:rPr>
        <w:rFonts w:ascii="C39T30Lfz" w:hAnsi="C39T30Lfz"/>
        <w:sz w:val="56"/>
      </w:rPr>
      <w:t></w:t>
    </w:r>
    <w:r w:rsidRPr="00102CF8">
      <w:rPr>
        <w:rFonts w:ascii="C39T30Lfz" w:hAnsi="C39T30Lfz"/>
        <w:sz w:val="56"/>
      </w:rPr>
      <w:t></w:t>
    </w:r>
    <w:r w:rsidRPr="00102CF8">
      <w:rPr>
        <w:rFonts w:ascii="C39T30Lfz" w:hAnsi="C39T30Lfz"/>
        <w:sz w:val="56"/>
      </w:rPr>
      <w:t></w:t>
    </w:r>
    <w:r w:rsidRPr="00102CF8">
      <w:rPr>
        <w:rFonts w:ascii="C39T30Lfz" w:hAnsi="C39T30Lfz"/>
        <w:sz w:val="56"/>
      </w:rPr>
      <w:t></w:t>
    </w:r>
    <w:r w:rsidRPr="00102CF8">
      <w:rPr>
        <w:rFonts w:ascii="C39T30Lfz" w:hAnsi="C39T30Lfz"/>
        <w:sz w:val="56"/>
      </w:rPr>
      <w:t></w:t>
    </w:r>
    <w:r w:rsidRPr="00102CF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/2019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DA" w:rsidRPr="00AC3823" w:rsidRDefault="00E179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79DA" w:rsidRPr="00AC3823" w:rsidRDefault="00E179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79DA" w:rsidRPr="00AC3823" w:rsidRDefault="00E179DA">
      <w:pPr>
        <w:spacing w:line="240" w:lineRule="auto"/>
        <w:rPr>
          <w:sz w:val="2"/>
          <w:szCs w:val="2"/>
        </w:rPr>
      </w:pPr>
    </w:p>
  </w:footnote>
  <w:footnote w:id="2">
    <w:p w:rsidR="00732960" w:rsidRPr="00D075D1" w:rsidRDefault="00732960" w:rsidP="00732960">
      <w:pPr>
        <w:pStyle w:val="FootnoteText"/>
      </w:pPr>
      <w:r>
        <w:rPr>
          <w:rStyle w:val="FootnoteReference"/>
        </w:rPr>
        <w:tab/>
      </w:r>
      <w:r w:rsidRPr="00D075D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70575">
        <w:t>Conformément au programme de travail du Comité des transports intérieurs pour la période</w:t>
      </w:r>
      <w:r>
        <w:t xml:space="preserve"> 2018</w:t>
      </w:r>
      <w:r>
        <w:noBreakHyphen/>
        <w:t>2019 (ECE/TRANS/274, par. </w:t>
      </w:r>
      <w:r w:rsidRPr="00470575">
        <w:t>123</w:t>
      </w:r>
      <w:r>
        <w:t>,</w:t>
      </w:r>
      <w:r w:rsidRPr="00470575">
        <w:t xml:space="preserve"> </w:t>
      </w:r>
      <w:r>
        <w:t>et</w:t>
      </w:r>
      <w:r w:rsidRPr="00470575">
        <w:t xml:space="preserve"> ECE/TRANS/2018/21/Add.1, </w:t>
      </w:r>
      <w:r>
        <w:t>module </w:t>
      </w:r>
      <w:r w:rsidRPr="00470575">
        <w:t>3), le Forum mondial a pour mission d</w:t>
      </w:r>
      <w:r>
        <w:t>’</w:t>
      </w:r>
      <w:r w:rsidRPr="00470575">
        <w:t>élaborer, d</w:t>
      </w:r>
      <w:r>
        <w:t>’</w:t>
      </w:r>
      <w:r w:rsidRPr="00470575">
        <w:t xml:space="preserve">harmoniser et de mettre à jour les Règlements </w:t>
      </w:r>
      <w:r>
        <w:t xml:space="preserve">ONU </w:t>
      </w:r>
      <w:r w:rsidRPr="00470575">
        <w:t>en vue d</w:t>
      </w:r>
      <w:r>
        <w:t>’</w:t>
      </w:r>
      <w:r w:rsidRPr="00470575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F8" w:rsidRPr="00102CF8" w:rsidRDefault="000747C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27EBC">
      <w:t>ECE/TRANS/WP.29/GRB/2019/10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F8" w:rsidRPr="00102CF8" w:rsidRDefault="000747C5" w:rsidP="00102C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27EBC">
      <w:t>ECE/TRANS/WP.29/GRB/2019/10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DA"/>
    <w:rsid w:val="00017F94"/>
    <w:rsid w:val="00023842"/>
    <w:rsid w:val="000334F9"/>
    <w:rsid w:val="00045FEB"/>
    <w:rsid w:val="000747C5"/>
    <w:rsid w:val="0007796D"/>
    <w:rsid w:val="000B7790"/>
    <w:rsid w:val="00102CF8"/>
    <w:rsid w:val="00111F2F"/>
    <w:rsid w:val="00113462"/>
    <w:rsid w:val="0014365E"/>
    <w:rsid w:val="00143C66"/>
    <w:rsid w:val="00176178"/>
    <w:rsid w:val="00187C6F"/>
    <w:rsid w:val="001D0561"/>
    <w:rsid w:val="001F525A"/>
    <w:rsid w:val="00223272"/>
    <w:rsid w:val="0024779E"/>
    <w:rsid w:val="00257168"/>
    <w:rsid w:val="002744B8"/>
    <w:rsid w:val="002832AC"/>
    <w:rsid w:val="002D7C93"/>
    <w:rsid w:val="00305801"/>
    <w:rsid w:val="00364B36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05A6F"/>
    <w:rsid w:val="00611CB7"/>
    <w:rsid w:val="00664988"/>
    <w:rsid w:val="0071601D"/>
    <w:rsid w:val="00732960"/>
    <w:rsid w:val="007A0A8C"/>
    <w:rsid w:val="007A62E6"/>
    <w:rsid w:val="007F20FA"/>
    <w:rsid w:val="0080684C"/>
    <w:rsid w:val="00827EBC"/>
    <w:rsid w:val="00871C75"/>
    <w:rsid w:val="008776DC"/>
    <w:rsid w:val="009446C0"/>
    <w:rsid w:val="009705C8"/>
    <w:rsid w:val="009C1CF4"/>
    <w:rsid w:val="009F6B74"/>
    <w:rsid w:val="00A03514"/>
    <w:rsid w:val="00A3029F"/>
    <w:rsid w:val="00A30353"/>
    <w:rsid w:val="00AC3823"/>
    <w:rsid w:val="00AE323C"/>
    <w:rsid w:val="00AF0CB5"/>
    <w:rsid w:val="00AF5A75"/>
    <w:rsid w:val="00B00181"/>
    <w:rsid w:val="00B00B0D"/>
    <w:rsid w:val="00B45F2E"/>
    <w:rsid w:val="00B765F7"/>
    <w:rsid w:val="00BA0CA9"/>
    <w:rsid w:val="00C02897"/>
    <w:rsid w:val="00C56984"/>
    <w:rsid w:val="00C97039"/>
    <w:rsid w:val="00D3439C"/>
    <w:rsid w:val="00DB1831"/>
    <w:rsid w:val="00DD3BFD"/>
    <w:rsid w:val="00DF6678"/>
    <w:rsid w:val="00E0299A"/>
    <w:rsid w:val="00E179D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DBB889-8D24-4776-8E9A-EFA288EA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3296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3296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73296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32960"/>
    <w:pPr>
      <w:kinsoku/>
      <w:overflowPunct/>
      <w:autoSpaceDE/>
      <w:autoSpaceDN/>
      <w:adjustRightInd/>
      <w:snapToGrid/>
      <w:ind w:left="708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ECE/TRANS/WP.29/GRB/2019/10</vt:lpstr>
      <vt:lpstr>ECE/TRANS/WP.29/GRB/2019/10</vt:lpstr>
    </vt:vector>
  </TitlesOfParts>
  <Company>DCM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ECE/TRANS/WP.29/GRB/2019/10</dc:title>
  <dc:subject/>
  <dc:creator>Nathalie VITTOZ</dc:creator>
  <cp:keywords/>
  <cp:lastModifiedBy>Benedicte Boudol</cp:lastModifiedBy>
  <cp:revision>2</cp:revision>
  <cp:lastPrinted>2018-12-04T14:21:00Z</cp:lastPrinted>
  <dcterms:created xsi:type="dcterms:W3CDTF">2018-12-06T11:59:00Z</dcterms:created>
  <dcterms:modified xsi:type="dcterms:W3CDTF">2018-12-06T11:59:00Z</dcterms:modified>
</cp:coreProperties>
</file>