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2FD8" w14:textId="77777777" w:rsidR="00413284" w:rsidRPr="00046160" w:rsidRDefault="00D8591C" w:rsidP="00413A92">
      <w:pPr>
        <w:pStyle w:val="HChG"/>
        <w:rPr>
          <w:rFonts w:eastAsia="Times New Roman"/>
          <w:sz w:val="20"/>
        </w:rPr>
      </w:pPr>
      <w:r w:rsidRPr="00046160">
        <w:tab/>
      </w:r>
      <w:r w:rsidRPr="00046160">
        <w:tab/>
      </w:r>
      <w:r w:rsidR="00C10FC1" w:rsidRPr="00046160">
        <w:t>Report on the test phase for</w:t>
      </w:r>
      <w:r w:rsidR="00413284" w:rsidRPr="00046160">
        <w:t xml:space="preserve"> Software Updates of the Task Force on Cyber S</w:t>
      </w:r>
      <w:r w:rsidR="00413A92" w:rsidRPr="00046160">
        <w:t>ecurity and Over-the-air issues</w:t>
      </w:r>
    </w:p>
    <w:p w14:paraId="3DB35A38" w14:textId="77777777" w:rsidR="00A443F6" w:rsidRPr="00046160" w:rsidRDefault="00D8591C" w:rsidP="00D8591C">
      <w:pPr>
        <w:pStyle w:val="H1G"/>
      </w:pPr>
      <w:r w:rsidRPr="00046160">
        <w:tab/>
      </w:r>
      <w:r w:rsidRPr="00046160">
        <w:tab/>
        <w:t xml:space="preserve">Submitted </w:t>
      </w:r>
      <w:r w:rsidR="00C4080D" w:rsidRPr="00046160">
        <w:t xml:space="preserve">by the </w:t>
      </w:r>
      <w:r w:rsidR="00C44122" w:rsidRPr="00046160">
        <w:t>co-chairs</w:t>
      </w:r>
      <w:r w:rsidR="00C4080D" w:rsidRPr="00046160">
        <w:t xml:space="preserve"> of the Task Force on Cyber Security and Over-the-air issues</w:t>
      </w:r>
    </w:p>
    <w:p w14:paraId="2498EDC9" w14:textId="77777777" w:rsidR="00C44122" w:rsidRPr="00046160" w:rsidRDefault="00EB5C1F" w:rsidP="00EB5C1F">
      <w:pPr>
        <w:pStyle w:val="SingleTxtG"/>
        <w:tabs>
          <w:tab w:val="left" w:pos="1701"/>
        </w:tabs>
        <w:ind w:left="1134" w:firstLine="0"/>
      </w:pPr>
      <w:r>
        <w:tab/>
      </w:r>
      <w:r w:rsidR="00C4080D" w:rsidRPr="00046160">
        <w:t xml:space="preserve">This </w:t>
      </w:r>
      <w:r w:rsidR="00C10FC1" w:rsidRPr="00046160">
        <w:t xml:space="preserve">report provides an overview of the outcome of the test phase for the proposed regulations on cyber </w:t>
      </w:r>
      <w:r w:rsidR="00C44122" w:rsidRPr="00046160">
        <w:t xml:space="preserve">security and over the air updates. It provides a description of the aims of the test phase, the approach adopted and the outcomes from the test phase. </w:t>
      </w:r>
    </w:p>
    <w:p w14:paraId="19E710E3" w14:textId="77777777" w:rsidR="005D3203" w:rsidRPr="00046160" w:rsidRDefault="003D6E2A" w:rsidP="003D6E2A">
      <w:pPr>
        <w:pStyle w:val="HChG"/>
        <w:tabs>
          <w:tab w:val="clear" w:pos="851"/>
        </w:tabs>
        <w:ind w:hanging="567"/>
      </w:pPr>
      <w:bookmarkStart w:id="0" w:name="_Toc498341508"/>
      <w:bookmarkStart w:id="1" w:name="_Toc507661162"/>
      <w:r w:rsidRPr="00046160">
        <w:t>1.</w:t>
      </w:r>
      <w:r w:rsidRPr="00046160">
        <w:tab/>
      </w:r>
      <w:r w:rsidR="005D3203" w:rsidRPr="00046160">
        <w:t>Introduction</w:t>
      </w:r>
      <w:bookmarkEnd w:id="0"/>
      <w:bookmarkEnd w:id="1"/>
    </w:p>
    <w:p w14:paraId="507F9846" w14:textId="77777777" w:rsidR="005D3203" w:rsidRPr="00046160" w:rsidRDefault="00737BED" w:rsidP="00737BED">
      <w:pPr>
        <w:pStyle w:val="H1G"/>
      </w:pPr>
      <w:bookmarkStart w:id="2" w:name="_Toc498341509"/>
      <w:bookmarkStart w:id="3" w:name="_Toc507661163"/>
      <w:r w:rsidRPr="00046160">
        <w:tab/>
        <w:t>1.1.</w:t>
      </w:r>
      <w:r w:rsidRPr="00046160">
        <w:tab/>
      </w:r>
      <w:r w:rsidR="005D3203" w:rsidRPr="00046160">
        <w:t>Preamble</w:t>
      </w:r>
      <w:bookmarkEnd w:id="2"/>
      <w:bookmarkEnd w:id="3"/>
    </w:p>
    <w:p w14:paraId="4A019E07" w14:textId="26C58AD3" w:rsidR="00AC2EB6" w:rsidRPr="00046160" w:rsidRDefault="00737BED" w:rsidP="00DD5B33">
      <w:pPr>
        <w:pStyle w:val="SingleTxtG"/>
      </w:pPr>
      <w:r w:rsidRPr="00046160">
        <w:t>1.1.1.</w:t>
      </w:r>
      <w:r w:rsidRPr="00046160">
        <w:tab/>
      </w:r>
      <w:r w:rsidR="00AC2EB6" w:rsidRPr="00046160">
        <w:t xml:space="preserve">A Task Force was established as a subgroup of the Informal Working Group on Intelligent Transport Systems / Automated Driving (IWG </w:t>
      </w:r>
      <w:r w:rsidR="00EB5C1F">
        <w:t xml:space="preserve">on </w:t>
      </w:r>
      <w:r w:rsidR="00AC2EB6" w:rsidRPr="00046160">
        <w:t xml:space="preserve">ITS/AD) of WP.29 to address Cyber Security and Over-the-air issues. The </w:t>
      </w:r>
      <w:r w:rsidR="001A52D0">
        <w:t>Task Force</w:t>
      </w:r>
      <w:r w:rsidR="00AC2EB6" w:rsidRPr="00046160">
        <w:t xml:space="preserve"> consisted of representatives from </w:t>
      </w:r>
      <w:r w:rsidR="00074049" w:rsidRPr="00046160">
        <w:t>Contracting Parties</w:t>
      </w:r>
      <w:r w:rsidR="00EB5C1F">
        <w:t xml:space="preserve"> (including France, Germany, Japan, the Netherlands</w:t>
      </w:r>
      <w:r w:rsidR="008D4603">
        <w:t xml:space="preserve">, </w:t>
      </w:r>
      <w:r w:rsidR="008D4603" w:rsidRPr="008D4603">
        <w:t xml:space="preserve">United Kingdom of Great Britain and Northern Ireland </w:t>
      </w:r>
      <w:r w:rsidR="008D4603">
        <w:t xml:space="preserve">and the Republic of Korea </w:t>
      </w:r>
      <w:r w:rsidR="00EB5C1F">
        <w:t>as regular participants)</w:t>
      </w:r>
      <w:r w:rsidR="00074049" w:rsidRPr="00046160">
        <w:t xml:space="preserve"> </w:t>
      </w:r>
      <w:r w:rsidR="00AC2EB6" w:rsidRPr="00046160">
        <w:t xml:space="preserve">and non-governmental organizations, </w:t>
      </w:r>
      <w:r w:rsidR="00C0480D" w:rsidRPr="00046160">
        <w:t xml:space="preserve">e.g. the European Association of Automotive Suppliers (CLEPA), the International Motor Vehicle Inspection Committee (CITA), la Fédération Internationale de </w:t>
      </w:r>
      <w:proofErr w:type="spellStart"/>
      <w:r w:rsidR="00C0480D" w:rsidRPr="00046160">
        <w:t>l'Automobile</w:t>
      </w:r>
      <w:proofErr w:type="spellEnd"/>
      <w:r w:rsidR="00C0480D" w:rsidRPr="00046160">
        <w:t xml:space="preserve"> (FIA), the International Telecommunication Union</w:t>
      </w:r>
      <w:r w:rsidR="00EB5C1F">
        <w:t xml:space="preserve"> - </w:t>
      </w:r>
      <w:r w:rsidR="00EB5C1F" w:rsidRPr="00EB5C1F">
        <w:t>Telecommunication Standardization Sector</w:t>
      </w:r>
      <w:r w:rsidR="00C0480D" w:rsidRPr="00046160">
        <w:t xml:space="preserve"> (ITU</w:t>
      </w:r>
      <w:r w:rsidR="00EB5C1F">
        <w:t>-T</w:t>
      </w:r>
      <w:r w:rsidR="00C0480D" w:rsidRPr="00046160">
        <w:t>) and the International Organization of Motor Vehicle Manufacturers (OICA)</w:t>
      </w:r>
      <w:r w:rsidR="00AC2EB6" w:rsidRPr="00046160">
        <w:t>.</w:t>
      </w:r>
      <w:r w:rsidR="008D4603">
        <w:t xml:space="preserve"> Following the </w:t>
      </w:r>
      <w:r w:rsidR="001227D8">
        <w:t>reform</w:t>
      </w:r>
      <w:r w:rsidR="008D4603">
        <w:t xml:space="preserve"> of the World Forum for Harmonization of Vehicle Regulations (WP.29),</w:t>
      </w:r>
      <w:r w:rsidR="001A52D0">
        <w:t xml:space="preserve"> the Task Force is reporting to the Working Party on Automated/Autonomous and Connected Vehicles (GRVA)</w:t>
      </w:r>
      <w:r w:rsidR="008D4603">
        <w:t>.</w:t>
      </w:r>
    </w:p>
    <w:p w14:paraId="3B186243" w14:textId="3AC5559C" w:rsidR="005403CD" w:rsidRPr="00046160" w:rsidRDefault="00737BED" w:rsidP="00A3114D">
      <w:pPr>
        <w:pStyle w:val="SingleTxtG"/>
      </w:pPr>
      <w:r w:rsidRPr="00046160">
        <w:t>1.1.2.</w:t>
      </w:r>
      <w:r w:rsidRPr="00046160">
        <w:tab/>
      </w:r>
      <w:r w:rsidR="00D0160D" w:rsidRPr="00046160">
        <w:t xml:space="preserve">The remit of the </w:t>
      </w:r>
      <w:r w:rsidR="001A52D0">
        <w:t>Task Force</w:t>
      </w:r>
      <w:r w:rsidR="0070796D" w:rsidRPr="00046160">
        <w:t xml:space="preserve"> </w:t>
      </w:r>
      <w:r w:rsidR="00A86047" w:rsidRPr="00046160">
        <w:t>is</w:t>
      </w:r>
      <w:r w:rsidR="00D0160D" w:rsidRPr="00046160">
        <w:t xml:space="preserve"> to produce</w:t>
      </w:r>
      <w:r w:rsidR="00A3114D" w:rsidRPr="00046160">
        <w:t xml:space="preserve"> </w:t>
      </w:r>
      <w:r w:rsidR="008D4603">
        <w:t>provisions in the form of a recommendation or resolution, provisions suitable for the 1998 Agreement as well as a draft UN R</w:t>
      </w:r>
      <w:r w:rsidR="00D0160D" w:rsidRPr="00046160">
        <w:t>egulation addressing cyber security issues</w:t>
      </w:r>
      <w:r w:rsidR="00A3114D" w:rsidRPr="00046160">
        <w:t xml:space="preserve"> and </w:t>
      </w:r>
      <w:r w:rsidR="00D0160D" w:rsidRPr="00046160">
        <w:t xml:space="preserve">a </w:t>
      </w:r>
      <w:r w:rsidR="0070796D">
        <w:t>UN R</w:t>
      </w:r>
      <w:r w:rsidR="00D0160D" w:rsidRPr="00046160">
        <w:t>egulation addressing over the air update issues</w:t>
      </w:r>
      <w:r w:rsidR="00A3114D" w:rsidRPr="00046160">
        <w:t>.</w:t>
      </w:r>
    </w:p>
    <w:p w14:paraId="317E7783" w14:textId="79B5492E" w:rsidR="005403CD" w:rsidRPr="00046160" w:rsidRDefault="00A3114D" w:rsidP="00A3114D">
      <w:pPr>
        <w:pStyle w:val="SingleTxtG"/>
      </w:pPr>
      <w:r w:rsidRPr="00046160">
        <w:t>1.1.3</w:t>
      </w:r>
      <w:r w:rsidRPr="00046160">
        <w:tab/>
        <w:t xml:space="preserve">The </w:t>
      </w:r>
      <w:r w:rsidR="00AB578B" w:rsidRPr="00046160">
        <w:t>T</w:t>
      </w:r>
      <w:r w:rsidRPr="00046160">
        <w:t xml:space="preserve">ask </w:t>
      </w:r>
      <w:r w:rsidR="00AB578B" w:rsidRPr="00046160">
        <w:t>F</w:t>
      </w:r>
      <w:r w:rsidRPr="00046160">
        <w:t>orce commenced on</w:t>
      </w:r>
      <w:r w:rsidR="00D0160D" w:rsidRPr="00046160">
        <w:t xml:space="preserve"> </w:t>
      </w:r>
      <w:r w:rsidR="00EB5C1F">
        <w:t xml:space="preserve">21 </w:t>
      </w:r>
      <w:r w:rsidR="00D0160D" w:rsidRPr="00046160">
        <w:t>December 2016</w:t>
      </w:r>
      <w:r w:rsidRPr="00046160">
        <w:t xml:space="preserve"> and produced drafted </w:t>
      </w:r>
      <w:r w:rsidR="00EB5C1F">
        <w:t>R</w:t>
      </w:r>
      <w:r w:rsidRPr="00046160">
        <w:t>egulations on cyber security and software update processes</w:t>
      </w:r>
      <w:r w:rsidR="001F6DD6" w:rsidRPr="00046160">
        <w:t xml:space="preserve"> in 2018</w:t>
      </w:r>
      <w:r w:rsidRPr="00046160">
        <w:t>, reference ECE</w:t>
      </w:r>
      <w:r w:rsidR="00EB5C1F">
        <w:t>/</w:t>
      </w:r>
      <w:r w:rsidRPr="00046160">
        <w:t>TRANS</w:t>
      </w:r>
      <w:r w:rsidR="00EB5C1F">
        <w:t>/</w:t>
      </w:r>
      <w:r w:rsidRPr="00046160">
        <w:t>WP29</w:t>
      </w:r>
      <w:r w:rsidR="00EB5C1F">
        <w:t>/</w:t>
      </w:r>
      <w:r w:rsidRPr="00046160">
        <w:t>GRVA</w:t>
      </w:r>
      <w:r w:rsidR="00EB5C1F">
        <w:t>/</w:t>
      </w:r>
      <w:r w:rsidRPr="00046160">
        <w:t>2019</w:t>
      </w:r>
      <w:r w:rsidR="00EB5C1F">
        <w:t>/</w:t>
      </w:r>
      <w:r w:rsidRPr="00046160">
        <w:t>3 and ECE</w:t>
      </w:r>
      <w:r w:rsidR="00EB5C1F">
        <w:t>/</w:t>
      </w:r>
      <w:r w:rsidRPr="00046160">
        <w:t>TRANS</w:t>
      </w:r>
      <w:r w:rsidR="00EB5C1F">
        <w:t>/</w:t>
      </w:r>
      <w:r w:rsidRPr="00046160">
        <w:t>WP29</w:t>
      </w:r>
      <w:r w:rsidR="00EB5C1F">
        <w:t>/</w:t>
      </w:r>
      <w:r w:rsidRPr="00046160">
        <w:t>GRVA</w:t>
      </w:r>
      <w:r w:rsidR="00EB5C1F">
        <w:t>/</w:t>
      </w:r>
      <w:r w:rsidRPr="00046160">
        <w:t>2019</w:t>
      </w:r>
      <w:r w:rsidR="00EB5C1F">
        <w:t>/</w:t>
      </w:r>
      <w:r w:rsidRPr="00046160">
        <w:t>2.</w:t>
      </w:r>
    </w:p>
    <w:p w14:paraId="5BBBA7E4" w14:textId="77777777" w:rsidR="00C44122" w:rsidRDefault="005538E7" w:rsidP="00DD5B33">
      <w:pPr>
        <w:pStyle w:val="SingleTxtG"/>
      </w:pPr>
      <w:r w:rsidRPr="00046160">
        <w:t>1.1.</w:t>
      </w:r>
      <w:r w:rsidR="00A3114D" w:rsidRPr="00046160">
        <w:t>4</w:t>
      </w:r>
      <w:r w:rsidRPr="00046160">
        <w:t>.</w:t>
      </w:r>
      <w:r w:rsidRPr="00046160">
        <w:tab/>
      </w:r>
      <w:r w:rsidR="00A3114D" w:rsidRPr="00046160">
        <w:t xml:space="preserve">The task force recommended that the regulations undergo testing to ensure that the requirements can be evidenced, and that technical services or approval authorities can appraise them. The recommendation was adopted. </w:t>
      </w:r>
    </w:p>
    <w:p w14:paraId="4924C4B9" w14:textId="50D9538B" w:rsidR="00EB5C1F" w:rsidRPr="00046160" w:rsidRDefault="00EB5C1F" w:rsidP="00DD5B33">
      <w:pPr>
        <w:pStyle w:val="SingleTxtG"/>
      </w:pPr>
      <w:r>
        <w:t>1.1.5.</w:t>
      </w:r>
      <w:r>
        <w:tab/>
        <w:t xml:space="preserve">The test phase involved </w:t>
      </w:r>
      <w:proofErr w:type="gramStart"/>
      <w:r>
        <w:t>a number of</w:t>
      </w:r>
      <w:proofErr w:type="gramEnd"/>
      <w:r>
        <w:t xml:space="preserve"> countries’ authorities and technical services together with vehicle manufacturers who volunteered to undergo this test phase. The </w:t>
      </w:r>
      <w:r w:rsidR="001A52D0">
        <w:t>Task Force</w:t>
      </w:r>
      <w:r>
        <w:t xml:space="preserve"> did not impose any requirement or pre-</w:t>
      </w:r>
      <w:r w:rsidR="00564BBD">
        <w:t>requisite</w:t>
      </w:r>
      <w:r>
        <w:t xml:space="preserve"> in terms of knowledge or certification, but the participants to the test phase included cyber </w:t>
      </w:r>
      <w:r w:rsidR="008D4603">
        <w:t xml:space="preserve">approval authorities, national </w:t>
      </w:r>
      <w:r w:rsidR="00564BBD">
        <w:t xml:space="preserve">cyber </w:t>
      </w:r>
      <w:r>
        <w:t xml:space="preserve">security </w:t>
      </w:r>
      <w:r w:rsidR="008D4603">
        <w:t xml:space="preserve">agencies, IEC 17020 and ISO 17025 accredited technical services involving vehicle approval, auditing and cyber security professionals. </w:t>
      </w:r>
    </w:p>
    <w:p w14:paraId="229BC074" w14:textId="18B1F2B5" w:rsidR="00C44122" w:rsidRPr="00046160" w:rsidRDefault="00A3114D" w:rsidP="00DD5B33">
      <w:pPr>
        <w:pStyle w:val="SingleTxtG"/>
      </w:pPr>
      <w:r w:rsidRPr="00046160">
        <w:t>1.1.</w:t>
      </w:r>
      <w:r w:rsidR="001A52D0">
        <w:t>6</w:t>
      </w:r>
      <w:r w:rsidRPr="00046160">
        <w:t>.</w:t>
      </w:r>
      <w:r w:rsidRPr="00046160">
        <w:tab/>
      </w:r>
      <w:r w:rsidR="005B6CCD" w:rsidRPr="00046160">
        <w:t xml:space="preserve">This report </w:t>
      </w:r>
      <w:r w:rsidRPr="00046160">
        <w:t xml:space="preserve">describes the test phase, its outputs and conclusions. This also </w:t>
      </w:r>
      <w:r w:rsidR="005B6CCD" w:rsidRPr="00046160">
        <w:t>address</w:t>
      </w:r>
      <w:r w:rsidRPr="00046160">
        <w:t>es</w:t>
      </w:r>
      <w:r w:rsidR="005B6CCD" w:rsidRPr="00046160">
        <w:t xml:space="preserve"> the work priority </w:t>
      </w:r>
      <w:r w:rsidRPr="00046160">
        <w:t xml:space="preserve">stated in </w:t>
      </w:r>
      <w:r w:rsidR="005B6CCD" w:rsidRPr="00046160">
        <w:t>the Framework document on automated/autonomous vehicles</w:t>
      </w:r>
      <w:r w:rsidRPr="00046160">
        <w:t>,</w:t>
      </w:r>
      <w:r w:rsidR="005B6CCD" w:rsidRPr="00046160">
        <w:t xml:space="preserve"> ECE/TRANS/WP.29/2019/34/Rev</w:t>
      </w:r>
      <w:r w:rsidR="000E102E">
        <w:t>.</w:t>
      </w:r>
      <w:r w:rsidR="005B6CCD" w:rsidRPr="00046160">
        <w:t>1</w:t>
      </w:r>
      <w:r w:rsidRPr="00046160">
        <w:t>,</w:t>
      </w:r>
      <w:r w:rsidR="005B6CCD" w:rsidRPr="00046160">
        <w:t xml:space="preserve"> to provide a report for that body on the test phase. </w:t>
      </w:r>
    </w:p>
    <w:p w14:paraId="4C32F469" w14:textId="77777777" w:rsidR="00AC2EB6" w:rsidRPr="00046160" w:rsidRDefault="00A3114D" w:rsidP="00A3114D">
      <w:pPr>
        <w:pStyle w:val="HChG"/>
        <w:tabs>
          <w:tab w:val="clear" w:pos="851"/>
        </w:tabs>
        <w:ind w:hanging="567"/>
      </w:pPr>
      <w:r w:rsidRPr="00046160">
        <w:lastRenderedPageBreak/>
        <w:t>2.</w:t>
      </w:r>
      <w:r w:rsidRPr="00046160">
        <w:tab/>
        <w:t>T</w:t>
      </w:r>
      <w:r w:rsidR="00C44122" w:rsidRPr="00046160">
        <w:t>est phase</w:t>
      </w:r>
    </w:p>
    <w:p w14:paraId="59D74AEB" w14:textId="77777777" w:rsidR="00016C2F" w:rsidRPr="00046160" w:rsidRDefault="00A3114D" w:rsidP="00A3114D">
      <w:pPr>
        <w:pStyle w:val="H1G"/>
        <w:ind w:hanging="567"/>
      </w:pPr>
      <w:r w:rsidRPr="00046160">
        <w:tab/>
        <w:t>2.1</w:t>
      </w:r>
      <w:r w:rsidR="005538E7" w:rsidRPr="00046160">
        <w:t>.</w:t>
      </w:r>
      <w:r w:rsidR="005538E7" w:rsidRPr="00046160">
        <w:tab/>
      </w:r>
      <w:r w:rsidRPr="00046160">
        <w:t>A</w:t>
      </w:r>
      <w:r w:rsidR="00C44122" w:rsidRPr="00046160">
        <w:t>ims</w:t>
      </w:r>
      <w:r w:rsidRPr="00046160">
        <w:t xml:space="preserve"> of the test phase</w:t>
      </w:r>
    </w:p>
    <w:p w14:paraId="3361ECFE" w14:textId="77777777" w:rsidR="00AB578B" w:rsidRPr="00046160" w:rsidRDefault="00AB578B" w:rsidP="00AB578B">
      <w:pPr>
        <w:pStyle w:val="SingleTxtG"/>
      </w:pPr>
      <w:r w:rsidRPr="00046160">
        <w:t>2.1.1.</w:t>
      </w:r>
      <w:r w:rsidR="00C44122" w:rsidRPr="00046160">
        <w:tab/>
      </w:r>
      <w:r w:rsidRPr="00046160">
        <w:t xml:space="preserve">The aims of the test phase were to verify the effectiveness/robustness of both </w:t>
      </w:r>
      <w:r w:rsidR="001F6DD6" w:rsidRPr="00046160">
        <w:t xml:space="preserve">proposed </w:t>
      </w:r>
      <w:r w:rsidRPr="00046160">
        <w:t xml:space="preserve">Regulation(s) and to verify that approval authorities/technical services </w:t>
      </w:r>
      <w:proofErr w:type="gramStart"/>
      <w:r w:rsidR="004D0918" w:rsidRPr="00046160">
        <w:t>are able to</w:t>
      </w:r>
      <w:proofErr w:type="gramEnd"/>
      <w:r w:rsidR="004D0918" w:rsidRPr="00046160">
        <w:t xml:space="preserve"> assess the information and, if provided the same information,</w:t>
      </w:r>
      <w:r w:rsidRPr="00046160">
        <w:t xml:space="preserve"> reach the same conclusions</w:t>
      </w:r>
      <w:r w:rsidR="00AA7EBF" w:rsidRPr="00046160">
        <w:t xml:space="preserve"> (referred to below as round robin testing)</w:t>
      </w:r>
      <w:r w:rsidRPr="00046160">
        <w:t>.</w:t>
      </w:r>
    </w:p>
    <w:p w14:paraId="4ECD9B06" w14:textId="77777777" w:rsidR="00C44122" w:rsidRPr="00046160" w:rsidRDefault="00AB578B" w:rsidP="00C44122">
      <w:pPr>
        <w:pStyle w:val="SingleTxtG"/>
      </w:pPr>
      <w:r w:rsidRPr="00046160">
        <w:t>2.1.2.</w:t>
      </w:r>
      <w:r w:rsidRPr="00046160">
        <w:tab/>
        <w:t>To aid future implementation of the regulation the test phase also aimed to capture the experiences of its participants and p</w:t>
      </w:r>
      <w:r w:rsidR="00C44122" w:rsidRPr="00046160">
        <w:t>rovide guidance on how to assess the regulatory requirements and documentation required</w:t>
      </w:r>
      <w:r w:rsidR="001F6DD6" w:rsidRPr="00046160">
        <w:t>. This was captured in a document called an “interpretation document”.</w:t>
      </w:r>
    </w:p>
    <w:p w14:paraId="40C10B59" w14:textId="77777777" w:rsidR="00C44122" w:rsidRPr="00046160" w:rsidRDefault="00AB578B" w:rsidP="00C44122">
      <w:pPr>
        <w:pStyle w:val="SingleTxtG"/>
      </w:pPr>
      <w:r w:rsidRPr="00046160">
        <w:t>2.1.3.</w:t>
      </w:r>
      <w:r w:rsidRPr="00046160">
        <w:tab/>
        <w:t xml:space="preserve">The aim of the test phase was not to approve or evaluate vehicle types or the management systems of vehicle manufacturers. </w:t>
      </w:r>
    </w:p>
    <w:p w14:paraId="48DD2AD3" w14:textId="77777777" w:rsidR="00C44122" w:rsidRPr="00046160" w:rsidRDefault="00AB578B" w:rsidP="00AB578B">
      <w:pPr>
        <w:pStyle w:val="H1G"/>
        <w:ind w:hanging="567"/>
      </w:pPr>
      <w:r w:rsidRPr="00046160">
        <w:t>2.2</w:t>
      </w:r>
      <w:r w:rsidR="00D8661F" w:rsidRPr="00046160">
        <w:t>.</w:t>
      </w:r>
      <w:r w:rsidRPr="00046160">
        <w:t xml:space="preserve"> </w:t>
      </w:r>
      <w:r w:rsidRPr="00046160">
        <w:tab/>
        <w:t>Overview of the test phase</w:t>
      </w:r>
    </w:p>
    <w:p w14:paraId="67C0C428" w14:textId="77777777" w:rsidR="00AB578B" w:rsidRPr="00046160" w:rsidRDefault="00AB578B" w:rsidP="00C77A66">
      <w:pPr>
        <w:pStyle w:val="SingleTxtG"/>
      </w:pPr>
      <w:r w:rsidRPr="00046160">
        <w:t>2.2.1.</w:t>
      </w:r>
      <w:r w:rsidRPr="00046160">
        <w:tab/>
        <w:t>The test phase commenced in February 2019 and ended in August 2019.</w:t>
      </w:r>
    </w:p>
    <w:p w14:paraId="693214C3" w14:textId="77777777" w:rsidR="00C77A66" w:rsidRPr="00046160" w:rsidRDefault="00C77A66" w:rsidP="00C77A66">
      <w:pPr>
        <w:pStyle w:val="SingleTxtG"/>
      </w:pPr>
      <w:r w:rsidRPr="00046160">
        <w:t>2.2.2.</w:t>
      </w:r>
      <w:r w:rsidRPr="00046160">
        <w:tab/>
        <w:t>A meeting of potential test phase participants was held in February 2019 to agree how the test phase would proceed and how confidentiality requirements of manufacturers would be addressed. It was agreed that the names of participants would not be made public and the detailed information exchanged between manufacturers and technical services/approval authorities would remain confidential to those parties. Informat</w:t>
      </w:r>
      <w:r w:rsidR="00F01F81" w:rsidRPr="00046160">
        <w:t xml:space="preserve">ion </w:t>
      </w:r>
      <w:r w:rsidRPr="00046160">
        <w:t xml:space="preserve">fed back would refer to the regulations rather than the information assessed. </w:t>
      </w:r>
      <w:r w:rsidR="001F6DD6" w:rsidRPr="00046160">
        <w:t>More detail can be found in the</w:t>
      </w:r>
      <w:r w:rsidR="00D477AC" w:rsidRPr="00046160">
        <w:t xml:space="preserve"> test phase terms of reference “</w:t>
      </w:r>
      <w:r w:rsidR="001F6DD6" w:rsidRPr="00046160">
        <w:t>TFCS-TPCM1-02rev1 (Chair) Provisional terms of reference</w:t>
      </w:r>
      <w:r w:rsidR="00D477AC" w:rsidRPr="00046160">
        <w:t>”</w:t>
      </w:r>
      <w:r w:rsidR="001F6DD6" w:rsidRPr="00046160">
        <w:t>.</w:t>
      </w:r>
    </w:p>
    <w:p w14:paraId="41535BB3" w14:textId="77777777" w:rsidR="00C77A66" w:rsidRPr="00046160" w:rsidRDefault="00C77A66" w:rsidP="00C77A66">
      <w:pPr>
        <w:pStyle w:val="SingleTxtG"/>
      </w:pPr>
      <w:r w:rsidRPr="00046160">
        <w:t>2.2.3.</w:t>
      </w:r>
      <w:r w:rsidRPr="00046160">
        <w:tab/>
      </w:r>
      <w:r w:rsidR="004D0918" w:rsidRPr="00046160">
        <w:t xml:space="preserve">The test phase proceeded </w:t>
      </w:r>
      <w:r w:rsidR="00D477AC" w:rsidRPr="00046160">
        <w:t>as follows</w:t>
      </w:r>
      <w:r w:rsidR="004D0918" w:rsidRPr="00046160">
        <w:t xml:space="preserve">. </w:t>
      </w:r>
      <w:r w:rsidR="00D477AC" w:rsidRPr="00046160">
        <w:t>Participating</w:t>
      </w:r>
      <w:r w:rsidR="004D0918" w:rsidRPr="00046160">
        <w:t xml:space="preserve"> </w:t>
      </w:r>
      <w:r w:rsidRPr="00046160">
        <w:t>manufacturers paired up with technical services or approval authorities. Once arrangements were in place</w:t>
      </w:r>
      <w:r w:rsidR="00D477AC" w:rsidRPr="00046160">
        <w:t>,</w:t>
      </w:r>
      <w:r w:rsidRPr="00046160">
        <w:t xml:space="preserve"> time was provided for manufacturers to gather the necessary information. Meetings were held between parties to agree how to assess the regulations and provide more structure to information gathering. Finally, the assessment was made. Feedback to the Task Force was provided by Contracting Parties and industry bodies. </w:t>
      </w:r>
    </w:p>
    <w:p w14:paraId="35F1BA38" w14:textId="7DB8CAF0" w:rsidR="005403CD" w:rsidRPr="00046160" w:rsidRDefault="00D8661F" w:rsidP="00D8661F">
      <w:pPr>
        <w:pStyle w:val="SingleTxtG"/>
      </w:pPr>
      <w:r w:rsidRPr="00046160">
        <w:t>2.2.4.</w:t>
      </w:r>
      <w:r w:rsidRPr="00046160">
        <w:tab/>
        <w:t>The test phase was well supported. Seven</w:t>
      </w:r>
      <w:r w:rsidR="00D0160D" w:rsidRPr="00046160">
        <w:t xml:space="preserve"> Contracting Parties (</w:t>
      </w:r>
      <w:r w:rsidR="008D4603">
        <w:t xml:space="preserve">France, Germany, Japan, the Netherlands, the Republic of Korea, the </w:t>
      </w:r>
      <w:r w:rsidR="008D4603" w:rsidRPr="008D4603">
        <w:t>United Kingdom of Great Britain and Northern Ireland</w:t>
      </w:r>
      <w:r w:rsidR="008D4603">
        <w:t>, and Spain</w:t>
      </w:r>
      <w:r w:rsidR="00D0160D" w:rsidRPr="00046160">
        <w:t>)</w:t>
      </w:r>
      <w:r w:rsidRPr="00046160">
        <w:t xml:space="preserve"> participated and o</w:t>
      </w:r>
      <w:r w:rsidR="00D0160D" w:rsidRPr="00046160">
        <w:t>ver fifteen manufacturers (from categories M and N)</w:t>
      </w:r>
      <w:r w:rsidRPr="00046160">
        <w:t xml:space="preserve">. One manufacturer was able to work with two technical services to provide for a joint assessment of the same information. </w:t>
      </w:r>
    </w:p>
    <w:p w14:paraId="1581C82B" w14:textId="15125F3C" w:rsidR="00D8661F" w:rsidRPr="00046160" w:rsidRDefault="00D8661F" w:rsidP="00D8661F">
      <w:pPr>
        <w:pStyle w:val="SingleTxtG"/>
      </w:pPr>
      <w:r w:rsidRPr="00046160">
        <w:t>2.2.5.</w:t>
      </w:r>
      <w:r w:rsidRPr="00046160">
        <w:tab/>
        <w:t xml:space="preserve">Support to the test phase was provided by </w:t>
      </w:r>
      <w:r w:rsidR="008D4603">
        <w:t>the International Standard Organization (</w:t>
      </w:r>
      <w:r w:rsidRPr="00046160">
        <w:t>ISO</w:t>
      </w:r>
      <w:r w:rsidR="008D4603">
        <w:t>)</w:t>
      </w:r>
      <w:r w:rsidRPr="00046160">
        <w:t xml:space="preserve"> and SAE </w:t>
      </w:r>
      <w:r w:rsidR="008D4603">
        <w:t xml:space="preserve">International </w:t>
      </w:r>
      <w:r w:rsidRPr="00046160">
        <w:t>who shared a draft copy of their standard ISO/SAE</w:t>
      </w:r>
      <w:r w:rsidR="00116A2E">
        <w:t> </w:t>
      </w:r>
      <w:r w:rsidRPr="00046160">
        <w:t>21434. This standard is designed to support the cyber security regulation.</w:t>
      </w:r>
    </w:p>
    <w:p w14:paraId="2EE8DA96" w14:textId="77777777" w:rsidR="00C44122" w:rsidRPr="00046160" w:rsidRDefault="00D8661F" w:rsidP="00D8661F">
      <w:pPr>
        <w:pStyle w:val="H1G"/>
        <w:ind w:hanging="567"/>
      </w:pPr>
      <w:r w:rsidRPr="00046160">
        <w:t xml:space="preserve">2.3. </w:t>
      </w:r>
      <w:r w:rsidRPr="00046160">
        <w:tab/>
      </w:r>
      <w:r w:rsidR="00C44122" w:rsidRPr="00046160">
        <w:t>Outcome</w:t>
      </w:r>
      <w:r w:rsidRPr="00046160">
        <w:t xml:space="preserve"> of the test phase</w:t>
      </w:r>
    </w:p>
    <w:p w14:paraId="3616727A" w14:textId="219D9294" w:rsidR="00E149FB" w:rsidRPr="00046160" w:rsidRDefault="00D8661F" w:rsidP="00E149FB">
      <w:pPr>
        <w:pStyle w:val="SingleTxtG"/>
      </w:pPr>
      <w:r w:rsidRPr="00046160">
        <w:t>2.3.1.</w:t>
      </w:r>
      <w:r w:rsidRPr="00046160">
        <w:tab/>
      </w:r>
      <w:r w:rsidR="00E149FB" w:rsidRPr="00046160">
        <w:t xml:space="preserve">Contracting Parties reported their experiences of the test phase during a UNECE Task Force meeting in Leiden on 17-18 July </w:t>
      </w:r>
      <w:r w:rsidR="00116A2E">
        <w:t xml:space="preserve">2019 </w:t>
      </w:r>
      <w:r w:rsidR="00E149FB" w:rsidRPr="00046160">
        <w:t xml:space="preserve">and then confirmed their opinions at a </w:t>
      </w:r>
      <w:r w:rsidR="001A52D0">
        <w:t>Task Force</w:t>
      </w:r>
      <w:r w:rsidR="00E149FB" w:rsidRPr="00046160">
        <w:t xml:space="preserve"> meeting in Geneva on 27-28 August</w:t>
      </w:r>
      <w:r w:rsidR="00116A2E">
        <w:t xml:space="preserve"> 2019</w:t>
      </w:r>
      <w:r w:rsidR="00E149FB" w:rsidRPr="00046160">
        <w:t xml:space="preserve">. </w:t>
      </w:r>
    </w:p>
    <w:p w14:paraId="16327ED3" w14:textId="50274777" w:rsidR="00E149FB" w:rsidRPr="00046160" w:rsidRDefault="00E149FB" w:rsidP="00E149FB">
      <w:pPr>
        <w:pStyle w:val="SingleTxtG"/>
      </w:pPr>
      <w:r w:rsidRPr="00046160">
        <w:t>2.3.2.</w:t>
      </w:r>
      <w:r w:rsidRPr="00046160">
        <w:tab/>
        <w:t>Reports were provided by representatives from contracting parties (</w:t>
      </w:r>
      <w:r w:rsidR="008D4603">
        <w:t xml:space="preserve">France, Germany, Japan, the Netherlands, the Republic of Korea, the </w:t>
      </w:r>
      <w:r w:rsidR="008D4603" w:rsidRPr="008D4603">
        <w:t>United Kingdom of Great Britain and Northern Ireland</w:t>
      </w:r>
      <w:r w:rsidR="008D4603">
        <w:t>, and Spain</w:t>
      </w:r>
      <w:r w:rsidRPr="00046160">
        <w:t>) and by industry. The presentations made are provided on the Task Force wiki page. The reports detailed areas where further guidance may improve the interpretation of the regulations and, where possible, their overall impression</w:t>
      </w:r>
      <w:r w:rsidRPr="00C17351">
        <w:t>.</w:t>
      </w:r>
      <w:r w:rsidR="00056466" w:rsidRPr="00C17351">
        <w:t xml:space="preserve"> </w:t>
      </w:r>
      <w:r w:rsidRPr="00C17351">
        <w:t>An</w:t>
      </w:r>
      <w:r w:rsidRPr="00046160">
        <w:t xml:space="preserve"> overview of the test phase findings is </w:t>
      </w:r>
      <w:r w:rsidRPr="00046160">
        <w:lastRenderedPageBreak/>
        <w:t xml:space="preserve">available as “TFCS-TPCM2-14 (Sec) Overview on the initial findings during the test phase”. </w:t>
      </w:r>
    </w:p>
    <w:p w14:paraId="2A382997" w14:textId="77777777" w:rsidR="005403CD" w:rsidRPr="00E26740" w:rsidRDefault="00E149FB" w:rsidP="00D8661F">
      <w:pPr>
        <w:pStyle w:val="SingleTxtG"/>
      </w:pPr>
      <w:r w:rsidRPr="00DA1267">
        <w:t>2.3.3.</w:t>
      </w:r>
      <w:r w:rsidRPr="00DA1267">
        <w:tab/>
      </w:r>
      <w:r w:rsidR="00BE3B3A" w:rsidRPr="00DA1267">
        <w:t>In accordance with these findings</w:t>
      </w:r>
      <w:r w:rsidR="00D0160D" w:rsidRPr="00E26740">
        <w:t>:</w:t>
      </w:r>
    </w:p>
    <w:p w14:paraId="47A03D87" w14:textId="77777777" w:rsidR="005403CD" w:rsidRPr="00E26740" w:rsidRDefault="00D8661F" w:rsidP="00D8661F">
      <w:pPr>
        <w:pStyle w:val="SingleTxtG"/>
        <w:numPr>
          <w:ilvl w:val="0"/>
          <w:numId w:val="10"/>
        </w:numPr>
      </w:pPr>
      <w:r w:rsidRPr="00E26740">
        <w:t>The i</w:t>
      </w:r>
      <w:r w:rsidR="00D0160D" w:rsidRPr="00E26740">
        <w:t>nitial assessment is positive</w:t>
      </w:r>
      <w:r w:rsidRPr="00E26740">
        <w:t xml:space="preserve"> </w:t>
      </w:r>
    </w:p>
    <w:p w14:paraId="6BC77B7D" w14:textId="19EB717C" w:rsidR="00056466" w:rsidRPr="00C17351" w:rsidRDefault="00D8661F" w:rsidP="00B8277C">
      <w:pPr>
        <w:pStyle w:val="SingleTxtG"/>
        <w:numPr>
          <w:ilvl w:val="0"/>
          <w:numId w:val="10"/>
        </w:numPr>
      </w:pPr>
      <w:r w:rsidRPr="00E26740">
        <w:t>The g</w:t>
      </w:r>
      <w:r w:rsidR="00D0160D" w:rsidRPr="00E26740">
        <w:t>eneral concept works as intended</w:t>
      </w:r>
    </w:p>
    <w:p w14:paraId="5ED94D9D" w14:textId="77777777" w:rsidR="005403CD" w:rsidRPr="00046160" w:rsidRDefault="00D8661F" w:rsidP="00D8661F">
      <w:pPr>
        <w:pStyle w:val="SingleTxtG"/>
      </w:pPr>
      <w:r w:rsidRPr="00046160">
        <w:t>2.3.</w:t>
      </w:r>
      <w:r w:rsidR="00E149FB" w:rsidRPr="00046160">
        <w:t>4</w:t>
      </w:r>
      <w:r w:rsidRPr="00046160">
        <w:t>.</w:t>
      </w:r>
      <w:r w:rsidRPr="00046160">
        <w:tab/>
      </w:r>
      <w:r w:rsidR="00D0160D" w:rsidRPr="00046160">
        <w:t xml:space="preserve">The approach adopted by </w:t>
      </w:r>
      <w:r w:rsidRPr="00046160">
        <w:t>participants</w:t>
      </w:r>
      <w:r w:rsidR="00D0160D" w:rsidRPr="00DA1267">
        <w:t xml:space="preserve"> </w:t>
      </w:r>
      <w:r w:rsidR="00A86047" w:rsidRPr="00DA1267">
        <w:t xml:space="preserve">for assessing the regulations </w:t>
      </w:r>
      <w:r w:rsidR="00D0160D" w:rsidRPr="00DA1267">
        <w:t xml:space="preserve">and </w:t>
      </w:r>
      <w:r w:rsidRPr="00DA1267">
        <w:t xml:space="preserve">the </w:t>
      </w:r>
      <w:r w:rsidR="00D0160D" w:rsidRPr="00046160">
        <w:t xml:space="preserve">experience gained </w:t>
      </w:r>
      <w:r w:rsidRPr="00046160">
        <w:t xml:space="preserve">by them </w:t>
      </w:r>
      <w:r w:rsidR="00D0160D" w:rsidRPr="00046160">
        <w:t>was captured in “Interpretation Documents”</w:t>
      </w:r>
      <w:r w:rsidRPr="00046160">
        <w:t xml:space="preserve">. </w:t>
      </w:r>
      <w:r w:rsidR="00EF0045" w:rsidRPr="00046160">
        <w:t>These elaborate what</w:t>
      </w:r>
      <w:r w:rsidRPr="00046160">
        <w:t xml:space="preserve"> the technical services or approval authorities required to demonstrate that the requirements are met and further captured the opinion of manufacturers and suppliers. </w:t>
      </w:r>
    </w:p>
    <w:p w14:paraId="51836CC1" w14:textId="77777777" w:rsidR="00C17351" w:rsidRDefault="00EF0045" w:rsidP="00C44122">
      <w:pPr>
        <w:pStyle w:val="SingleTxtG"/>
      </w:pPr>
      <w:r w:rsidRPr="00046160">
        <w:t>2.3.</w:t>
      </w:r>
      <w:r w:rsidR="00E149FB" w:rsidRPr="00046160">
        <w:t>5</w:t>
      </w:r>
      <w:r w:rsidRPr="00046160">
        <w:t>.</w:t>
      </w:r>
      <w:r w:rsidRPr="00046160">
        <w:tab/>
      </w:r>
      <w:bookmarkStart w:id="4" w:name="_Hlk24136942"/>
      <w:r w:rsidR="00D0160D" w:rsidRPr="00C17351">
        <w:t>Refinement</w:t>
      </w:r>
      <w:r w:rsidR="00E149FB" w:rsidRPr="00C17351">
        <w:t>s</w:t>
      </w:r>
      <w:r w:rsidR="00D0160D" w:rsidRPr="00C17351">
        <w:t xml:space="preserve"> </w:t>
      </w:r>
      <w:r w:rsidR="00056466" w:rsidRPr="00E26740">
        <w:t xml:space="preserve">and additions </w:t>
      </w:r>
      <w:r w:rsidR="00D0160D" w:rsidRPr="00E26740">
        <w:t xml:space="preserve">to </w:t>
      </w:r>
      <w:r w:rsidR="00D0160D" w:rsidRPr="00C17351">
        <w:t xml:space="preserve">the regulatory text </w:t>
      </w:r>
      <w:r w:rsidR="00E149FB" w:rsidRPr="00C17351">
        <w:t>were suggested. These are based</w:t>
      </w:r>
      <w:r w:rsidR="00D0160D" w:rsidRPr="00C17351">
        <w:t xml:space="preserve"> on the learning from </w:t>
      </w:r>
      <w:r w:rsidR="00AA7EBF" w:rsidRPr="00C17351">
        <w:t>the test phase</w:t>
      </w:r>
      <w:r w:rsidR="00C17351">
        <w:t xml:space="preserve"> and will be considered further by the Task Force. I</w:t>
      </w:r>
      <w:r w:rsidR="00056466" w:rsidRPr="00046160">
        <w:t xml:space="preserve">t was suggested that </w:t>
      </w:r>
      <w:r w:rsidR="00BE3B3A" w:rsidRPr="00C17351">
        <w:t xml:space="preserve">some </w:t>
      </w:r>
      <w:r w:rsidR="00056466" w:rsidRPr="00046160">
        <w:t xml:space="preserve">information from the interpretation document </w:t>
      </w:r>
      <w:r w:rsidR="00BE3B3A" w:rsidRPr="00C17351">
        <w:t>c</w:t>
      </w:r>
      <w:r w:rsidR="00056466" w:rsidRPr="00046160">
        <w:t>ould be included in the Regulations</w:t>
      </w:r>
      <w:r w:rsidR="00BE3B3A" w:rsidRPr="00C17351">
        <w:t xml:space="preserve"> to improve legal certainty</w:t>
      </w:r>
      <w:r w:rsidR="00056466" w:rsidRPr="00046160">
        <w:t xml:space="preserve">.  </w:t>
      </w:r>
      <w:bookmarkEnd w:id="4"/>
    </w:p>
    <w:p w14:paraId="39F01775" w14:textId="77777777" w:rsidR="00C44122" w:rsidRPr="00046160" w:rsidRDefault="00AA7EBF" w:rsidP="00C44122">
      <w:pPr>
        <w:pStyle w:val="SingleTxtG"/>
      </w:pPr>
      <w:r w:rsidRPr="00DA1267">
        <w:t>2.3.</w:t>
      </w:r>
      <w:r w:rsidR="00E149FB" w:rsidRPr="00DA1267">
        <w:t>6</w:t>
      </w:r>
      <w:r w:rsidRPr="00046160">
        <w:t>.</w:t>
      </w:r>
      <w:r w:rsidRPr="00046160">
        <w:tab/>
        <w:t>The outcome of the round robin testing was provided by the participating manufacturer. They concluded that:</w:t>
      </w:r>
    </w:p>
    <w:p w14:paraId="4AC0BA32" w14:textId="77777777" w:rsidR="005403CD" w:rsidRPr="00046160" w:rsidRDefault="00D0160D" w:rsidP="00AA7EBF">
      <w:pPr>
        <w:pStyle w:val="SingleTxtG"/>
        <w:numPr>
          <w:ilvl w:val="0"/>
          <w:numId w:val="10"/>
        </w:numPr>
      </w:pPr>
      <w:r w:rsidRPr="00046160">
        <w:t xml:space="preserve">The different </w:t>
      </w:r>
      <w:r w:rsidR="00AA7EBF" w:rsidRPr="00046160">
        <w:t>technical services/approval authorities</w:t>
      </w:r>
      <w:r w:rsidRPr="00046160">
        <w:t xml:space="preserve"> demonstrated the same understanding of the regulations</w:t>
      </w:r>
    </w:p>
    <w:p w14:paraId="5EB3F012" w14:textId="77777777" w:rsidR="005403CD" w:rsidRPr="00046160" w:rsidRDefault="00D0160D" w:rsidP="00AA7EBF">
      <w:pPr>
        <w:pStyle w:val="SingleTxtG"/>
        <w:numPr>
          <w:ilvl w:val="0"/>
          <w:numId w:val="10"/>
        </w:numPr>
      </w:pPr>
      <w:r w:rsidRPr="00046160">
        <w:t xml:space="preserve">The different </w:t>
      </w:r>
      <w:r w:rsidR="00AA7EBF" w:rsidRPr="00046160">
        <w:t xml:space="preserve">technical services/approval authorities </w:t>
      </w:r>
      <w:r w:rsidRPr="00046160">
        <w:t>demonstrated the same understanding of the documentation they required</w:t>
      </w:r>
      <w:r w:rsidR="00BE3B3A" w:rsidRPr="00046160">
        <w:t xml:space="preserve">. </w:t>
      </w:r>
    </w:p>
    <w:p w14:paraId="380DCF8F" w14:textId="77777777" w:rsidR="005403CD" w:rsidRPr="00046160" w:rsidRDefault="00D0160D" w:rsidP="00AA7EBF">
      <w:pPr>
        <w:pStyle w:val="SingleTxtG"/>
        <w:numPr>
          <w:ilvl w:val="0"/>
          <w:numId w:val="10"/>
        </w:numPr>
      </w:pPr>
      <w:r w:rsidRPr="00046160">
        <w:t>The draft ISO/SAE 21434 provided a useful aid to the assessment and harmonising approaches</w:t>
      </w:r>
    </w:p>
    <w:p w14:paraId="04E085CE" w14:textId="77777777" w:rsidR="005403CD" w:rsidRPr="00046160" w:rsidRDefault="00AA7EBF" w:rsidP="00AA7EBF">
      <w:pPr>
        <w:pStyle w:val="SingleTxtG"/>
      </w:pPr>
      <w:r w:rsidRPr="00046160">
        <w:t>2.3.</w:t>
      </w:r>
      <w:r w:rsidR="00E149FB" w:rsidRPr="00046160">
        <w:t>7</w:t>
      </w:r>
      <w:r w:rsidRPr="00046160">
        <w:t>.</w:t>
      </w:r>
      <w:r w:rsidRPr="00046160">
        <w:tab/>
      </w:r>
      <w:r w:rsidR="00D0160D" w:rsidRPr="00046160">
        <w:t>The round robin testing provide</w:t>
      </w:r>
      <w:r w:rsidRPr="00046160">
        <w:t>d</w:t>
      </w:r>
      <w:r w:rsidR="00D0160D" w:rsidRPr="00046160">
        <w:t xml:space="preserve"> an indicative positive result that a similar conclusion might be reached if a full information package were available</w:t>
      </w:r>
      <w:r w:rsidRPr="00046160">
        <w:t>.</w:t>
      </w:r>
    </w:p>
    <w:p w14:paraId="3479F60B" w14:textId="77777777" w:rsidR="008710D8" w:rsidRPr="00046160" w:rsidRDefault="00AA7EBF" w:rsidP="008710D8">
      <w:pPr>
        <w:pStyle w:val="SingleTxtG"/>
      </w:pPr>
      <w:r w:rsidRPr="00046160">
        <w:t>2.3.</w:t>
      </w:r>
      <w:r w:rsidR="00E149FB" w:rsidRPr="00046160">
        <w:t>8</w:t>
      </w:r>
      <w:r w:rsidRPr="00046160">
        <w:t xml:space="preserve">. </w:t>
      </w:r>
      <w:r w:rsidRPr="00046160">
        <w:tab/>
        <w:t xml:space="preserve">The overall conclusion of the Task Force is that the regulations works as intended and will provide value. </w:t>
      </w:r>
    </w:p>
    <w:p w14:paraId="45E0E567" w14:textId="775165B3" w:rsidR="008710D8" w:rsidRPr="00046160" w:rsidRDefault="008710D8" w:rsidP="008710D8">
      <w:pPr>
        <w:pStyle w:val="SingleTxtG"/>
      </w:pPr>
      <w:r w:rsidRPr="00046160">
        <w:t>2.3.9.</w:t>
      </w:r>
      <w:r w:rsidRPr="00046160">
        <w:tab/>
        <w:t xml:space="preserve">The test phase was ended as a Task Force activity on 30 August 2019. </w:t>
      </w:r>
    </w:p>
    <w:p w14:paraId="5FCD7F5A" w14:textId="77777777" w:rsidR="0023659A" w:rsidRPr="00046160" w:rsidRDefault="00430AE0" w:rsidP="00430AE0">
      <w:pPr>
        <w:pStyle w:val="HChG"/>
        <w:tabs>
          <w:tab w:val="clear" w:pos="851"/>
        </w:tabs>
        <w:ind w:hanging="567"/>
      </w:pPr>
      <w:r w:rsidRPr="00046160">
        <w:t>4.</w:t>
      </w:r>
      <w:r w:rsidRPr="00046160">
        <w:tab/>
      </w:r>
      <w:r w:rsidR="00E149FB" w:rsidRPr="00046160">
        <w:t>Next steps</w:t>
      </w:r>
    </w:p>
    <w:p w14:paraId="699B7EDA" w14:textId="77777777" w:rsidR="00430AE0" w:rsidRPr="00046160" w:rsidRDefault="00430AE0" w:rsidP="00430AE0">
      <w:pPr>
        <w:pStyle w:val="H1G"/>
        <w:ind w:hanging="567"/>
      </w:pPr>
      <w:r w:rsidRPr="00046160">
        <w:t>4.1.</w:t>
      </w:r>
      <w:r w:rsidR="00EB5C1F">
        <w:tab/>
      </w:r>
      <w:r w:rsidRPr="00046160">
        <w:t xml:space="preserve">How points </w:t>
      </w:r>
      <w:r w:rsidR="00E149FB" w:rsidRPr="00046160">
        <w:t>raised are being</w:t>
      </w:r>
      <w:r w:rsidRPr="00046160">
        <w:t xml:space="preserve"> addressed</w:t>
      </w:r>
    </w:p>
    <w:p w14:paraId="0D5E6543" w14:textId="0D12FEEF" w:rsidR="005570D8" w:rsidRPr="00046160" w:rsidRDefault="00430AE0" w:rsidP="0023659A">
      <w:pPr>
        <w:pStyle w:val="SingleTxtG"/>
      </w:pPr>
      <w:r w:rsidRPr="00046160">
        <w:t>4.1.1.</w:t>
      </w:r>
      <w:r w:rsidRPr="00046160">
        <w:tab/>
        <w:t xml:space="preserve">Points raised by test phase participants and suggest amendments </w:t>
      </w:r>
      <w:r w:rsidR="00E149FB" w:rsidRPr="00046160">
        <w:t xml:space="preserve">from the test phase </w:t>
      </w:r>
      <w:r w:rsidRPr="00046160">
        <w:t xml:space="preserve">were collated and </w:t>
      </w:r>
      <w:r w:rsidR="00E149FB" w:rsidRPr="00046160">
        <w:t>presented to the Task Force</w:t>
      </w:r>
      <w:r w:rsidRPr="00046160">
        <w:t xml:space="preserve">. </w:t>
      </w:r>
      <w:r w:rsidR="001059F3" w:rsidRPr="00046160">
        <w:t>T</w:t>
      </w:r>
      <w:r w:rsidR="00D477AC" w:rsidRPr="00046160">
        <w:t xml:space="preserve">hese were </w:t>
      </w:r>
      <w:r w:rsidR="00BE3B3A" w:rsidRPr="00046160">
        <w:t xml:space="preserve">first </w:t>
      </w:r>
      <w:r w:rsidR="00D477AC" w:rsidRPr="00046160">
        <w:t>discussed in TFCS-</w:t>
      </w:r>
      <w:r w:rsidR="001059F3" w:rsidRPr="00046160">
        <w:t xml:space="preserve">15 and subsequent meetings. </w:t>
      </w:r>
      <w:r w:rsidR="00DA0898" w:rsidRPr="00046160">
        <w:t>Future meetings will take place in Japan (</w:t>
      </w:r>
      <w:r w:rsidR="00116A2E">
        <w:t>16</w:t>
      </w:r>
      <w:r w:rsidR="00116A2E" w:rsidRPr="00116A2E">
        <w:rPr>
          <w:vertAlign w:val="superscript"/>
        </w:rPr>
        <w:t>th</w:t>
      </w:r>
      <w:r w:rsidR="00116A2E">
        <w:t xml:space="preserve"> </w:t>
      </w:r>
      <w:r w:rsidR="00DA0898" w:rsidRPr="00046160">
        <w:t>TFCS</w:t>
      </w:r>
      <w:r w:rsidR="00116A2E">
        <w:t xml:space="preserve"> meeting </w:t>
      </w:r>
      <w:r w:rsidR="00DA0898" w:rsidRPr="00046160">
        <w:t>in November</w:t>
      </w:r>
      <w:r w:rsidR="00116A2E">
        <w:t xml:space="preserve"> 2019</w:t>
      </w:r>
      <w:r w:rsidR="00DA0898" w:rsidRPr="00046160">
        <w:t>) and the United States of America (</w:t>
      </w:r>
      <w:r w:rsidR="00116A2E">
        <w:t>17</w:t>
      </w:r>
      <w:r w:rsidR="00116A2E" w:rsidRPr="00116A2E">
        <w:rPr>
          <w:vertAlign w:val="superscript"/>
        </w:rPr>
        <w:t>th</w:t>
      </w:r>
      <w:r w:rsidR="00116A2E">
        <w:t xml:space="preserve"> </w:t>
      </w:r>
      <w:r w:rsidR="00DA0898" w:rsidRPr="00046160">
        <w:t>TFCS</w:t>
      </w:r>
      <w:r w:rsidR="00116A2E">
        <w:t xml:space="preserve"> messing</w:t>
      </w:r>
      <w:bookmarkStart w:id="5" w:name="_GoBack"/>
      <w:bookmarkEnd w:id="5"/>
      <w:r w:rsidR="00DA0898" w:rsidRPr="00046160">
        <w:t xml:space="preserve"> in January 2020) and finalise discussions on them.</w:t>
      </w:r>
    </w:p>
    <w:p w14:paraId="795F7CAD" w14:textId="77777777" w:rsidR="00430AE0" w:rsidRPr="00046160" w:rsidRDefault="00430AE0" w:rsidP="00430AE0">
      <w:pPr>
        <w:pStyle w:val="H1G"/>
        <w:ind w:hanging="567"/>
      </w:pPr>
      <w:r w:rsidRPr="00046160">
        <w:t>4.2.</w:t>
      </w:r>
      <w:r w:rsidR="00EB5C1F">
        <w:tab/>
      </w:r>
      <w:r w:rsidR="00E149FB" w:rsidRPr="00046160">
        <w:t>Specific p</w:t>
      </w:r>
      <w:r w:rsidRPr="00046160">
        <w:t xml:space="preserve">oints </w:t>
      </w:r>
      <w:r w:rsidR="006D490E" w:rsidRPr="00046160">
        <w:t xml:space="preserve">raised </w:t>
      </w:r>
      <w:r w:rsidR="00BE3B3A" w:rsidRPr="00046160">
        <w:t xml:space="preserve">to be </w:t>
      </w:r>
      <w:r w:rsidR="00E149FB" w:rsidRPr="00046160">
        <w:t>addressed by the Task Force</w:t>
      </w:r>
    </w:p>
    <w:p w14:paraId="5F3EE1AC" w14:textId="77777777" w:rsidR="0023659A" w:rsidRPr="00046160" w:rsidRDefault="00430AE0" w:rsidP="00430AE0">
      <w:pPr>
        <w:pStyle w:val="SingleTxtG"/>
      </w:pPr>
      <w:r w:rsidRPr="00046160">
        <w:t>4.2.1.</w:t>
      </w:r>
      <w:r w:rsidRPr="00046160">
        <w:tab/>
      </w:r>
      <w:r w:rsidR="000735D7" w:rsidRPr="00B8277C">
        <w:rPr>
          <w:b/>
          <w:bCs/>
        </w:rPr>
        <w:t>Introduction of the legislation</w:t>
      </w:r>
      <w:r w:rsidR="000735D7" w:rsidRPr="00DA1267">
        <w:t xml:space="preserve"> – the output from the test phase has result</w:t>
      </w:r>
      <w:r w:rsidR="000735D7" w:rsidRPr="00046160">
        <w:t xml:space="preserve">ed in suggested amendments to the requirements. The Task Force will complete their review of these, and other comments subsequently received, in their next meeting in November. This will allow GRVA to progress the work and potentially adopt the legislation in February 2020. </w:t>
      </w:r>
    </w:p>
    <w:p w14:paraId="0A6461D3" w14:textId="08B78462" w:rsidR="0023659A" w:rsidRPr="00046160" w:rsidRDefault="00430AE0" w:rsidP="00DF4770">
      <w:pPr>
        <w:pStyle w:val="SingleTxtG"/>
      </w:pPr>
      <w:r w:rsidRPr="00046160">
        <w:t>4.2.2.</w:t>
      </w:r>
      <w:r w:rsidR="00DF4770" w:rsidRPr="00046160">
        <w:tab/>
      </w:r>
      <w:r w:rsidR="00DF4770" w:rsidRPr="00B8277C">
        <w:rPr>
          <w:b/>
          <w:bCs/>
        </w:rPr>
        <w:t>Competencies of Technical Services</w:t>
      </w:r>
      <w:r w:rsidR="00DF4770" w:rsidRPr="00046160">
        <w:t xml:space="preserve"> </w:t>
      </w:r>
      <w:r w:rsidR="00DA0898" w:rsidRPr="00046160">
        <w:t>–</w:t>
      </w:r>
      <w:r w:rsidR="00DF4770" w:rsidRPr="00046160">
        <w:t xml:space="preserve"> </w:t>
      </w:r>
      <w:r w:rsidR="00DA0898" w:rsidRPr="00046160">
        <w:t>as the regulations are new the question of what skills authorities would need was raised. Whilst i</w:t>
      </w:r>
      <w:r w:rsidR="0023659A" w:rsidRPr="00046160">
        <w:t xml:space="preserve">t was noted that </w:t>
      </w:r>
      <w:r w:rsidR="00DF4770" w:rsidRPr="00046160">
        <w:t xml:space="preserve">the </w:t>
      </w:r>
      <w:r w:rsidR="0023659A" w:rsidRPr="00046160">
        <w:t xml:space="preserve">competencies of Approval Authorities and Technical Services is a matter for Contracting Parties under the 1958 </w:t>
      </w:r>
      <w:r w:rsidR="001A52D0">
        <w:t>A</w:t>
      </w:r>
      <w:r w:rsidR="001A52D0" w:rsidRPr="00046160">
        <w:t>greement</w:t>
      </w:r>
      <w:r w:rsidR="001A52D0">
        <w:t xml:space="preserve"> (according to the provisions of Schedule 2 of the Agreement)</w:t>
      </w:r>
      <w:r w:rsidR="00DA0898" w:rsidRPr="00046160">
        <w:t xml:space="preserve">, participants were able to provide advice and the </w:t>
      </w:r>
      <w:r w:rsidR="00DA0898" w:rsidRPr="00046160">
        <w:lastRenderedPageBreak/>
        <w:t xml:space="preserve">Task Force will consider this further. Experience from the test phase shows that </w:t>
      </w:r>
      <w:r w:rsidR="0023659A" w:rsidRPr="00046160">
        <w:t xml:space="preserve">an assessment could be conducted through having a lead auditor (to verify that all items are addressed) and dedicated experts (to look at specific items). It was noted that there are organisations, such as </w:t>
      </w:r>
      <w:r w:rsidR="001A52D0">
        <w:t xml:space="preserve">the </w:t>
      </w:r>
      <w:r w:rsidR="001A52D0" w:rsidRPr="001A52D0">
        <w:t>European Network and Information Security Agency</w:t>
      </w:r>
      <w:r w:rsidR="001A52D0">
        <w:t xml:space="preserve"> (</w:t>
      </w:r>
      <w:r w:rsidR="0023659A" w:rsidRPr="00046160">
        <w:t>ENISA</w:t>
      </w:r>
      <w:r w:rsidR="001A52D0">
        <w:t>)</w:t>
      </w:r>
      <w:r w:rsidR="0023659A" w:rsidRPr="00046160">
        <w:t xml:space="preserve"> in Europe, who can help identify such experts. </w:t>
      </w:r>
      <w:r w:rsidR="00DA0898" w:rsidRPr="00046160">
        <w:t>The Task Force will continue to consider this ahead of the next meeting of the GRVA.</w:t>
      </w:r>
    </w:p>
    <w:p w14:paraId="48098311" w14:textId="4746224D" w:rsidR="00430AE0" w:rsidRPr="00046160" w:rsidRDefault="00DF4770" w:rsidP="00DF4770">
      <w:pPr>
        <w:pStyle w:val="SingleTxtG"/>
      </w:pPr>
      <w:r w:rsidRPr="00046160">
        <w:t>4.2.3.</w:t>
      </w:r>
      <w:r w:rsidRPr="00046160">
        <w:tab/>
      </w:r>
      <w:r w:rsidRPr="00B8277C">
        <w:rPr>
          <w:b/>
          <w:bCs/>
        </w:rPr>
        <w:t>Software updates for vehicles “definitely discontinued”</w:t>
      </w:r>
      <w:r w:rsidRPr="00046160">
        <w:t xml:space="preserve"> </w:t>
      </w:r>
      <w:r w:rsidR="001A52D0" w:rsidRPr="00046160">
        <w:t>–</w:t>
      </w:r>
      <w:r w:rsidRPr="00046160">
        <w:t xml:space="preserve"> </w:t>
      </w:r>
      <w:r w:rsidR="00430AE0" w:rsidRPr="00046160">
        <w:t xml:space="preserve">the topic of updates for vehicle types which are “definitely discontinued” </w:t>
      </w:r>
      <w:r w:rsidR="00DA0898" w:rsidRPr="00046160">
        <w:t>was raised as there</w:t>
      </w:r>
      <w:r w:rsidR="00430AE0" w:rsidRPr="00046160">
        <w:t xml:space="preserve"> is no precedence for this within the confines of the 1958 </w:t>
      </w:r>
      <w:r w:rsidR="001227D8">
        <w:t>Agreement</w:t>
      </w:r>
      <w:r w:rsidR="00430AE0" w:rsidRPr="00046160">
        <w:t xml:space="preserve">. The </w:t>
      </w:r>
      <w:r w:rsidR="001A52D0">
        <w:t>Task Force</w:t>
      </w:r>
      <w:r w:rsidR="00DA0898" w:rsidRPr="00046160">
        <w:t xml:space="preserve"> has provided</w:t>
      </w:r>
      <w:r w:rsidR="00430AE0" w:rsidRPr="00046160">
        <w:t xml:space="preserve"> guidance for handling software updates post-</w:t>
      </w:r>
      <w:r w:rsidRPr="00046160">
        <w:t>production</w:t>
      </w:r>
      <w:r w:rsidR="00DA0898" w:rsidRPr="00046160">
        <w:t xml:space="preserve"> to help national</w:t>
      </w:r>
      <w:r w:rsidR="00430AE0" w:rsidRPr="00046160">
        <w:t xml:space="preserve">/regional </w:t>
      </w:r>
      <w:r w:rsidR="00DA0898" w:rsidRPr="00046160">
        <w:t>bodies</w:t>
      </w:r>
      <w:r w:rsidR="00430AE0" w:rsidRPr="00046160">
        <w:t xml:space="preserve">. </w:t>
      </w:r>
    </w:p>
    <w:p w14:paraId="2FF5EB7C" w14:textId="2B271A48" w:rsidR="0023659A" w:rsidRPr="00046160" w:rsidRDefault="00DF4770" w:rsidP="000735D7">
      <w:pPr>
        <w:pStyle w:val="SingleTxtG"/>
      </w:pPr>
      <w:r w:rsidRPr="00046160">
        <w:t xml:space="preserve">4.2.4. </w:t>
      </w:r>
      <w:r w:rsidRPr="00046160">
        <w:tab/>
      </w:r>
      <w:r w:rsidRPr="00B8277C">
        <w:rPr>
          <w:b/>
          <w:bCs/>
        </w:rPr>
        <w:t xml:space="preserve">Pass-fail </w:t>
      </w:r>
      <w:r w:rsidR="00DA0898" w:rsidRPr="00B8277C">
        <w:rPr>
          <w:b/>
          <w:bCs/>
        </w:rPr>
        <w:t xml:space="preserve">criteria for </w:t>
      </w:r>
      <w:r w:rsidR="000735D7" w:rsidRPr="00B8277C">
        <w:rPr>
          <w:b/>
          <w:bCs/>
        </w:rPr>
        <w:t>the requirements</w:t>
      </w:r>
      <w:r w:rsidR="001A52D0">
        <w:t xml:space="preserve"> </w:t>
      </w:r>
      <w:r w:rsidR="001A52D0" w:rsidRPr="00046160">
        <w:t xml:space="preserve">– </w:t>
      </w:r>
      <w:r w:rsidR="001A52D0">
        <w:t>t</w:t>
      </w:r>
      <w:r w:rsidR="001A52D0" w:rsidRPr="00046160">
        <w:t xml:space="preserve">he </w:t>
      </w:r>
      <w:r w:rsidR="000735D7" w:rsidRPr="00046160">
        <w:t>regulations define processes that should be in place and require that manufacturers evidence that they have them, they work and that they have been applied to vehicle types</w:t>
      </w:r>
      <w:r w:rsidR="00D477AC" w:rsidRPr="00046160">
        <w:t xml:space="preserve">. This provides for an </w:t>
      </w:r>
      <w:r w:rsidR="00C17351" w:rsidRPr="00046160">
        <w:t>evidence-based</w:t>
      </w:r>
      <w:r w:rsidR="000735D7" w:rsidRPr="00046160">
        <w:t xml:space="preserve"> assessment and audit of whether the requirements are met. </w:t>
      </w:r>
      <w:r w:rsidR="000735D7" w:rsidRPr="00C17351">
        <w:t>T</w:t>
      </w:r>
      <w:r w:rsidR="0023659A" w:rsidRPr="00C17351">
        <w:t>he i</w:t>
      </w:r>
      <w:r w:rsidR="001059F3" w:rsidRPr="00C17351">
        <w:t>nterpretation document</w:t>
      </w:r>
      <w:r w:rsidR="000735D7" w:rsidRPr="00C17351">
        <w:t>s</w:t>
      </w:r>
      <w:r w:rsidR="001059F3" w:rsidRPr="00C17351">
        <w:t xml:space="preserve"> </w:t>
      </w:r>
      <w:r w:rsidR="000735D7" w:rsidRPr="00C17351">
        <w:t>provid</w:t>
      </w:r>
      <w:r w:rsidR="00BE3B3A" w:rsidRPr="00C17351">
        <w:t>e</w:t>
      </w:r>
      <w:r w:rsidR="000735D7" w:rsidRPr="00C17351">
        <w:t xml:space="preserve"> guidance on what is needed</w:t>
      </w:r>
      <w:r w:rsidR="0023659A" w:rsidRPr="00C17351">
        <w:t xml:space="preserve"> to demonstrate specific requirements are being met.</w:t>
      </w:r>
      <w:r w:rsidR="00BE3B3A" w:rsidRPr="00C17351">
        <w:t xml:space="preserve">  </w:t>
      </w:r>
      <w:r w:rsidR="00C17351">
        <w:t>A</w:t>
      </w:r>
      <w:r w:rsidR="00056466" w:rsidRPr="00C17351">
        <w:t xml:space="preserve">dditional requirements and specifications </w:t>
      </w:r>
      <w:r w:rsidR="00C17351">
        <w:t>may</w:t>
      </w:r>
      <w:r w:rsidR="00056466" w:rsidRPr="00C17351">
        <w:t xml:space="preserve"> </w:t>
      </w:r>
      <w:r w:rsidR="00BE3B3A" w:rsidRPr="00C17351">
        <w:t xml:space="preserve">also </w:t>
      </w:r>
      <w:r w:rsidR="00056466" w:rsidRPr="00C17351">
        <w:t>be added in the Regulatory text</w:t>
      </w:r>
      <w:r w:rsidR="00BE3B3A" w:rsidRPr="00C17351">
        <w:t xml:space="preserve"> to improve legal certainty</w:t>
      </w:r>
      <w:r w:rsidR="00056466" w:rsidRPr="00C17351">
        <w:t xml:space="preserve">. </w:t>
      </w:r>
      <w:r w:rsidR="000735D7" w:rsidRPr="00C17351">
        <w:t>This will complete in the January meeting</w:t>
      </w:r>
      <w:r w:rsidR="008710D8" w:rsidRPr="00C17351">
        <w:t xml:space="preserve"> ahead of the next GRVA meeting.</w:t>
      </w:r>
    </w:p>
    <w:p w14:paraId="0857B264" w14:textId="008BCB0A" w:rsidR="0023659A" w:rsidRPr="00046160" w:rsidRDefault="00DF4770" w:rsidP="00DF4770">
      <w:pPr>
        <w:pStyle w:val="SingleTxtG"/>
      </w:pPr>
      <w:r w:rsidRPr="00DA1267">
        <w:t xml:space="preserve">4.2.5. </w:t>
      </w:r>
      <w:r w:rsidRPr="00046160">
        <w:tab/>
      </w:r>
      <w:r w:rsidRPr="00B8277C">
        <w:rPr>
          <w:b/>
          <w:bCs/>
        </w:rPr>
        <w:t>Risk management approach</w:t>
      </w:r>
      <w:r w:rsidRPr="00046160">
        <w:t xml:space="preserve"> </w:t>
      </w:r>
      <w:r w:rsidR="001A52D0" w:rsidRPr="00046160">
        <w:t>–</w:t>
      </w:r>
      <w:r w:rsidRPr="00046160">
        <w:t xml:space="preserve"> i</w:t>
      </w:r>
      <w:r w:rsidR="0023659A" w:rsidRPr="00046160">
        <w:t xml:space="preserve">t was </w:t>
      </w:r>
      <w:r w:rsidR="000735D7" w:rsidRPr="00046160">
        <w:t>noted that</w:t>
      </w:r>
      <w:r w:rsidR="0023659A" w:rsidRPr="00046160">
        <w:t xml:space="preserve"> the approach </w:t>
      </w:r>
      <w:r w:rsidR="000735D7" w:rsidRPr="00046160">
        <w:t xml:space="preserve">adopted for cyber security </w:t>
      </w:r>
      <w:r w:rsidR="0023659A" w:rsidRPr="00046160">
        <w:t xml:space="preserve">is to manage the risk through both the design of vehicles and requiring manufacturers to have a response plan should further action be needed. </w:t>
      </w:r>
      <w:r w:rsidR="000735D7" w:rsidRPr="00046160">
        <w:t xml:space="preserve">This is in line with best practice and </w:t>
      </w:r>
      <w:r w:rsidR="005A5931">
        <w:t>could</w:t>
      </w:r>
      <w:r w:rsidR="001A52D0">
        <w:t xml:space="preserve"> be recommended to</w:t>
      </w:r>
      <w:r w:rsidR="000735D7" w:rsidRPr="00046160">
        <w:t xml:space="preserve"> </w:t>
      </w:r>
      <w:r w:rsidR="005A5931">
        <w:t xml:space="preserve">the </w:t>
      </w:r>
      <w:r w:rsidR="005A5931" w:rsidRPr="001A52D0">
        <w:t>sectoral initiative on cybersecurity</w:t>
      </w:r>
      <w:r w:rsidR="005A5931">
        <w:t xml:space="preserve"> under the UNECE </w:t>
      </w:r>
      <w:r w:rsidR="001A52D0" w:rsidRPr="001A52D0">
        <w:t>Working Party on Regulatory Cooperation and Standardization Policies (WP.6)</w:t>
      </w:r>
      <w:r w:rsidR="005A5931">
        <w:t>.</w:t>
      </w:r>
    </w:p>
    <w:p w14:paraId="27635E9A" w14:textId="77777777" w:rsidR="0023659A" w:rsidRPr="00046160" w:rsidRDefault="00DF4770" w:rsidP="00DF4770">
      <w:pPr>
        <w:pStyle w:val="SingleTxtG"/>
      </w:pPr>
      <w:r w:rsidRPr="00046160">
        <w:t>4.2.6.</w:t>
      </w:r>
      <w:r w:rsidRPr="00046160">
        <w:tab/>
      </w:r>
      <w:r w:rsidR="000735D7" w:rsidRPr="00B8277C">
        <w:rPr>
          <w:b/>
          <w:bCs/>
        </w:rPr>
        <w:t>How harmonisation of assessments by different Technical Services will be achieved</w:t>
      </w:r>
      <w:r w:rsidR="000735D7" w:rsidRPr="00046160">
        <w:t xml:space="preserve"> – the output of the round robin</w:t>
      </w:r>
      <w:r w:rsidR="00D477AC" w:rsidRPr="00046160">
        <w:t xml:space="preserve"> testing</w:t>
      </w:r>
      <w:r w:rsidR="000735D7" w:rsidRPr="00046160">
        <w:t xml:space="preserve"> indicated that different technical services would reach the same conclusions</w:t>
      </w:r>
      <w:r w:rsidR="00BE3B3A" w:rsidRPr="00046160">
        <w:t xml:space="preserve"> </w:t>
      </w:r>
      <w:proofErr w:type="gramStart"/>
      <w:r w:rsidR="00BE3B3A" w:rsidRPr="00046160">
        <w:t>on the basis of</w:t>
      </w:r>
      <w:proofErr w:type="gramEnd"/>
      <w:r w:rsidR="00BE3B3A" w:rsidRPr="00046160">
        <w:t xml:space="preserve"> the same documentation</w:t>
      </w:r>
      <w:r w:rsidR="000735D7" w:rsidRPr="00046160">
        <w:t>. Additional support to harmonisation is being provided through development of the interpretation documents</w:t>
      </w:r>
      <w:r w:rsidR="00D477AC" w:rsidRPr="00046160">
        <w:t xml:space="preserve"> and the ISO/SAE 21434 standard. </w:t>
      </w:r>
      <w:r w:rsidR="00BE3B3A" w:rsidRPr="00046160">
        <w:t>The w</w:t>
      </w:r>
      <w:r w:rsidR="00D477AC" w:rsidRPr="00046160">
        <w:t>ork on the interpretation documents</w:t>
      </w:r>
      <w:r w:rsidR="00BE3B3A" w:rsidRPr="00046160">
        <w:t xml:space="preserve"> and the regulatory text</w:t>
      </w:r>
      <w:r w:rsidR="000735D7" w:rsidRPr="00046160">
        <w:t xml:space="preserve"> will </w:t>
      </w:r>
      <w:r w:rsidR="00BE3B3A" w:rsidRPr="00046160">
        <w:t xml:space="preserve">continue </w:t>
      </w:r>
      <w:r w:rsidR="000735D7" w:rsidRPr="00046160">
        <w:t>in the January meeting.</w:t>
      </w:r>
    </w:p>
    <w:p w14:paraId="2A30FD3C" w14:textId="77777777" w:rsidR="00F04E76" w:rsidRPr="00046160" w:rsidRDefault="00F04E76" w:rsidP="00F04E76">
      <w:pPr>
        <w:pStyle w:val="SingleTxtG"/>
      </w:pPr>
      <w:r w:rsidRPr="00046160">
        <w:t>4.2.7.</w:t>
      </w:r>
      <w:r w:rsidRPr="00046160">
        <w:tab/>
      </w:r>
      <w:r w:rsidRPr="00B8277C">
        <w:rPr>
          <w:b/>
          <w:bCs/>
        </w:rPr>
        <w:t>Vehicle type</w:t>
      </w:r>
      <w:r w:rsidRPr="00046160">
        <w:t xml:space="preserve"> – </w:t>
      </w:r>
      <w:r w:rsidR="008710D8" w:rsidRPr="00046160">
        <w:t>the topic of which vehicles the regulations should initially be applied to was raised. This has subsequently been discussed and resolved in GRVA</w:t>
      </w:r>
      <w:r w:rsidRPr="00046160">
        <w:t>.</w:t>
      </w:r>
    </w:p>
    <w:p w14:paraId="346F9E9F" w14:textId="310B3C63" w:rsidR="00F04E76" w:rsidRPr="00046160" w:rsidRDefault="00F04E76" w:rsidP="00F04E76">
      <w:pPr>
        <w:pStyle w:val="SingleTxtG"/>
      </w:pPr>
      <w:r w:rsidRPr="00046160">
        <w:t>4.2.8.</w:t>
      </w:r>
      <w:r w:rsidRPr="00046160">
        <w:tab/>
      </w:r>
      <w:r w:rsidR="008710D8" w:rsidRPr="00B8277C">
        <w:rPr>
          <w:b/>
          <w:bCs/>
        </w:rPr>
        <w:t>Alternative methods of identifying software on a vehicle</w:t>
      </w:r>
      <w:r w:rsidRPr="00046160">
        <w:t xml:space="preserve"> – an alternative method of implementing the </w:t>
      </w:r>
      <w:r w:rsidR="00817127" w:rsidRPr="001227D8">
        <w:rPr>
          <w:i/>
          <w:iCs/>
        </w:rPr>
        <w:t xml:space="preserve">Software Identification Number relevant for UN Regulation No. X </w:t>
      </w:r>
      <w:r w:rsidR="00817127">
        <w:t>(RXSWIN)</w:t>
      </w:r>
      <w:r w:rsidR="00817127" w:rsidRPr="00046160">
        <w:t xml:space="preserve"> </w:t>
      </w:r>
      <w:r w:rsidRPr="00046160">
        <w:t>concept was adopted</w:t>
      </w:r>
      <w:r w:rsidR="00D477AC" w:rsidRPr="00046160">
        <w:t>, alongside the existing proposal. This</w:t>
      </w:r>
      <w:r w:rsidR="008710D8" w:rsidRPr="00046160">
        <w:t xml:space="preserve"> gives greater flexibility to how software on a vehicle, relevant to a given regulation, may be identified</w:t>
      </w:r>
      <w:r w:rsidRPr="00046160">
        <w:t xml:space="preserve">. </w:t>
      </w:r>
      <w:r w:rsidR="008710D8" w:rsidRPr="00046160">
        <w:t>The Task Force will look to adopt this suggestion in their next meeting in November.</w:t>
      </w:r>
    </w:p>
    <w:p w14:paraId="3924F99A" w14:textId="77777777" w:rsidR="00DF4770" w:rsidRPr="00046160" w:rsidRDefault="00DF4770" w:rsidP="00DF4770">
      <w:pPr>
        <w:pStyle w:val="H1G"/>
        <w:ind w:hanging="567"/>
      </w:pPr>
      <w:r w:rsidRPr="00046160">
        <w:t>4.3.</w:t>
      </w:r>
      <w:r w:rsidR="00EB5C1F">
        <w:tab/>
      </w:r>
      <w:r w:rsidRPr="00046160">
        <w:t xml:space="preserve">Outcome of </w:t>
      </w:r>
      <w:r w:rsidR="008710D8" w:rsidRPr="00046160">
        <w:t>Test Phase</w:t>
      </w:r>
    </w:p>
    <w:p w14:paraId="5A88597E" w14:textId="222FB58D" w:rsidR="005B6CCD" w:rsidRPr="00A3114D" w:rsidRDefault="00DF4770" w:rsidP="00423743">
      <w:pPr>
        <w:pStyle w:val="SingleTxtG"/>
      </w:pPr>
      <w:r w:rsidRPr="00046160">
        <w:t>4.3.1</w:t>
      </w:r>
      <w:r w:rsidRPr="00046160">
        <w:tab/>
      </w:r>
      <w:r w:rsidR="00D477AC" w:rsidRPr="00046160">
        <w:t>The work of the test phase has improved the legislative proposal</w:t>
      </w:r>
      <w:r w:rsidR="00636D99" w:rsidRPr="00046160">
        <w:t xml:space="preserve"> and shown they will function as intended</w:t>
      </w:r>
      <w:r w:rsidR="00D477AC" w:rsidRPr="00046160">
        <w:t xml:space="preserve">. </w:t>
      </w:r>
      <w:r w:rsidR="00056466" w:rsidRPr="00046160">
        <w:t>A</w:t>
      </w:r>
      <w:r w:rsidR="00423743" w:rsidRPr="00DA1267">
        <w:t xml:space="preserve">mendments to the regulation and work on the interpretation document </w:t>
      </w:r>
      <w:r w:rsidR="00636D99" w:rsidRPr="00DA1267">
        <w:t>will</w:t>
      </w:r>
      <w:r w:rsidR="00423743" w:rsidRPr="00DA1267">
        <w:t xml:space="preserve"> address concerns raised during the test phase regarding specific aspects of the implementation of the proposed legislation.</w:t>
      </w:r>
    </w:p>
    <w:sectPr w:rsidR="005B6CCD" w:rsidRPr="00A3114D" w:rsidSect="00B8277C">
      <w:headerReference w:type="even" r:id="rId8"/>
      <w:headerReference w:type="default" r:id="rId9"/>
      <w:footerReference w:type="even" r:id="rId10"/>
      <w:footerReference w:type="default" r:id="rId11"/>
      <w:headerReference w:type="first" r:id="rId12"/>
      <w:footerReference w:type="first" r:id="rId13"/>
      <w:pgSz w:w="12240" w:h="15840" w:code="1"/>
      <w:pgMar w:top="993" w:right="1134" w:bottom="1134" w:left="1134"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80D3" w14:textId="77777777" w:rsidR="009C6564" w:rsidRDefault="009C6564" w:rsidP="00413284">
      <w:pPr>
        <w:spacing w:after="0" w:line="240" w:lineRule="auto"/>
      </w:pPr>
      <w:r>
        <w:separator/>
      </w:r>
    </w:p>
  </w:endnote>
  <w:endnote w:type="continuationSeparator" w:id="0">
    <w:p w14:paraId="42BA7339" w14:textId="77777777" w:rsidR="009C6564" w:rsidRDefault="009C6564"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404345"/>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67F61259" w14:textId="77777777" w:rsidR="00B9371D" w:rsidRPr="00423ADF" w:rsidRDefault="00B9371D" w:rsidP="006E5A61">
        <w:pPr>
          <w:pStyle w:val="Footer"/>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CB47EE">
          <w:rPr>
            <w:rFonts w:ascii="Times New Roman" w:eastAsia="Times New Roman" w:hAnsi="Times New Roman" w:cs="Times New Roman"/>
            <w:b/>
            <w:noProof/>
            <w:sz w:val="18"/>
            <w:szCs w:val="20"/>
            <w:lang w:eastAsia="en-US"/>
          </w:rPr>
          <w:t>4</w:t>
        </w:r>
        <w:r w:rsidRPr="00D8591C">
          <w:rPr>
            <w:rFonts w:ascii="Times New Roman" w:eastAsia="Times New Roman" w:hAnsi="Times New Roman" w:cs="Times New Roman"/>
            <w:b/>
            <w:noProof/>
            <w:sz w:val="18"/>
            <w:szCs w:val="20"/>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535563"/>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12150610" w14:textId="77777777" w:rsidR="00B9371D" w:rsidRPr="00D8591C" w:rsidRDefault="00B9371D" w:rsidP="00737BED">
        <w:pPr>
          <w:pStyle w:val="Footer"/>
          <w:jc w:val="right"/>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CB47EE">
          <w:rPr>
            <w:rFonts w:ascii="Times New Roman" w:eastAsia="Times New Roman" w:hAnsi="Times New Roman" w:cs="Times New Roman"/>
            <w:b/>
            <w:noProof/>
            <w:sz w:val="18"/>
            <w:szCs w:val="20"/>
            <w:lang w:eastAsia="en-US"/>
          </w:rPr>
          <w:t>3</w:t>
        </w:r>
        <w:r w:rsidRPr="00D8591C">
          <w:rPr>
            <w:rFonts w:ascii="Times New Roman" w:eastAsia="Times New Roman" w:hAnsi="Times New Roman" w:cs="Times New Roman"/>
            <w:b/>
            <w:noProof/>
            <w:sz w:val="18"/>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9052" w14:textId="77777777" w:rsidR="00B9371D" w:rsidRDefault="00B9371D" w:rsidP="003D6E2A">
    <w:pPr>
      <w:pStyle w:val="Footer"/>
    </w:pPr>
    <w:r>
      <w:rPr>
        <w:noProof/>
        <w:lang w:eastAsia="ja-JP"/>
      </w:rPr>
      <w:drawing>
        <wp:anchor distT="0" distB="0" distL="114300" distR="114300" simplePos="0" relativeHeight="251659264" behindDoc="1" locked="1" layoutInCell="1" allowOverlap="1" wp14:anchorId="00004C62" wp14:editId="267F0A7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B32B" w14:textId="77777777" w:rsidR="009C6564" w:rsidRDefault="009C6564" w:rsidP="00413284">
      <w:pPr>
        <w:spacing w:after="0" w:line="240" w:lineRule="auto"/>
      </w:pPr>
      <w:r>
        <w:separator/>
      </w:r>
    </w:p>
  </w:footnote>
  <w:footnote w:type="continuationSeparator" w:id="0">
    <w:p w14:paraId="6F7B582D" w14:textId="77777777" w:rsidR="009C6564" w:rsidRDefault="009C6564" w:rsidP="0041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FED4" w14:textId="15ECF57B" w:rsidR="00B9371D" w:rsidRPr="00B8277C" w:rsidRDefault="00B8277C" w:rsidP="00737BED">
    <w:pPr>
      <w:pStyle w:val="Header"/>
      <w:pBdr>
        <w:bottom w:val="single" w:sz="4" w:space="1" w:color="auto"/>
      </w:pBdr>
      <w:rPr>
        <w:lang w:val="fr-CH"/>
      </w:rPr>
    </w:pPr>
    <w:r>
      <w:rPr>
        <w:rFonts w:asciiTheme="majorBidi" w:hAnsiTheme="majorBidi" w:cstheme="majorBidi"/>
        <w:sz w:val="18"/>
        <w:szCs w:val="18"/>
        <w:lang w:val="fr-CH"/>
      </w:rPr>
      <w:t>WP.29-179-24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AF0A" w14:textId="785FE89C" w:rsidR="00B9371D" w:rsidRPr="00D8591C" w:rsidRDefault="00B8277C" w:rsidP="006E5A61">
    <w:pPr>
      <w:pStyle w:val="Header"/>
      <w:pBdr>
        <w:bottom w:val="single" w:sz="4" w:space="1" w:color="auto"/>
      </w:pBdr>
      <w:jc w:val="right"/>
      <w:rPr>
        <w:rFonts w:asciiTheme="majorBidi" w:hAnsiTheme="majorBidi" w:cstheme="majorBidi"/>
        <w:sz w:val="18"/>
        <w:szCs w:val="18"/>
      </w:rPr>
    </w:pPr>
    <w:r>
      <w:rPr>
        <w:rFonts w:asciiTheme="majorBidi" w:hAnsiTheme="majorBidi" w:cstheme="majorBidi"/>
        <w:sz w:val="18"/>
        <w:szCs w:val="18"/>
        <w:lang w:val="fr-CH"/>
      </w:rPr>
      <w:t>WP.29-179-24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859"/>
    </w:tblGrid>
    <w:tr w:rsidR="00A76EEF" w14:paraId="502729E9" w14:textId="77777777" w:rsidTr="00B8277C">
      <w:tc>
        <w:tcPr>
          <w:tcW w:w="5954" w:type="dxa"/>
        </w:tcPr>
        <w:p w14:paraId="18F273FA" w14:textId="2703ED28" w:rsidR="00A76EEF" w:rsidRDefault="00A76EEF">
          <w:pPr>
            <w:pStyle w:val="Header"/>
          </w:pPr>
          <w:r>
            <w:t xml:space="preserve">Submitted by the Co-Chairs of the TF on CS/OTA </w:t>
          </w:r>
        </w:p>
      </w:tc>
      <w:tc>
        <w:tcPr>
          <w:tcW w:w="4859" w:type="dxa"/>
        </w:tcPr>
        <w:p w14:paraId="5AC337B2" w14:textId="08F2B540" w:rsidR="00A76EEF" w:rsidRDefault="00A76EEF">
          <w:pPr>
            <w:pStyle w:val="Header"/>
          </w:pPr>
          <w:r w:rsidRPr="00A76EEF">
            <w:rPr>
              <w:u w:val="single"/>
            </w:rPr>
            <w:t>Informal document</w:t>
          </w:r>
          <w:r>
            <w:t xml:space="preserve"> </w:t>
          </w:r>
          <w:r w:rsidRPr="00A76EEF">
            <w:rPr>
              <w:b/>
              <w:bCs/>
            </w:rPr>
            <w:t>WP.29-179-</w:t>
          </w:r>
          <w:r w:rsidR="00B8277C">
            <w:rPr>
              <w:b/>
              <w:bCs/>
            </w:rPr>
            <w:t>24</w:t>
          </w:r>
        </w:p>
        <w:p w14:paraId="1620A02E" w14:textId="77777777" w:rsidR="00A76EEF" w:rsidRDefault="00A76EEF">
          <w:pPr>
            <w:pStyle w:val="Header"/>
          </w:pPr>
          <w:r>
            <w:t>179th WP.29, 12-14 November 2019</w:t>
          </w:r>
        </w:p>
        <w:p w14:paraId="2857ECE1" w14:textId="1A183171" w:rsidR="00A76EEF" w:rsidRDefault="00A76EEF">
          <w:pPr>
            <w:pStyle w:val="Header"/>
          </w:pPr>
          <w:r>
            <w:t>Provisional agenda item 2.3</w:t>
          </w:r>
        </w:p>
      </w:tc>
    </w:tr>
  </w:tbl>
  <w:p w14:paraId="4A7604EA" w14:textId="77777777" w:rsidR="00A76EEF" w:rsidRDefault="00A7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2023640"/>
    <w:multiLevelType w:val="hybridMultilevel"/>
    <w:tmpl w:val="A80EAF0E"/>
    <w:lvl w:ilvl="0" w:tplc="08090001">
      <w:start w:val="1"/>
      <w:numFmt w:val="bullet"/>
      <w:lvlText w:val=""/>
      <w:lvlJc w:val="left"/>
      <w:pPr>
        <w:tabs>
          <w:tab w:val="num" w:pos="2628"/>
        </w:tabs>
        <w:ind w:left="2628" w:hanging="360"/>
      </w:pPr>
      <w:rPr>
        <w:rFonts w:ascii="Symbol" w:hAnsi="Symbol" w:hint="default"/>
      </w:rPr>
    </w:lvl>
    <w:lvl w:ilvl="1" w:tplc="08090003">
      <w:start w:val="1"/>
      <w:numFmt w:val="bullet"/>
      <w:lvlText w:val="o"/>
      <w:lvlJc w:val="left"/>
      <w:pPr>
        <w:ind w:left="2628" w:hanging="360"/>
      </w:pPr>
      <w:rPr>
        <w:rFonts w:ascii="Courier New" w:hAnsi="Courier New" w:cs="Courier New" w:hint="default"/>
      </w:rPr>
    </w:lvl>
    <w:lvl w:ilvl="2" w:tplc="08090005">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2" w15:restartNumberingAfterBreak="0">
    <w:nsid w:val="1877342F"/>
    <w:multiLevelType w:val="hybridMultilevel"/>
    <w:tmpl w:val="379A71EA"/>
    <w:lvl w:ilvl="0" w:tplc="7886319C">
      <w:start w:val="1"/>
      <w:numFmt w:val="bullet"/>
      <w:lvlText w:val=""/>
      <w:lvlJc w:val="left"/>
      <w:pPr>
        <w:tabs>
          <w:tab w:val="num" w:pos="720"/>
        </w:tabs>
        <w:ind w:left="720" w:hanging="360"/>
      </w:pPr>
      <w:rPr>
        <w:rFonts w:ascii="Symbol" w:hAnsi="Symbol" w:hint="default"/>
      </w:rPr>
    </w:lvl>
    <w:lvl w:ilvl="1" w:tplc="9B6AD656" w:tentative="1">
      <w:start w:val="1"/>
      <w:numFmt w:val="bullet"/>
      <w:lvlText w:val=""/>
      <w:lvlJc w:val="left"/>
      <w:pPr>
        <w:tabs>
          <w:tab w:val="num" w:pos="1440"/>
        </w:tabs>
        <w:ind w:left="1440" w:hanging="360"/>
      </w:pPr>
      <w:rPr>
        <w:rFonts w:ascii="Symbol" w:hAnsi="Symbol" w:hint="default"/>
      </w:rPr>
    </w:lvl>
    <w:lvl w:ilvl="2" w:tplc="2A74F410">
      <w:start w:val="28"/>
      <w:numFmt w:val="bullet"/>
      <w:lvlText w:val=""/>
      <w:lvlJc w:val="left"/>
      <w:pPr>
        <w:tabs>
          <w:tab w:val="num" w:pos="2160"/>
        </w:tabs>
        <w:ind w:left="2160" w:hanging="360"/>
      </w:pPr>
      <w:rPr>
        <w:rFonts w:ascii="Symbol" w:hAnsi="Symbol" w:hint="default"/>
      </w:rPr>
    </w:lvl>
    <w:lvl w:ilvl="3" w:tplc="97AE6F08" w:tentative="1">
      <w:start w:val="1"/>
      <w:numFmt w:val="bullet"/>
      <w:lvlText w:val=""/>
      <w:lvlJc w:val="left"/>
      <w:pPr>
        <w:tabs>
          <w:tab w:val="num" w:pos="2880"/>
        </w:tabs>
        <w:ind w:left="2880" w:hanging="360"/>
      </w:pPr>
      <w:rPr>
        <w:rFonts w:ascii="Symbol" w:hAnsi="Symbol" w:hint="default"/>
      </w:rPr>
    </w:lvl>
    <w:lvl w:ilvl="4" w:tplc="E07CBAD6" w:tentative="1">
      <w:start w:val="1"/>
      <w:numFmt w:val="bullet"/>
      <w:lvlText w:val=""/>
      <w:lvlJc w:val="left"/>
      <w:pPr>
        <w:tabs>
          <w:tab w:val="num" w:pos="3600"/>
        </w:tabs>
        <w:ind w:left="3600" w:hanging="360"/>
      </w:pPr>
      <w:rPr>
        <w:rFonts w:ascii="Symbol" w:hAnsi="Symbol" w:hint="default"/>
      </w:rPr>
    </w:lvl>
    <w:lvl w:ilvl="5" w:tplc="19C63D8A" w:tentative="1">
      <w:start w:val="1"/>
      <w:numFmt w:val="bullet"/>
      <w:lvlText w:val=""/>
      <w:lvlJc w:val="left"/>
      <w:pPr>
        <w:tabs>
          <w:tab w:val="num" w:pos="4320"/>
        </w:tabs>
        <w:ind w:left="4320" w:hanging="360"/>
      </w:pPr>
      <w:rPr>
        <w:rFonts w:ascii="Symbol" w:hAnsi="Symbol" w:hint="default"/>
      </w:rPr>
    </w:lvl>
    <w:lvl w:ilvl="6" w:tplc="56A6B2A8" w:tentative="1">
      <w:start w:val="1"/>
      <w:numFmt w:val="bullet"/>
      <w:lvlText w:val=""/>
      <w:lvlJc w:val="left"/>
      <w:pPr>
        <w:tabs>
          <w:tab w:val="num" w:pos="5040"/>
        </w:tabs>
        <w:ind w:left="5040" w:hanging="360"/>
      </w:pPr>
      <w:rPr>
        <w:rFonts w:ascii="Symbol" w:hAnsi="Symbol" w:hint="default"/>
      </w:rPr>
    </w:lvl>
    <w:lvl w:ilvl="7" w:tplc="4BA0B626" w:tentative="1">
      <w:start w:val="1"/>
      <w:numFmt w:val="bullet"/>
      <w:lvlText w:val=""/>
      <w:lvlJc w:val="left"/>
      <w:pPr>
        <w:tabs>
          <w:tab w:val="num" w:pos="5760"/>
        </w:tabs>
        <w:ind w:left="5760" w:hanging="360"/>
      </w:pPr>
      <w:rPr>
        <w:rFonts w:ascii="Symbol" w:hAnsi="Symbol" w:hint="default"/>
      </w:rPr>
    </w:lvl>
    <w:lvl w:ilvl="8" w:tplc="54FCD3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5350B9"/>
    <w:multiLevelType w:val="hybridMultilevel"/>
    <w:tmpl w:val="275A2454"/>
    <w:lvl w:ilvl="0" w:tplc="DBD622BE">
      <w:start w:val="28"/>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B46E0"/>
    <w:multiLevelType w:val="hybridMultilevel"/>
    <w:tmpl w:val="6720AE4E"/>
    <w:lvl w:ilvl="0" w:tplc="54A6DB1E">
      <w:start w:val="1"/>
      <w:numFmt w:val="bullet"/>
      <w:lvlText w:val=""/>
      <w:lvlJc w:val="left"/>
      <w:pPr>
        <w:tabs>
          <w:tab w:val="num" w:pos="720"/>
        </w:tabs>
        <w:ind w:left="720" w:hanging="360"/>
      </w:pPr>
      <w:rPr>
        <w:rFonts w:ascii="Symbol" w:hAnsi="Symbol" w:hint="default"/>
      </w:rPr>
    </w:lvl>
    <w:lvl w:ilvl="1" w:tplc="C9EC069C">
      <w:start w:val="28"/>
      <w:numFmt w:val="bullet"/>
      <w:lvlText w:val=""/>
      <w:lvlJc w:val="left"/>
      <w:pPr>
        <w:tabs>
          <w:tab w:val="num" w:pos="1440"/>
        </w:tabs>
        <w:ind w:left="1440" w:hanging="360"/>
      </w:pPr>
      <w:rPr>
        <w:rFonts w:ascii="Symbol" w:hAnsi="Symbol" w:hint="default"/>
      </w:rPr>
    </w:lvl>
    <w:lvl w:ilvl="2" w:tplc="12000654" w:tentative="1">
      <w:start w:val="1"/>
      <w:numFmt w:val="bullet"/>
      <w:lvlText w:val=""/>
      <w:lvlJc w:val="left"/>
      <w:pPr>
        <w:tabs>
          <w:tab w:val="num" w:pos="2160"/>
        </w:tabs>
        <w:ind w:left="2160" w:hanging="360"/>
      </w:pPr>
      <w:rPr>
        <w:rFonts w:ascii="Symbol" w:hAnsi="Symbol" w:hint="default"/>
      </w:rPr>
    </w:lvl>
    <w:lvl w:ilvl="3" w:tplc="0988E7A6" w:tentative="1">
      <w:start w:val="1"/>
      <w:numFmt w:val="bullet"/>
      <w:lvlText w:val=""/>
      <w:lvlJc w:val="left"/>
      <w:pPr>
        <w:tabs>
          <w:tab w:val="num" w:pos="2880"/>
        </w:tabs>
        <w:ind w:left="2880" w:hanging="360"/>
      </w:pPr>
      <w:rPr>
        <w:rFonts w:ascii="Symbol" w:hAnsi="Symbol" w:hint="default"/>
      </w:rPr>
    </w:lvl>
    <w:lvl w:ilvl="4" w:tplc="541641AA" w:tentative="1">
      <w:start w:val="1"/>
      <w:numFmt w:val="bullet"/>
      <w:lvlText w:val=""/>
      <w:lvlJc w:val="left"/>
      <w:pPr>
        <w:tabs>
          <w:tab w:val="num" w:pos="3600"/>
        </w:tabs>
        <w:ind w:left="3600" w:hanging="360"/>
      </w:pPr>
      <w:rPr>
        <w:rFonts w:ascii="Symbol" w:hAnsi="Symbol" w:hint="default"/>
      </w:rPr>
    </w:lvl>
    <w:lvl w:ilvl="5" w:tplc="8DBABD16" w:tentative="1">
      <w:start w:val="1"/>
      <w:numFmt w:val="bullet"/>
      <w:lvlText w:val=""/>
      <w:lvlJc w:val="left"/>
      <w:pPr>
        <w:tabs>
          <w:tab w:val="num" w:pos="4320"/>
        </w:tabs>
        <w:ind w:left="4320" w:hanging="360"/>
      </w:pPr>
      <w:rPr>
        <w:rFonts w:ascii="Symbol" w:hAnsi="Symbol" w:hint="default"/>
      </w:rPr>
    </w:lvl>
    <w:lvl w:ilvl="6" w:tplc="699CDF6A" w:tentative="1">
      <w:start w:val="1"/>
      <w:numFmt w:val="bullet"/>
      <w:lvlText w:val=""/>
      <w:lvlJc w:val="left"/>
      <w:pPr>
        <w:tabs>
          <w:tab w:val="num" w:pos="5040"/>
        </w:tabs>
        <w:ind w:left="5040" w:hanging="360"/>
      </w:pPr>
      <w:rPr>
        <w:rFonts w:ascii="Symbol" w:hAnsi="Symbol" w:hint="default"/>
      </w:rPr>
    </w:lvl>
    <w:lvl w:ilvl="7" w:tplc="A3823A08" w:tentative="1">
      <w:start w:val="1"/>
      <w:numFmt w:val="bullet"/>
      <w:lvlText w:val=""/>
      <w:lvlJc w:val="left"/>
      <w:pPr>
        <w:tabs>
          <w:tab w:val="num" w:pos="5760"/>
        </w:tabs>
        <w:ind w:left="5760" w:hanging="360"/>
      </w:pPr>
      <w:rPr>
        <w:rFonts w:ascii="Symbol" w:hAnsi="Symbol" w:hint="default"/>
      </w:rPr>
    </w:lvl>
    <w:lvl w:ilvl="8" w:tplc="D7FA196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48044A9"/>
    <w:multiLevelType w:val="hybridMultilevel"/>
    <w:tmpl w:val="775EC988"/>
    <w:lvl w:ilvl="0" w:tplc="E69CA93A">
      <w:start w:val="1"/>
      <w:numFmt w:val="bullet"/>
      <w:lvlText w:val="•"/>
      <w:lvlJc w:val="left"/>
      <w:pPr>
        <w:tabs>
          <w:tab w:val="num" w:pos="720"/>
        </w:tabs>
        <w:ind w:left="720" w:hanging="360"/>
      </w:pPr>
      <w:rPr>
        <w:rFonts w:ascii="Arial" w:hAnsi="Arial" w:hint="default"/>
      </w:rPr>
    </w:lvl>
    <w:lvl w:ilvl="1" w:tplc="8AE6FA02">
      <w:start w:val="28"/>
      <w:numFmt w:val="bullet"/>
      <w:lvlText w:val="–"/>
      <w:lvlJc w:val="left"/>
      <w:pPr>
        <w:tabs>
          <w:tab w:val="num" w:pos="1440"/>
        </w:tabs>
        <w:ind w:left="1440" w:hanging="360"/>
      </w:pPr>
      <w:rPr>
        <w:rFonts w:ascii="Arial" w:hAnsi="Arial" w:hint="default"/>
      </w:rPr>
    </w:lvl>
    <w:lvl w:ilvl="2" w:tplc="D2EA19BA" w:tentative="1">
      <w:start w:val="1"/>
      <w:numFmt w:val="bullet"/>
      <w:lvlText w:val="•"/>
      <w:lvlJc w:val="left"/>
      <w:pPr>
        <w:tabs>
          <w:tab w:val="num" w:pos="2160"/>
        </w:tabs>
        <w:ind w:left="2160" w:hanging="360"/>
      </w:pPr>
      <w:rPr>
        <w:rFonts w:ascii="Arial" w:hAnsi="Arial" w:hint="default"/>
      </w:rPr>
    </w:lvl>
    <w:lvl w:ilvl="3" w:tplc="4D4E0DC0" w:tentative="1">
      <w:start w:val="1"/>
      <w:numFmt w:val="bullet"/>
      <w:lvlText w:val="•"/>
      <w:lvlJc w:val="left"/>
      <w:pPr>
        <w:tabs>
          <w:tab w:val="num" w:pos="2880"/>
        </w:tabs>
        <w:ind w:left="2880" w:hanging="360"/>
      </w:pPr>
      <w:rPr>
        <w:rFonts w:ascii="Arial" w:hAnsi="Arial" w:hint="default"/>
      </w:rPr>
    </w:lvl>
    <w:lvl w:ilvl="4" w:tplc="BD3094E0" w:tentative="1">
      <w:start w:val="1"/>
      <w:numFmt w:val="bullet"/>
      <w:lvlText w:val="•"/>
      <w:lvlJc w:val="left"/>
      <w:pPr>
        <w:tabs>
          <w:tab w:val="num" w:pos="3600"/>
        </w:tabs>
        <w:ind w:left="3600" w:hanging="360"/>
      </w:pPr>
      <w:rPr>
        <w:rFonts w:ascii="Arial" w:hAnsi="Arial" w:hint="default"/>
      </w:rPr>
    </w:lvl>
    <w:lvl w:ilvl="5" w:tplc="BB543A54" w:tentative="1">
      <w:start w:val="1"/>
      <w:numFmt w:val="bullet"/>
      <w:lvlText w:val="•"/>
      <w:lvlJc w:val="left"/>
      <w:pPr>
        <w:tabs>
          <w:tab w:val="num" w:pos="4320"/>
        </w:tabs>
        <w:ind w:left="4320" w:hanging="360"/>
      </w:pPr>
      <w:rPr>
        <w:rFonts w:ascii="Arial" w:hAnsi="Arial" w:hint="default"/>
      </w:rPr>
    </w:lvl>
    <w:lvl w:ilvl="6" w:tplc="FE884ECE" w:tentative="1">
      <w:start w:val="1"/>
      <w:numFmt w:val="bullet"/>
      <w:lvlText w:val="•"/>
      <w:lvlJc w:val="left"/>
      <w:pPr>
        <w:tabs>
          <w:tab w:val="num" w:pos="5040"/>
        </w:tabs>
        <w:ind w:left="5040" w:hanging="360"/>
      </w:pPr>
      <w:rPr>
        <w:rFonts w:ascii="Arial" w:hAnsi="Arial" w:hint="default"/>
      </w:rPr>
    </w:lvl>
    <w:lvl w:ilvl="7" w:tplc="912A5DDA" w:tentative="1">
      <w:start w:val="1"/>
      <w:numFmt w:val="bullet"/>
      <w:lvlText w:val="•"/>
      <w:lvlJc w:val="left"/>
      <w:pPr>
        <w:tabs>
          <w:tab w:val="num" w:pos="5760"/>
        </w:tabs>
        <w:ind w:left="5760" w:hanging="360"/>
      </w:pPr>
      <w:rPr>
        <w:rFonts w:ascii="Arial" w:hAnsi="Arial" w:hint="default"/>
      </w:rPr>
    </w:lvl>
    <w:lvl w:ilvl="8" w:tplc="F6F4B9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D1778"/>
    <w:multiLevelType w:val="hybridMultilevel"/>
    <w:tmpl w:val="F80EDA72"/>
    <w:lvl w:ilvl="0" w:tplc="F64C50D8">
      <w:start w:val="1"/>
      <w:numFmt w:val="bullet"/>
      <w:lvlText w:val=""/>
      <w:lvlJc w:val="left"/>
      <w:pPr>
        <w:tabs>
          <w:tab w:val="num" w:pos="720"/>
        </w:tabs>
        <w:ind w:left="720" w:hanging="360"/>
      </w:pPr>
      <w:rPr>
        <w:rFonts w:ascii="Symbol" w:hAnsi="Symbol" w:hint="default"/>
      </w:rPr>
    </w:lvl>
    <w:lvl w:ilvl="1" w:tplc="DBD622BE">
      <w:start w:val="28"/>
      <w:numFmt w:val="bullet"/>
      <w:lvlText w:val=""/>
      <w:lvlJc w:val="left"/>
      <w:pPr>
        <w:tabs>
          <w:tab w:val="num" w:pos="1440"/>
        </w:tabs>
        <w:ind w:left="1440" w:hanging="360"/>
      </w:pPr>
      <w:rPr>
        <w:rFonts w:ascii="Symbol" w:hAnsi="Symbol" w:hint="default"/>
      </w:rPr>
    </w:lvl>
    <w:lvl w:ilvl="2" w:tplc="199604C8" w:tentative="1">
      <w:start w:val="1"/>
      <w:numFmt w:val="bullet"/>
      <w:lvlText w:val=""/>
      <w:lvlJc w:val="left"/>
      <w:pPr>
        <w:tabs>
          <w:tab w:val="num" w:pos="2160"/>
        </w:tabs>
        <w:ind w:left="2160" w:hanging="360"/>
      </w:pPr>
      <w:rPr>
        <w:rFonts w:ascii="Symbol" w:hAnsi="Symbol" w:hint="default"/>
      </w:rPr>
    </w:lvl>
    <w:lvl w:ilvl="3" w:tplc="A43C0974" w:tentative="1">
      <w:start w:val="1"/>
      <w:numFmt w:val="bullet"/>
      <w:lvlText w:val=""/>
      <w:lvlJc w:val="left"/>
      <w:pPr>
        <w:tabs>
          <w:tab w:val="num" w:pos="2880"/>
        </w:tabs>
        <w:ind w:left="2880" w:hanging="360"/>
      </w:pPr>
      <w:rPr>
        <w:rFonts w:ascii="Symbol" w:hAnsi="Symbol" w:hint="default"/>
      </w:rPr>
    </w:lvl>
    <w:lvl w:ilvl="4" w:tplc="EAAA2106" w:tentative="1">
      <w:start w:val="1"/>
      <w:numFmt w:val="bullet"/>
      <w:lvlText w:val=""/>
      <w:lvlJc w:val="left"/>
      <w:pPr>
        <w:tabs>
          <w:tab w:val="num" w:pos="3600"/>
        </w:tabs>
        <w:ind w:left="3600" w:hanging="360"/>
      </w:pPr>
      <w:rPr>
        <w:rFonts w:ascii="Symbol" w:hAnsi="Symbol" w:hint="default"/>
      </w:rPr>
    </w:lvl>
    <w:lvl w:ilvl="5" w:tplc="3DE4A4F2" w:tentative="1">
      <w:start w:val="1"/>
      <w:numFmt w:val="bullet"/>
      <w:lvlText w:val=""/>
      <w:lvlJc w:val="left"/>
      <w:pPr>
        <w:tabs>
          <w:tab w:val="num" w:pos="4320"/>
        </w:tabs>
        <w:ind w:left="4320" w:hanging="360"/>
      </w:pPr>
      <w:rPr>
        <w:rFonts w:ascii="Symbol" w:hAnsi="Symbol" w:hint="default"/>
      </w:rPr>
    </w:lvl>
    <w:lvl w:ilvl="6" w:tplc="6D3874FC" w:tentative="1">
      <w:start w:val="1"/>
      <w:numFmt w:val="bullet"/>
      <w:lvlText w:val=""/>
      <w:lvlJc w:val="left"/>
      <w:pPr>
        <w:tabs>
          <w:tab w:val="num" w:pos="5040"/>
        </w:tabs>
        <w:ind w:left="5040" w:hanging="360"/>
      </w:pPr>
      <w:rPr>
        <w:rFonts w:ascii="Symbol" w:hAnsi="Symbol" w:hint="default"/>
      </w:rPr>
    </w:lvl>
    <w:lvl w:ilvl="7" w:tplc="769A6A2E" w:tentative="1">
      <w:start w:val="1"/>
      <w:numFmt w:val="bullet"/>
      <w:lvlText w:val=""/>
      <w:lvlJc w:val="left"/>
      <w:pPr>
        <w:tabs>
          <w:tab w:val="num" w:pos="5760"/>
        </w:tabs>
        <w:ind w:left="5760" w:hanging="360"/>
      </w:pPr>
      <w:rPr>
        <w:rFonts w:ascii="Symbol" w:hAnsi="Symbol" w:hint="default"/>
      </w:rPr>
    </w:lvl>
    <w:lvl w:ilvl="8" w:tplc="D1EE2C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9B72E9E"/>
    <w:multiLevelType w:val="multilevel"/>
    <w:tmpl w:val="5352EEC4"/>
    <w:lvl w:ilvl="0">
      <w:start w:val="1"/>
      <w:numFmt w:val="decimal"/>
      <w:pStyle w:val="Heading1"/>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num w:numId="1">
    <w:abstractNumId w:val="9"/>
  </w:num>
  <w:num w:numId="2">
    <w:abstractNumId w:val="0"/>
  </w:num>
  <w:num w:numId="3">
    <w:abstractNumId w:val="7"/>
  </w:num>
  <w:num w:numId="4">
    <w:abstractNumId w:val="6"/>
  </w:num>
  <w:num w:numId="5">
    <w:abstractNumId w:val="5"/>
  </w:num>
  <w:num w:numId="6">
    <w:abstractNumId w:val="2"/>
  </w:num>
  <w:num w:numId="7">
    <w:abstractNumId w:val="8"/>
  </w:num>
  <w:num w:numId="8">
    <w:abstractNumId w:val="4"/>
  </w:num>
  <w:num w:numId="9">
    <w:abstractNumId w:val="3"/>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fr-CH"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D6D6C"/>
    <w:rsid w:val="00004EE1"/>
    <w:rsid w:val="000116DC"/>
    <w:rsid w:val="00012316"/>
    <w:rsid w:val="00012C4C"/>
    <w:rsid w:val="000130A7"/>
    <w:rsid w:val="000153BB"/>
    <w:rsid w:val="00016C2F"/>
    <w:rsid w:val="00021E32"/>
    <w:rsid w:val="00025CA3"/>
    <w:rsid w:val="000311C2"/>
    <w:rsid w:val="00031E5A"/>
    <w:rsid w:val="0003546C"/>
    <w:rsid w:val="00046160"/>
    <w:rsid w:val="0005420D"/>
    <w:rsid w:val="00056107"/>
    <w:rsid w:val="00056466"/>
    <w:rsid w:val="000579FF"/>
    <w:rsid w:val="00060793"/>
    <w:rsid w:val="000615E8"/>
    <w:rsid w:val="00062218"/>
    <w:rsid w:val="0006627B"/>
    <w:rsid w:val="00066E93"/>
    <w:rsid w:val="00072EE7"/>
    <w:rsid w:val="000735D7"/>
    <w:rsid w:val="00074049"/>
    <w:rsid w:val="000747DF"/>
    <w:rsid w:val="00074AAD"/>
    <w:rsid w:val="00080C9B"/>
    <w:rsid w:val="0008498F"/>
    <w:rsid w:val="00086D0A"/>
    <w:rsid w:val="000922CF"/>
    <w:rsid w:val="000A119F"/>
    <w:rsid w:val="000A6E70"/>
    <w:rsid w:val="000A7684"/>
    <w:rsid w:val="000B57A0"/>
    <w:rsid w:val="000B5B1A"/>
    <w:rsid w:val="000B7703"/>
    <w:rsid w:val="000C05A5"/>
    <w:rsid w:val="000C3E6B"/>
    <w:rsid w:val="000C6E58"/>
    <w:rsid w:val="000D28C9"/>
    <w:rsid w:val="000D32A5"/>
    <w:rsid w:val="000E05A0"/>
    <w:rsid w:val="000E098E"/>
    <w:rsid w:val="000E102E"/>
    <w:rsid w:val="000E4F1D"/>
    <w:rsid w:val="000E5BAA"/>
    <w:rsid w:val="000F0CFC"/>
    <w:rsid w:val="000F50F0"/>
    <w:rsid w:val="000F786A"/>
    <w:rsid w:val="00102226"/>
    <w:rsid w:val="001059F3"/>
    <w:rsid w:val="00111751"/>
    <w:rsid w:val="00114F1C"/>
    <w:rsid w:val="00116A2E"/>
    <w:rsid w:val="00117C20"/>
    <w:rsid w:val="001227D8"/>
    <w:rsid w:val="00123A24"/>
    <w:rsid w:val="00124136"/>
    <w:rsid w:val="00124290"/>
    <w:rsid w:val="0012449F"/>
    <w:rsid w:val="00126F2D"/>
    <w:rsid w:val="001300FA"/>
    <w:rsid w:val="00130145"/>
    <w:rsid w:val="001302D9"/>
    <w:rsid w:val="00131A17"/>
    <w:rsid w:val="00147084"/>
    <w:rsid w:val="00147C52"/>
    <w:rsid w:val="0015654E"/>
    <w:rsid w:val="00157BE2"/>
    <w:rsid w:val="00170E86"/>
    <w:rsid w:val="00181C98"/>
    <w:rsid w:val="001827F7"/>
    <w:rsid w:val="00182D04"/>
    <w:rsid w:val="001865B8"/>
    <w:rsid w:val="00186E7F"/>
    <w:rsid w:val="00193FEC"/>
    <w:rsid w:val="00195354"/>
    <w:rsid w:val="0019572F"/>
    <w:rsid w:val="001A296C"/>
    <w:rsid w:val="001A508B"/>
    <w:rsid w:val="001A52D0"/>
    <w:rsid w:val="001C4117"/>
    <w:rsid w:val="001C43A8"/>
    <w:rsid w:val="001C6123"/>
    <w:rsid w:val="001D09CF"/>
    <w:rsid w:val="001D0C3B"/>
    <w:rsid w:val="001D3046"/>
    <w:rsid w:val="001D4B1D"/>
    <w:rsid w:val="001E102C"/>
    <w:rsid w:val="001E7521"/>
    <w:rsid w:val="001F0F78"/>
    <w:rsid w:val="001F4682"/>
    <w:rsid w:val="001F6DD6"/>
    <w:rsid w:val="002035F5"/>
    <w:rsid w:val="0020425B"/>
    <w:rsid w:val="00204CD7"/>
    <w:rsid w:val="00204D32"/>
    <w:rsid w:val="0021186A"/>
    <w:rsid w:val="00213B2C"/>
    <w:rsid w:val="00223C07"/>
    <w:rsid w:val="002330AB"/>
    <w:rsid w:val="0023639B"/>
    <w:rsid w:val="0023659A"/>
    <w:rsid w:val="00241052"/>
    <w:rsid w:val="0024305B"/>
    <w:rsid w:val="002474AD"/>
    <w:rsid w:val="00247C00"/>
    <w:rsid w:val="00250241"/>
    <w:rsid w:val="00250F2F"/>
    <w:rsid w:val="00254B9A"/>
    <w:rsid w:val="00255418"/>
    <w:rsid w:val="002565BE"/>
    <w:rsid w:val="002606DE"/>
    <w:rsid w:val="0026396E"/>
    <w:rsid w:val="00265C2F"/>
    <w:rsid w:val="002772E7"/>
    <w:rsid w:val="0027738B"/>
    <w:rsid w:val="002974A1"/>
    <w:rsid w:val="002A1698"/>
    <w:rsid w:val="002A4B68"/>
    <w:rsid w:val="002A6CA7"/>
    <w:rsid w:val="002B0186"/>
    <w:rsid w:val="002B02C0"/>
    <w:rsid w:val="002B1CDA"/>
    <w:rsid w:val="002B3DAE"/>
    <w:rsid w:val="002B7E6A"/>
    <w:rsid w:val="002B7F81"/>
    <w:rsid w:val="002C05C3"/>
    <w:rsid w:val="002C1E04"/>
    <w:rsid w:val="002C5398"/>
    <w:rsid w:val="002C7DF5"/>
    <w:rsid w:val="002D0EBA"/>
    <w:rsid w:val="002D2382"/>
    <w:rsid w:val="002D3D9F"/>
    <w:rsid w:val="002D7888"/>
    <w:rsid w:val="002D7C09"/>
    <w:rsid w:val="002E0188"/>
    <w:rsid w:val="002E607B"/>
    <w:rsid w:val="002E7A3E"/>
    <w:rsid w:val="002F183A"/>
    <w:rsid w:val="002F3787"/>
    <w:rsid w:val="00304071"/>
    <w:rsid w:val="0030527C"/>
    <w:rsid w:val="00313622"/>
    <w:rsid w:val="00313797"/>
    <w:rsid w:val="00320F11"/>
    <w:rsid w:val="00323A67"/>
    <w:rsid w:val="00324E80"/>
    <w:rsid w:val="00330B5C"/>
    <w:rsid w:val="003320DF"/>
    <w:rsid w:val="003355DC"/>
    <w:rsid w:val="00337442"/>
    <w:rsid w:val="00337B0B"/>
    <w:rsid w:val="003447CD"/>
    <w:rsid w:val="00344E03"/>
    <w:rsid w:val="00350A04"/>
    <w:rsid w:val="00362B60"/>
    <w:rsid w:val="00370AB5"/>
    <w:rsid w:val="00375DB9"/>
    <w:rsid w:val="0038258E"/>
    <w:rsid w:val="00387E66"/>
    <w:rsid w:val="003906C9"/>
    <w:rsid w:val="00391629"/>
    <w:rsid w:val="003933AE"/>
    <w:rsid w:val="00393AD1"/>
    <w:rsid w:val="00396412"/>
    <w:rsid w:val="003A5ADE"/>
    <w:rsid w:val="003B1442"/>
    <w:rsid w:val="003B582D"/>
    <w:rsid w:val="003B5F02"/>
    <w:rsid w:val="003C4FCF"/>
    <w:rsid w:val="003C5AE6"/>
    <w:rsid w:val="003D401E"/>
    <w:rsid w:val="003D6E2A"/>
    <w:rsid w:val="003D7752"/>
    <w:rsid w:val="003E603D"/>
    <w:rsid w:val="003E6724"/>
    <w:rsid w:val="003F2BD0"/>
    <w:rsid w:val="00400961"/>
    <w:rsid w:val="00402829"/>
    <w:rsid w:val="0040591B"/>
    <w:rsid w:val="00407347"/>
    <w:rsid w:val="00410F01"/>
    <w:rsid w:val="00413284"/>
    <w:rsid w:val="00413A92"/>
    <w:rsid w:val="00416BDD"/>
    <w:rsid w:val="0042332E"/>
    <w:rsid w:val="00423743"/>
    <w:rsid w:val="00423ADF"/>
    <w:rsid w:val="00425867"/>
    <w:rsid w:val="00430AE0"/>
    <w:rsid w:val="00432709"/>
    <w:rsid w:val="00436E74"/>
    <w:rsid w:val="00441841"/>
    <w:rsid w:val="00445A28"/>
    <w:rsid w:val="00446132"/>
    <w:rsid w:val="00446961"/>
    <w:rsid w:val="004514DF"/>
    <w:rsid w:val="0045633A"/>
    <w:rsid w:val="00456D15"/>
    <w:rsid w:val="00457F29"/>
    <w:rsid w:val="0046351D"/>
    <w:rsid w:val="00470FD7"/>
    <w:rsid w:val="004710FE"/>
    <w:rsid w:val="00474BBA"/>
    <w:rsid w:val="00483973"/>
    <w:rsid w:val="0049107E"/>
    <w:rsid w:val="00493024"/>
    <w:rsid w:val="00495104"/>
    <w:rsid w:val="004959D1"/>
    <w:rsid w:val="004972DC"/>
    <w:rsid w:val="004A1E23"/>
    <w:rsid w:val="004A2719"/>
    <w:rsid w:val="004A7B31"/>
    <w:rsid w:val="004B1B29"/>
    <w:rsid w:val="004B6B87"/>
    <w:rsid w:val="004C10C9"/>
    <w:rsid w:val="004C4837"/>
    <w:rsid w:val="004D06D0"/>
    <w:rsid w:val="004D0918"/>
    <w:rsid w:val="004D1290"/>
    <w:rsid w:val="004E26B4"/>
    <w:rsid w:val="004E3EA4"/>
    <w:rsid w:val="004E41C4"/>
    <w:rsid w:val="004E4280"/>
    <w:rsid w:val="004E525A"/>
    <w:rsid w:val="004F0F8D"/>
    <w:rsid w:val="004F42DA"/>
    <w:rsid w:val="005030D5"/>
    <w:rsid w:val="0050334B"/>
    <w:rsid w:val="0050545E"/>
    <w:rsid w:val="005067A1"/>
    <w:rsid w:val="005122B7"/>
    <w:rsid w:val="0051597A"/>
    <w:rsid w:val="00516876"/>
    <w:rsid w:val="00516D98"/>
    <w:rsid w:val="00522337"/>
    <w:rsid w:val="00522371"/>
    <w:rsid w:val="00523403"/>
    <w:rsid w:val="00523A40"/>
    <w:rsid w:val="005245D3"/>
    <w:rsid w:val="005249C1"/>
    <w:rsid w:val="0053754C"/>
    <w:rsid w:val="005403CD"/>
    <w:rsid w:val="005409DD"/>
    <w:rsid w:val="00541519"/>
    <w:rsid w:val="0054668D"/>
    <w:rsid w:val="00553393"/>
    <w:rsid w:val="005538E7"/>
    <w:rsid w:val="005546B8"/>
    <w:rsid w:val="005548EB"/>
    <w:rsid w:val="005570D8"/>
    <w:rsid w:val="00560A0F"/>
    <w:rsid w:val="00562759"/>
    <w:rsid w:val="00564BBD"/>
    <w:rsid w:val="005655F5"/>
    <w:rsid w:val="00565FFC"/>
    <w:rsid w:val="00571DE6"/>
    <w:rsid w:val="005743D3"/>
    <w:rsid w:val="0057590B"/>
    <w:rsid w:val="00584E68"/>
    <w:rsid w:val="005871D3"/>
    <w:rsid w:val="005874B0"/>
    <w:rsid w:val="00587A53"/>
    <w:rsid w:val="005957E8"/>
    <w:rsid w:val="005959E8"/>
    <w:rsid w:val="005A2A82"/>
    <w:rsid w:val="005A2F9F"/>
    <w:rsid w:val="005A5931"/>
    <w:rsid w:val="005A704B"/>
    <w:rsid w:val="005B02F7"/>
    <w:rsid w:val="005B1BCA"/>
    <w:rsid w:val="005B1D51"/>
    <w:rsid w:val="005B1DB8"/>
    <w:rsid w:val="005B39A9"/>
    <w:rsid w:val="005B3F36"/>
    <w:rsid w:val="005B6CCD"/>
    <w:rsid w:val="005B76B2"/>
    <w:rsid w:val="005B79BA"/>
    <w:rsid w:val="005C3725"/>
    <w:rsid w:val="005C5B91"/>
    <w:rsid w:val="005C6F4C"/>
    <w:rsid w:val="005D3203"/>
    <w:rsid w:val="005D47B6"/>
    <w:rsid w:val="005D584D"/>
    <w:rsid w:val="005E23CE"/>
    <w:rsid w:val="005E4346"/>
    <w:rsid w:val="005F294D"/>
    <w:rsid w:val="005F5726"/>
    <w:rsid w:val="00601E27"/>
    <w:rsid w:val="00606CB1"/>
    <w:rsid w:val="006108CE"/>
    <w:rsid w:val="00612F47"/>
    <w:rsid w:val="00622056"/>
    <w:rsid w:val="00622265"/>
    <w:rsid w:val="006225F2"/>
    <w:rsid w:val="00623CA3"/>
    <w:rsid w:val="0062447E"/>
    <w:rsid w:val="00634F03"/>
    <w:rsid w:val="006359F5"/>
    <w:rsid w:val="00636D99"/>
    <w:rsid w:val="0064283D"/>
    <w:rsid w:val="006503BB"/>
    <w:rsid w:val="00651D60"/>
    <w:rsid w:val="00661638"/>
    <w:rsid w:val="006630D3"/>
    <w:rsid w:val="0066566A"/>
    <w:rsid w:val="0067275B"/>
    <w:rsid w:val="00672B73"/>
    <w:rsid w:val="00674D93"/>
    <w:rsid w:val="00676334"/>
    <w:rsid w:val="00676D50"/>
    <w:rsid w:val="00676E5E"/>
    <w:rsid w:val="00677F79"/>
    <w:rsid w:val="00685A45"/>
    <w:rsid w:val="00691DCE"/>
    <w:rsid w:val="00693A3A"/>
    <w:rsid w:val="00693C95"/>
    <w:rsid w:val="006970E2"/>
    <w:rsid w:val="006A787C"/>
    <w:rsid w:val="006B1061"/>
    <w:rsid w:val="006C350D"/>
    <w:rsid w:val="006C456F"/>
    <w:rsid w:val="006D485A"/>
    <w:rsid w:val="006D490E"/>
    <w:rsid w:val="006D74CD"/>
    <w:rsid w:val="006D792A"/>
    <w:rsid w:val="006E3028"/>
    <w:rsid w:val="006E5A61"/>
    <w:rsid w:val="006E6266"/>
    <w:rsid w:val="006E6A50"/>
    <w:rsid w:val="006F36AD"/>
    <w:rsid w:val="006F7130"/>
    <w:rsid w:val="0070136C"/>
    <w:rsid w:val="00702DA2"/>
    <w:rsid w:val="00703133"/>
    <w:rsid w:val="00706492"/>
    <w:rsid w:val="007076BE"/>
    <w:rsid w:val="0070796D"/>
    <w:rsid w:val="00713790"/>
    <w:rsid w:val="007140FA"/>
    <w:rsid w:val="007145B2"/>
    <w:rsid w:val="00716E9F"/>
    <w:rsid w:val="007224AB"/>
    <w:rsid w:val="00724EE7"/>
    <w:rsid w:val="00727B15"/>
    <w:rsid w:val="00730868"/>
    <w:rsid w:val="0073479B"/>
    <w:rsid w:val="00737BED"/>
    <w:rsid w:val="007413C5"/>
    <w:rsid w:val="00746E24"/>
    <w:rsid w:val="0075034A"/>
    <w:rsid w:val="00772180"/>
    <w:rsid w:val="00773587"/>
    <w:rsid w:val="007758F5"/>
    <w:rsid w:val="00784F39"/>
    <w:rsid w:val="00797478"/>
    <w:rsid w:val="007A001B"/>
    <w:rsid w:val="007A318E"/>
    <w:rsid w:val="007B101F"/>
    <w:rsid w:val="007B1E00"/>
    <w:rsid w:val="007B6968"/>
    <w:rsid w:val="007C01B2"/>
    <w:rsid w:val="007C2E40"/>
    <w:rsid w:val="007C378B"/>
    <w:rsid w:val="007C3B96"/>
    <w:rsid w:val="007C4B26"/>
    <w:rsid w:val="007C52D9"/>
    <w:rsid w:val="007F0E52"/>
    <w:rsid w:val="007F119F"/>
    <w:rsid w:val="007F238A"/>
    <w:rsid w:val="007F3C03"/>
    <w:rsid w:val="007F7F4B"/>
    <w:rsid w:val="00805FDF"/>
    <w:rsid w:val="008065D2"/>
    <w:rsid w:val="00807536"/>
    <w:rsid w:val="00813078"/>
    <w:rsid w:val="0081495B"/>
    <w:rsid w:val="00817101"/>
    <w:rsid w:val="00817127"/>
    <w:rsid w:val="008177FA"/>
    <w:rsid w:val="00822BA9"/>
    <w:rsid w:val="00827B8B"/>
    <w:rsid w:val="00833627"/>
    <w:rsid w:val="00833F5D"/>
    <w:rsid w:val="00836C9B"/>
    <w:rsid w:val="008379F6"/>
    <w:rsid w:val="008403FE"/>
    <w:rsid w:val="008417C2"/>
    <w:rsid w:val="008454E7"/>
    <w:rsid w:val="00855A40"/>
    <w:rsid w:val="00857BBA"/>
    <w:rsid w:val="00861C30"/>
    <w:rsid w:val="008627EC"/>
    <w:rsid w:val="008640FC"/>
    <w:rsid w:val="00864A5E"/>
    <w:rsid w:val="008676DB"/>
    <w:rsid w:val="00867E19"/>
    <w:rsid w:val="008710D8"/>
    <w:rsid w:val="00873828"/>
    <w:rsid w:val="008813A9"/>
    <w:rsid w:val="00882785"/>
    <w:rsid w:val="008A1B26"/>
    <w:rsid w:val="008A4289"/>
    <w:rsid w:val="008A69ED"/>
    <w:rsid w:val="008A7D0D"/>
    <w:rsid w:val="008B6FA9"/>
    <w:rsid w:val="008B7333"/>
    <w:rsid w:val="008C0BD3"/>
    <w:rsid w:val="008C6078"/>
    <w:rsid w:val="008C6AA8"/>
    <w:rsid w:val="008C7308"/>
    <w:rsid w:val="008D243F"/>
    <w:rsid w:val="008D4603"/>
    <w:rsid w:val="008D4FEF"/>
    <w:rsid w:val="008E052F"/>
    <w:rsid w:val="008E161C"/>
    <w:rsid w:val="008F3E87"/>
    <w:rsid w:val="008F4F73"/>
    <w:rsid w:val="008F7C92"/>
    <w:rsid w:val="00901E74"/>
    <w:rsid w:val="0090260D"/>
    <w:rsid w:val="009030A8"/>
    <w:rsid w:val="009039D9"/>
    <w:rsid w:val="00906361"/>
    <w:rsid w:val="00914A2E"/>
    <w:rsid w:val="009153F3"/>
    <w:rsid w:val="00915C09"/>
    <w:rsid w:val="00916DC0"/>
    <w:rsid w:val="009210DB"/>
    <w:rsid w:val="00931609"/>
    <w:rsid w:val="00935C56"/>
    <w:rsid w:val="00937D63"/>
    <w:rsid w:val="00940BF3"/>
    <w:rsid w:val="00941C5F"/>
    <w:rsid w:val="009439D3"/>
    <w:rsid w:val="009442A8"/>
    <w:rsid w:val="00945512"/>
    <w:rsid w:val="0095443B"/>
    <w:rsid w:val="009610A0"/>
    <w:rsid w:val="009664F7"/>
    <w:rsid w:val="009667E1"/>
    <w:rsid w:val="009717DB"/>
    <w:rsid w:val="0097272F"/>
    <w:rsid w:val="00981563"/>
    <w:rsid w:val="00983693"/>
    <w:rsid w:val="00984F3A"/>
    <w:rsid w:val="00986614"/>
    <w:rsid w:val="00990BA9"/>
    <w:rsid w:val="00992CFE"/>
    <w:rsid w:val="009933F6"/>
    <w:rsid w:val="00996A3E"/>
    <w:rsid w:val="00996B8A"/>
    <w:rsid w:val="009A2F88"/>
    <w:rsid w:val="009B1657"/>
    <w:rsid w:val="009B1F17"/>
    <w:rsid w:val="009B2BF3"/>
    <w:rsid w:val="009B6DA4"/>
    <w:rsid w:val="009C6564"/>
    <w:rsid w:val="009D26A9"/>
    <w:rsid w:val="009D4025"/>
    <w:rsid w:val="009D53EB"/>
    <w:rsid w:val="009E03DA"/>
    <w:rsid w:val="009E1267"/>
    <w:rsid w:val="009E6E59"/>
    <w:rsid w:val="009F1068"/>
    <w:rsid w:val="009F68B0"/>
    <w:rsid w:val="00A0031D"/>
    <w:rsid w:val="00A0038D"/>
    <w:rsid w:val="00A12AD7"/>
    <w:rsid w:val="00A14C01"/>
    <w:rsid w:val="00A23318"/>
    <w:rsid w:val="00A2374A"/>
    <w:rsid w:val="00A272EB"/>
    <w:rsid w:val="00A3114D"/>
    <w:rsid w:val="00A37EE6"/>
    <w:rsid w:val="00A40AFF"/>
    <w:rsid w:val="00A42983"/>
    <w:rsid w:val="00A43FEA"/>
    <w:rsid w:val="00A443F6"/>
    <w:rsid w:val="00A467AE"/>
    <w:rsid w:val="00A55850"/>
    <w:rsid w:val="00A57A17"/>
    <w:rsid w:val="00A66701"/>
    <w:rsid w:val="00A67F84"/>
    <w:rsid w:val="00A76EEF"/>
    <w:rsid w:val="00A778B2"/>
    <w:rsid w:val="00A77B0E"/>
    <w:rsid w:val="00A86047"/>
    <w:rsid w:val="00A9198D"/>
    <w:rsid w:val="00A977D4"/>
    <w:rsid w:val="00AA630C"/>
    <w:rsid w:val="00AA69F9"/>
    <w:rsid w:val="00AA6F63"/>
    <w:rsid w:val="00AA7DD2"/>
    <w:rsid w:val="00AA7EBF"/>
    <w:rsid w:val="00AB0337"/>
    <w:rsid w:val="00AB2CEA"/>
    <w:rsid w:val="00AB40C8"/>
    <w:rsid w:val="00AB578B"/>
    <w:rsid w:val="00AB5B8E"/>
    <w:rsid w:val="00AC046D"/>
    <w:rsid w:val="00AC2EB6"/>
    <w:rsid w:val="00AC41B8"/>
    <w:rsid w:val="00AD1275"/>
    <w:rsid w:val="00AD1669"/>
    <w:rsid w:val="00AD27DB"/>
    <w:rsid w:val="00AD3A57"/>
    <w:rsid w:val="00AD5100"/>
    <w:rsid w:val="00AD58AA"/>
    <w:rsid w:val="00AD6D6C"/>
    <w:rsid w:val="00AE0AF4"/>
    <w:rsid w:val="00AE6093"/>
    <w:rsid w:val="00AE6FFE"/>
    <w:rsid w:val="00AF5240"/>
    <w:rsid w:val="00AF5331"/>
    <w:rsid w:val="00B03FB5"/>
    <w:rsid w:val="00B04710"/>
    <w:rsid w:val="00B049A7"/>
    <w:rsid w:val="00B068D7"/>
    <w:rsid w:val="00B12974"/>
    <w:rsid w:val="00B25C13"/>
    <w:rsid w:val="00B27168"/>
    <w:rsid w:val="00B35292"/>
    <w:rsid w:val="00B36191"/>
    <w:rsid w:val="00B37098"/>
    <w:rsid w:val="00B41E84"/>
    <w:rsid w:val="00B43E91"/>
    <w:rsid w:val="00B472F4"/>
    <w:rsid w:val="00B529BC"/>
    <w:rsid w:val="00B60C91"/>
    <w:rsid w:val="00B6438B"/>
    <w:rsid w:val="00B72762"/>
    <w:rsid w:val="00B73C62"/>
    <w:rsid w:val="00B74394"/>
    <w:rsid w:val="00B80407"/>
    <w:rsid w:val="00B8277C"/>
    <w:rsid w:val="00B90C0C"/>
    <w:rsid w:val="00B918BF"/>
    <w:rsid w:val="00B91EFE"/>
    <w:rsid w:val="00B9371D"/>
    <w:rsid w:val="00B95063"/>
    <w:rsid w:val="00B95E34"/>
    <w:rsid w:val="00BA03D8"/>
    <w:rsid w:val="00BA32FE"/>
    <w:rsid w:val="00BA592B"/>
    <w:rsid w:val="00BA5BBB"/>
    <w:rsid w:val="00BB1C52"/>
    <w:rsid w:val="00BB3D3D"/>
    <w:rsid w:val="00BB3D8D"/>
    <w:rsid w:val="00BC278A"/>
    <w:rsid w:val="00BD75A5"/>
    <w:rsid w:val="00BE020D"/>
    <w:rsid w:val="00BE3B3A"/>
    <w:rsid w:val="00BE404C"/>
    <w:rsid w:val="00BE624E"/>
    <w:rsid w:val="00BE7329"/>
    <w:rsid w:val="00BF0336"/>
    <w:rsid w:val="00BF68ED"/>
    <w:rsid w:val="00C018EF"/>
    <w:rsid w:val="00C0480D"/>
    <w:rsid w:val="00C06FE6"/>
    <w:rsid w:val="00C1078A"/>
    <w:rsid w:val="00C10FC1"/>
    <w:rsid w:val="00C17351"/>
    <w:rsid w:val="00C21FEF"/>
    <w:rsid w:val="00C32AA4"/>
    <w:rsid w:val="00C4080D"/>
    <w:rsid w:val="00C409A6"/>
    <w:rsid w:val="00C41F00"/>
    <w:rsid w:val="00C43F3B"/>
    <w:rsid w:val="00C44122"/>
    <w:rsid w:val="00C46CA1"/>
    <w:rsid w:val="00C501DD"/>
    <w:rsid w:val="00C53D65"/>
    <w:rsid w:val="00C54688"/>
    <w:rsid w:val="00C635A0"/>
    <w:rsid w:val="00C63EFE"/>
    <w:rsid w:val="00C651AB"/>
    <w:rsid w:val="00C6521C"/>
    <w:rsid w:val="00C66C51"/>
    <w:rsid w:val="00C66DB0"/>
    <w:rsid w:val="00C70565"/>
    <w:rsid w:val="00C77A66"/>
    <w:rsid w:val="00C83A87"/>
    <w:rsid w:val="00C86D74"/>
    <w:rsid w:val="00C86E0E"/>
    <w:rsid w:val="00C90FC7"/>
    <w:rsid w:val="00C9399F"/>
    <w:rsid w:val="00C95892"/>
    <w:rsid w:val="00C964A4"/>
    <w:rsid w:val="00C9665E"/>
    <w:rsid w:val="00C97421"/>
    <w:rsid w:val="00C97F30"/>
    <w:rsid w:val="00CA3321"/>
    <w:rsid w:val="00CB1A4F"/>
    <w:rsid w:val="00CB2E0E"/>
    <w:rsid w:val="00CB424C"/>
    <w:rsid w:val="00CB47EE"/>
    <w:rsid w:val="00CB48D7"/>
    <w:rsid w:val="00CB67C9"/>
    <w:rsid w:val="00CC01C4"/>
    <w:rsid w:val="00CC4746"/>
    <w:rsid w:val="00CD2477"/>
    <w:rsid w:val="00CD4E2E"/>
    <w:rsid w:val="00CE207B"/>
    <w:rsid w:val="00D01135"/>
    <w:rsid w:val="00D0160D"/>
    <w:rsid w:val="00D0741D"/>
    <w:rsid w:val="00D1513D"/>
    <w:rsid w:val="00D15912"/>
    <w:rsid w:val="00D22A2C"/>
    <w:rsid w:val="00D2661B"/>
    <w:rsid w:val="00D36FC3"/>
    <w:rsid w:val="00D43AB9"/>
    <w:rsid w:val="00D44E1B"/>
    <w:rsid w:val="00D477AC"/>
    <w:rsid w:val="00D47BDB"/>
    <w:rsid w:val="00D47F4F"/>
    <w:rsid w:val="00D57CA8"/>
    <w:rsid w:val="00D57E13"/>
    <w:rsid w:val="00D60065"/>
    <w:rsid w:val="00D72CA9"/>
    <w:rsid w:val="00D7488C"/>
    <w:rsid w:val="00D81A9E"/>
    <w:rsid w:val="00D83AE9"/>
    <w:rsid w:val="00D8591C"/>
    <w:rsid w:val="00D8661F"/>
    <w:rsid w:val="00D91923"/>
    <w:rsid w:val="00D929D4"/>
    <w:rsid w:val="00D93588"/>
    <w:rsid w:val="00D97829"/>
    <w:rsid w:val="00DA0898"/>
    <w:rsid w:val="00DA1267"/>
    <w:rsid w:val="00DA4763"/>
    <w:rsid w:val="00DA6412"/>
    <w:rsid w:val="00DB3286"/>
    <w:rsid w:val="00DB4B3A"/>
    <w:rsid w:val="00DC0DC5"/>
    <w:rsid w:val="00DC58F1"/>
    <w:rsid w:val="00DC7272"/>
    <w:rsid w:val="00DC7F97"/>
    <w:rsid w:val="00DD09AE"/>
    <w:rsid w:val="00DD1196"/>
    <w:rsid w:val="00DD2DB5"/>
    <w:rsid w:val="00DD5B33"/>
    <w:rsid w:val="00DD674E"/>
    <w:rsid w:val="00DE1E90"/>
    <w:rsid w:val="00DE4DDC"/>
    <w:rsid w:val="00DE59D1"/>
    <w:rsid w:val="00DE7C1C"/>
    <w:rsid w:val="00DF0A37"/>
    <w:rsid w:val="00DF1AE2"/>
    <w:rsid w:val="00DF4770"/>
    <w:rsid w:val="00DF583B"/>
    <w:rsid w:val="00E02CC8"/>
    <w:rsid w:val="00E07F13"/>
    <w:rsid w:val="00E11341"/>
    <w:rsid w:val="00E11707"/>
    <w:rsid w:val="00E137F6"/>
    <w:rsid w:val="00E149FB"/>
    <w:rsid w:val="00E16767"/>
    <w:rsid w:val="00E16891"/>
    <w:rsid w:val="00E21617"/>
    <w:rsid w:val="00E22DD9"/>
    <w:rsid w:val="00E233D7"/>
    <w:rsid w:val="00E23DD1"/>
    <w:rsid w:val="00E26740"/>
    <w:rsid w:val="00E35C49"/>
    <w:rsid w:val="00E50753"/>
    <w:rsid w:val="00E578FD"/>
    <w:rsid w:val="00E66B95"/>
    <w:rsid w:val="00E66C11"/>
    <w:rsid w:val="00E7104B"/>
    <w:rsid w:val="00E71B58"/>
    <w:rsid w:val="00E823C1"/>
    <w:rsid w:val="00E8547B"/>
    <w:rsid w:val="00E8743A"/>
    <w:rsid w:val="00E87ACE"/>
    <w:rsid w:val="00E9017A"/>
    <w:rsid w:val="00E9113B"/>
    <w:rsid w:val="00E91621"/>
    <w:rsid w:val="00E967BF"/>
    <w:rsid w:val="00EA05CD"/>
    <w:rsid w:val="00EA7300"/>
    <w:rsid w:val="00EB24A2"/>
    <w:rsid w:val="00EB2594"/>
    <w:rsid w:val="00EB5C1F"/>
    <w:rsid w:val="00EC09F4"/>
    <w:rsid w:val="00EC6E72"/>
    <w:rsid w:val="00EE12BA"/>
    <w:rsid w:val="00EE218D"/>
    <w:rsid w:val="00EF0045"/>
    <w:rsid w:val="00EF1014"/>
    <w:rsid w:val="00EF3F93"/>
    <w:rsid w:val="00EF722D"/>
    <w:rsid w:val="00EF7EBB"/>
    <w:rsid w:val="00F00EAF"/>
    <w:rsid w:val="00F01F81"/>
    <w:rsid w:val="00F02B8E"/>
    <w:rsid w:val="00F04D60"/>
    <w:rsid w:val="00F04E76"/>
    <w:rsid w:val="00F078D7"/>
    <w:rsid w:val="00F14364"/>
    <w:rsid w:val="00F143B4"/>
    <w:rsid w:val="00F14B1C"/>
    <w:rsid w:val="00F22150"/>
    <w:rsid w:val="00F276AE"/>
    <w:rsid w:val="00F32191"/>
    <w:rsid w:val="00F34E33"/>
    <w:rsid w:val="00F37A90"/>
    <w:rsid w:val="00F40672"/>
    <w:rsid w:val="00F45996"/>
    <w:rsid w:val="00F50E52"/>
    <w:rsid w:val="00F56D23"/>
    <w:rsid w:val="00F71CF0"/>
    <w:rsid w:val="00F7360E"/>
    <w:rsid w:val="00F75E48"/>
    <w:rsid w:val="00F7665D"/>
    <w:rsid w:val="00F770AC"/>
    <w:rsid w:val="00F803DB"/>
    <w:rsid w:val="00F87C95"/>
    <w:rsid w:val="00F9094A"/>
    <w:rsid w:val="00F932D0"/>
    <w:rsid w:val="00F9514C"/>
    <w:rsid w:val="00FA256D"/>
    <w:rsid w:val="00FB6D8C"/>
    <w:rsid w:val="00FC1FEE"/>
    <w:rsid w:val="00FC352F"/>
    <w:rsid w:val="00FD2DEB"/>
    <w:rsid w:val="00FD52A0"/>
    <w:rsid w:val="00FD7092"/>
    <w:rsid w:val="00FE3519"/>
    <w:rsid w:val="00FE451D"/>
    <w:rsid w:val="00FF53B8"/>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2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4"/>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542596966">
      <w:bodyDiv w:val="1"/>
      <w:marLeft w:val="0"/>
      <w:marRight w:val="0"/>
      <w:marTop w:val="0"/>
      <w:marBottom w:val="0"/>
      <w:divBdr>
        <w:top w:val="none" w:sz="0" w:space="0" w:color="auto"/>
        <w:left w:val="none" w:sz="0" w:space="0" w:color="auto"/>
        <w:bottom w:val="none" w:sz="0" w:space="0" w:color="auto"/>
        <w:right w:val="none" w:sz="0" w:space="0" w:color="auto"/>
      </w:divBdr>
      <w:divsChild>
        <w:div w:id="390467312">
          <w:marLeft w:val="547"/>
          <w:marRight w:val="0"/>
          <w:marTop w:val="134"/>
          <w:marBottom w:val="0"/>
          <w:divBdr>
            <w:top w:val="none" w:sz="0" w:space="0" w:color="auto"/>
            <w:left w:val="none" w:sz="0" w:space="0" w:color="auto"/>
            <w:bottom w:val="none" w:sz="0" w:space="0" w:color="auto"/>
            <w:right w:val="none" w:sz="0" w:space="0" w:color="auto"/>
          </w:divBdr>
        </w:div>
      </w:divsChild>
    </w:div>
    <w:div w:id="679166990">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32132966">
      <w:bodyDiv w:val="1"/>
      <w:marLeft w:val="0"/>
      <w:marRight w:val="0"/>
      <w:marTop w:val="0"/>
      <w:marBottom w:val="0"/>
      <w:divBdr>
        <w:top w:val="none" w:sz="0" w:space="0" w:color="auto"/>
        <w:left w:val="none" w:sz="0" w:space="0" w:color="auto"/>
        <w:bottom w:val="none" w:sz="0" w:space="0" w:color="auto"/>
        <w:right w:val="none" w:sz="0" w:space="0" w:color="auto"/>
      </w:divBdr>
      <w:divsChild>
        <w:div w:id="255359708">
          <w:marLeft w:val="1267"/>
          <w:marRight w:val="0"/>
          <w:marTop w:val="115"/>
          <w:marBottom w:val="0"/>
          <w:divBdr>
            <w:top w:val="none" w:sz="0" w:space="0" w:color="auto"/>
            <w:left w:val="none" w:sz="0" w:space="0" w:color="auto"/>
            <w:bottom w:val="none" w:sz="0" w:space="0" w:color="auto"/>
            <w:right w:val="none" w:sz="0" w:space="0" w:color="auto"/>
          </w:divBdr>
        </w:div>
        <w:div w:id="1827630349">
          <w:marLeft w:val="1987"/>
          <w:marRight w:val="0"/>
          <w:marTop w:val="115"/>
          <w:marBottom w:val="0"/>
          <w:divBdr>
            <w:top w:val="none" w:sz="0" w:space="0" w:color="auto"/>
            <w:left w:val="none" w:sz="0" w:space="0" w:color="auto"/>
            <w:bottom w:val="none" w:sz="0" w:space="0" w:color="auto"/>
            <w:right w:val="none" w:sz="0" w:space="0" w:color="auto"/>
          </w:divBdr>
        </w:div>
        <w:div w:id="1003775282">
          <w:marLeft w:val="1987"/>
          <w:marRight w:val="0"/>
          <w:marTop w:val="115"/>
          <w:marBottom w:val="0"/>
          <w:divBdr>
            <w:top w:val="none" w:sz="0" w:space="0" w:color="auto"/>
            <w:left w:val="none" w:sz="0" w:space="0" w:color="auto"/>
            <w:bottom w:val="none" w:sz="0" w:space="0" w:color="auto"/>
            <w:right w:val="none" w:sz="0" w:space="0" w:color="auto"/>
          </w:divBdr>
        </w:div>
        <w:div w:id="1526213699">
          <w:marLeft w:val="1987"/>
          <w:marRight w:val="0"/>
          <w:marTop w:val="115"/>
          <w:marBottom w:val="0"/>
          <w:divBdr>
            <w:top w:val="none" w:sz="0" w:space="0" w:color="auto"/>
            <w:left w:val="none" w:sz="0" w:space="0" w:color="auto"/>
            <w:bottom w:val="none" w:sz="0" w:space="0" w:color="auto"/>
            <w:right w:val="none" w:sz="0" w:space="0" w:color="auto"/>
          </w:divBdr>
        </w:div>
        <w:div w:id="101611768">
          <w:marLeft w:val="1267"/>
          <w:marRight w:val="0"/>
          <w:marTop w:val="115"/>
          <w:marBottom w:val="0"/>
          <w:divBdr>
            <w:top w:val="none" w:sz="0" w:space="0" w:color="auto"/>
            <w:left w:val="none" w:sz="0" w:space="0" w:color="auto"/>
            <w:bottom w:val="none" w:sz="0" w:space="0" w:color="auto"/>
            <w:right w:val="none" w:sz="0" w:space="0" w:color="auto"/>
          </w:divBdr>
        </w:div>
        <w:div w:id="1781141490">
          <w:marLeft w:val="1267"/>
          <w:marRight w:val="0"/>
          <w:marTop w:val="115"/>
          <w:marBottom w:val="0"/>
          <w:divBdr>
            <w:top w:val="none" w:sz="0" w:space="0" w:color="auto"/>
            <w:left w:val="none" w:sz="0" w:space="0" w:color="auto"/>
            <w:bottom w:val="none" w:sz="0" w:space="0" w:color="auto"/>
            <w:right w:val="none" w:sz="0" w:space="0" w:color="auto"/>
          </w:divBdr>
        </w:div>
        <w:div w:id="1039208330">
          <w:marLeft w:val="1267"/>
          <w:marRight w:val="0"/>
          <w:marTop w:val="115"/>
          <w:marBottom w:val="0"/>
          <w:divBdr>
            <w:top w:val="none" w:sz="0" w:space="0" w:color="auto"/>
            <w:left w:val="none" w:sz="0" w:space="0" w:color="auto"/>
            <w:bottom w:val="none" w:sz="0" w:space="0" w:color="auto"/>
            <w:right w:val="none" w:sz="0" w:space="0" w:color="auto"/>
          </w:divBdr>
        </w:div>
      </w:divsChild>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086918966">
      <w:bodyDiv w:val="1"/>
      <w:marLeft w:val="0"/>
      <w:marRight w:val="0"/>
      <w:marTop w:val="0"/>
      <w:marBottom w:val="0"/>
      <w:divBdr>
        <w:top w:val="none" w:sz="0" w:space="0" w:color="auto"/>
        <w:left w:val="none" w:sz="0" w:space="0" w:color="auto"/>
        <w:bottom w:val="none" w:sz="0" w:space="0" w:color="auto"/>
        <w:right w:val="none" w:sz="0" w:space="0" w:color="auto"/>
      </w:divBdr>
    </w:div>
    <w:div w:id="1305963587">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441224141">
      <w:bodyDiv w:val="1"/>
      <w:marLeft w:val="0"/>
      <w:marRight w:val="0"/>
      <w:marTop w:val="0"/>
      <w:marBottom w:val="0"/>
      <w:divBdr>
        <w:top w:val="none" w:sz="0" w:space="0" w:color="auto"/>
        <w:left w:val="none" w:sz="0" w:space="0" w:color="auto"/>
        <w:bottom w:val="none" w:sz="0" w:space="0" w:color="auto"/>
        <w:right w:val="none" w:sz="0" w:space="0" w:color="auto"/>
      </w:divBdr>
      <w:divsChild>
        <w:div w:id="1263997587">
          <w:marLeft w:val="1267"/>
          <w:marRight w:val="0"/>
          <w:marTop w:val="115"/>
          <w:marBottom w:val="0"/>
          <w:divBdr>
            <w:top w:val="none" w:sz="0" w:space="0" w:color="auto"/>
            <w:left w:val="none" w:sz="0" w:space="0" w:color="auto"/>
            <w:bottom w:val="none" w:sz="0" w:space="0" w:color="auto"/>
            <w:right w:val="none" w:sz="0" w:space="0" w:color="auto"/>
          </w:divBdr>
        </w:div>
        <w:div w:id="1554003289">
          <w:marLeft w:val="1987"/>
          <w:marRight w:val="0"/>
          <w:marTop w:val="115"/>
          <w:marBottom w:val="0"/>
          <w:divBdr>
            <w:top w:val="none" w:sz="0" w:space="0" w:color="auto"/>
            <w:left w:val="none" w:sz="0" w:space="0" w:color="auto"/>
            <w:bottom w:val="none" w:sz="0" w:space="0" w:color="auto"/>
            <w:right w:val="none" w:sz="0" w:space="0" w:color="auto"/>
          </w:divBdr>
        </w:div>
        <w:div w:id="2070760455">
          <w:marLeft w:val="1987"/>
          <w:marRight w:val="0"/>
          <w:marTop w:val="115"/>
          <w:marBottom w:val="0"/>
          <w:divBdr>
            <w:top w:val="none" w:sz="0" w:space="0" w:color="auto"/>
            <w:left w:val="none" w:sz="0" w:space="0" w:color="auto"/>
            <w:bottom w:val="none" w:sz="0" w:space="0" w:color="auto"/>
            <w:right w:val="none" w:sz="0" w:space="0" w:color="auto"/>
          </w:divBdr>
        </w:div>
        <w:div w:id="1832595388">
          <w:marLeft w:val="1987"/>
          <w:marRight w:val="0"/>
          <w:marTop w:val="115"/>
          <w:marBottom w:val="0"/>
          <w:divBdr>
            <w:top w:val="none" w:sz="0" w:space="0" w:color="auto"/>
            <w:left w:val="none" w:sz="0" w:space="0" w:color="auto"/>
            <w:bottom w:val="none" w:sz="0" w:space="0" w:color="auto"/>
            <w:right w:val="none" w:sz="0" w:space="0" w:color="auto"/>
          </w:divBdr>
        </w:div>
        <w:div w:id="2059352844">
          <w:marLeft w:val="1987"/>
          <w:marRight w:val="0"/>
          <w:marTop w:val="115"/>
          <w:marBottom w:val="0"/>
          <w:divBdr>
            <w:top w:val="none" w:sz="0" w:space="0" w:color="auto"/>
            <w:left w:val="none" w:sz="0" w:space="0" w:color="auto"/>
            <w:bottom w:val="none" w:sz="0" w:space="0" w:color="auto"/>
            <w:right w:val="none" w:sz="0" w:space="0" w:color="auto"/>
          </w:divBdr>
        </w:div>
      </w:divsChild>
    </w:div>
    <w:div w:id="1511797427">
      <w:bodyDiv w:val="1"/>
      <w:marLeft w:val="0"/>
      <w:marRight w:val="0"/>
      <w:marTop w:val="0"/>
      <w:marBottom w:val="0"/>
      <w:divBdr>
        <w:top w:val="none" w:sz="0" w:space="0" w:color="auto"/>
        <w:left w:val="none" w:sz="0" w:space="0" w:color="auto"/>
        <w:bottom w:val="none" w:sz="0" w:space="0" w:color="auto"/>
        <w:right w:val="none" w:sz="0" w:space="0" w:color="auto"/>
      </w:divBdr>
      <w:divsChild>
        <w:div w:id="2147316732">
          <w:marLeft w:val="547"/>
          <w:marRight w:val="0"/>
          <w:marTop w:val="134"/>
          <w:marBottom w:val="0"/>
          <w:divBdr>
            <w:top w:val="none" w:sz="0" w:space="0" w:color="auto"/>
            <w:left w:val="none" w:sz="0" w:space="0" w:color="auto"/>
            <w:bottom w:val="none" w:sz="0" w:space="0" w:color="auto"/>
            <w:right w:val="none" w:sz="0" w:space="0" w:color="auto"/>
          </w:divBdr>
        </w:div>
        <w:div w:id="124324353">
          <w:marLeft w:val="1166"/>
          <w:marRight w:val="0"/>
          <w:marTop w:val="115"/>
          <w:marBottom w:val="0"/>
          <w:divBdr>
            <w:top w:val="none" w:sz="0" w:space="0" w:color="auto"/>
            <w:left w:val="none" w:sz="0" w:space="0" w:color="auto"/>
            <w:bottom w:val="none" w:sz="0" w:space="0" w:color="auto"/>
            <w:right w:val="none" w:sz="0" w:space="0" w:color="auto"/>
          </w:divBdr>
        </w:div>
        <w:div w:id="574823982">
          <w:marLeft w:val="1166"/>
          <w:marRight w:val="0"/>
          <w:marTop w:val="115"/>
          <w:marBottom w:val="0"/>
          <w:divBdr>
            <w:top w:val="none" w:sz="0" w:space="0" w:color="auto"/>
            <w:left w:val="none" w:sz="0" w:space="0" w:color="auto"/>
            <w:bottom w:val="none" w:sz="0" w:space="0" w:color="auto"/>
            <w:right w:val="none" w:sz="0" w:space="0" w:color="auto"/>
          </w:divBdr>
        </w:div>
      </w:divsChild>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 w:id="2076514502">
      <w:bodyDiv w:val="1"/>
      <w:marLeft w:val="0"/>
      <w:marRight w:val="0"/>
      <w:marTop w:val="0"/>
      <w:marBottom w:val="0"/>
      <w:divBdr>
        <w:top w:val="none" w:sz="0" w:space="0" w:color="auto"/>
        <w:left w:val="none" w:sz="0" w:space="0" w:color="auto"/>
        <w:bottom w:val="none" w:sz="0" w:space="0" w:color="auto"/>
        <w:right w:val="none" w:sz="0" w:space="0" w:color="auto"/>
      </w:divBdr>
      <w:divsChild>
        <w:div w:id="1586961818">
          <w:marLeft w:val="1267"/>
          <w:marRight w:val="0"/>
          <w:marTop w:val="134"/>
          <w:marBottom w:val="0"/>
          <w:divBdr>
            <w:top w:val="none" w:sz="0" w:space="0" w:color="auto"/>
            <w:left w:val="none" w:sz="0" w:space="0" w:color="auto"/>
            <w:bottom w:val="none" w:sz="0" w:space="0" w:color="auto"/>
            <w:right w:val="none" w:sz="0" w:space="0" w:color="auto"/>
          </w:divBdr>
        </w:div>
        <w:div w:id="523400651">
          <w:marLeft w:val="2707"/>
          <w:marRight w:val="0"/>
          <w:marTop w:val="134"/>
          <w:marBottom w:val="0"/>
          <w:divBdr>
            <w:top w:val="none" w:sz="0" w:space="0" w:color="auto"/>
            <w:left w:val="none" w:sz="0" w:space="0" w:color="auto"/>
            <w:bottom w:val="none" w:sz="0" w:space="0" w:color="auto"/>
            <w:right w:val="none" w:sz="0" w:space="0" w:color="auto"/>
          </w:divBdr>
        </w:div>
        <w:div w:id="1833792085">
          <w:marLeft w:val="2707"/>
          <w:marRight w:val="0"/>
          <w:marTop w:val="134"/>
          <w:marBottom w:val="0"/>
          <w:divBdr>
            <w:top w:val="none" w:sz="0" w:space="0" w:color="auto"/>
            <w:left w:val="none" w:sz="0" w:space="0" w:color="auto"/>
            <w:bottom w:val="none" w:sz="0" w:space="0" w:color="auto"/>
            <w:right w:val="none" w:sz="0" w:space="0" w:color="auto"/>
          </w:divBdr>
        </w:div>
        <w:div w:id="1155731011">
          <w:marLeft w:val="2707"/>
          <w:marRight w:val="0"/>
          <w:marTop w:val="134"/>
          <w:marBottom w:val="0"/>
          <w:divBdr>
            <w:top w:val="none" w:sz="0" w:space="0" w:color="auto"/>
            <w:left w:val="none" w:sz="0" w:space="0" w:color="auto"/>
            <w:bottom w:val="none" w:sz="0" w:space="0" w:color="auto"/>
            <w:right w:val="none" w:sz="0" w:space="0" w:color="auto"/>
          </w:divBdr>
        </w:div>
        <w:div w:id="1656302621">
          <w:marLeft w:val="1267"/>
          <w:marRight w:val="0"/>
          <w:marTop w:val="134"/>
          <w:marBottom w:val="0"/>
          <w:divBdr>
            <w:top w:val="none" w:sz="0" w:space="0" w:color="auto"/>
            <w:left w:val="none" w:sz="0" w:space="0" w:color="auto"/>
            <w:bottom w:val="none" w:sz="0" w:space="0" w:color="auto"/>
            <w:right w:val="none" w:sz="0" w:space="0" w:color="auto"/>
          </w:divBdr>
        </w:div>
        <w:div w:id="31271061">
          <w:marLeft w:val="126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07F9-5077-4E16-99EC-3ECA43F3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2019-11-11T15:02:00Z</dcterms:created>
  <dcterms:modified xsi:type="dcterms:W3CDTF">2019-11-11T16:56:00Z</dcterms:modified>
  <cp:category/>
</cp:coreProperties>
</file>