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169FF6F8" w14:textId="77777777" w:rsidTr="00C97039">
        <w:trPr>
          <w:trHeight w:hRule="exact" w:val="851"/>
        </w:trPr>
        <w:tc>
          <w:tcPr>
            <w:tcW w:w="1276" w:type="dxa"/>
            <w:tcBorders>
              <w:bottom w:val="single" w:sz="4" w:space="0" w:color="auto"/>
            </w:tcBorders>
          </w:tcPr>
          <w:p w14:paraId="56797EBC" w14:textId="77777777" w:rsidR="00F35BAF" w:rsidRPr="00DB58B5" w:rsidRDefault="00F35BAF" w:rsidP="00C55922"/>
        </w:tc>
        <w:tc>
          <w:tcPr>
            <w:tcW w:w="2268" w:type="dxa"/>
            <w:tcBorders>
              <w:bottom w:val="single" w:sz="4" w:space="0" w:color="auto"/>
            </w:tcBorders>
            <w:vAlign w:val="bottom"/>
          </w:tcPr>
          <w:p w14:paraId="0DFFD342"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A58401A" w14:textId="77777777" w:rsidR="00F35BAF" w:rsidRPr="00DB58B5" w:rsidRDefault="00C55922" w:rsidP="00C55922">
            <w:pPr>
              <w:jc w:val="right"/>
            </w:pPr>
            <w:r w:rsidRPr="00C55922">
              <w:rPr>
                <w:sz w:val="40"/>
              </w:rPr>
              <w:t>ECE</w:t>
            </w:r>
            <w:r>
              <w:t>/TRANS/WP.29/2019/65</w:t>
            </w:r>
          </w:p>
        </w:tc>
      </w:tr>
      <w:tr w:rsidR="00F35BAF" w:rsidRPr="00DB58B5" w14:paraId="5E8E8AE0" w14:textId="77777777" w:rsidTr="00C97039">
        <w:trPr>
          <w:trHeight w:hRule="exact" w:val="2835"/>
        </w:trPr>
        <w:tc>
          <w:tcPr>
            <w:tcW w:w="1276" w:type="dxa"/>
            <w:tcBorders>
              <w:top w:val="single" w:sz="4" w:space="0" w:color="auto"/>
              <w:bottom w:val="single" w:sz="12" w:space="0" w:color="auto"/>
            </w:tcBorders>
          </w:tcPr>
          <w:p w14:paraId="11D2538D" w14:textId="77777777" w:rsidR="00F35BAF" w:rsidRPr="00DB58B5" w:rsidRDefault="00F35BAF" w:rsidP="00C97039">
            <w:pPr>
              <w:spacing w:before="120"/>
              <w:jc w:val="center"/>
            </w:pPr>
            <w:r>
              <w:rPr>
                <w:noProof/>
                <w:lang w:eastAsia="fr-CH"/>
              </w:rPr>
              <w:drawing>
                <wp:inline distT="0" distB="0" distL="0" distR="0" wp14:anchorId="2C98FDEA" wp14:editId="0451D30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CDBF853"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2DD27985" w14:textId="77777777" w:rsidR="00F35BAF" w:rsidRDefault="00C55922" w:rsidP="00C97039">
            <w:pPr>
              <w:spacing w:before="240"/>
            </w:pPr>
            <w:r>
              <w:t>Distr. générale</w:t>
            </w:r>
          </w:p>
          <w:p w14:paraId="7E8CB655" w14:textId="77777777" w:rsidR="00C55922" w:rsidRDefault="00C55922" w:rsidP="00C55922">
            <w:pPr>
              <w:spacing w:line="240" w:lineRule="exact"/>
            </w:pPr>
            <w:r>
              <w:t>13 mai 2019</w:t>
            </w:r>
          </w:p>
          <w:p w14:paraId="773BE4F8" w14:textId="77777777" w:rsidR="00C55922" w:rsidRDefault="00C55922" w:rsidP="00C55922">
            <w:pPr>
              <w:spacing w:line="240" w:lineRule="exact"/>
            </w:pPr>
            <w:r>
              <w:t>Français</w:t>
            </w:r>
          </w:p>
          <w:p w14:paraId="4FCBF54E" w14:textId="77777777" w:rsidR="00C55922" w:rsidRPr="00DB58B5" w:rsidRDefault="00C55922" w:rsidP="00C55922">
            <w:pPr>
              <w:spacing w:line="240" w:lineRule="exact"/>
            </w:pPr>
            <w:r>
              <w:t>Original : anglais</w:t>
            </w:r>
          </w:p>
        </w:tc>
      </w:tr>
    </w:tbl>
    <w:p w14:paraId="1D728F8A" w14:textId="77777777" w:rsidR="007F20FA" w:rsidRPr="000312C0" w:rsidRDefault="007F20FA" w:rsidP="007F20FA">
      <w:pPr>
        <w:spacing w:before="120"/>
        <w:rPr>
          <w:b/>
          <w:sz w:val="28"/>
          <w:szCs w:val="28"/>
        </w:rPr>
      </w:pPr>
      <w:r w:rsidRPr="000312C0">
        <w:rPr>
          <w:b/>
          <w:sz w:val="28"/>
          <w:szCs w:val="28"/>
        </w:rPr>
        <w:t>Commission économique pour l’Europe</w:t>
      </w:r>
    </w:p>
    <w:p w14:paraId="4EF964A5" w14:textId="77777777" w:rsidR="007F20FA" w:rsidRDefault="007F20FA" w:rsidP="007F20FA">
      <w:pPr>
        <w:spacing w:before="120"/>
        <w:rPr>
          <w:sz w:val="28"/>
          <w:szCs w:val="28"/>
        </w:rPr>
      </w:pPr>
      <w:r w:rsidRPr="00685843">
        <w:rPr>
          <w:sz w:val="28"/>
          <w:szCs w:val="28"/>
        </w:rPr>
        <w:t>Comité des transports intérieurs</w:t>
      </w:r>
    </w:p>
    <w:p w14:paraId="5096DAAB" w14:textId="77777777" w:rsidR="003700D1" w:rsidRPr="003925CE" w:rsidRDefault="00E43D81" w:rsidP="003925CE">
      <w:pPr>
        <w:spacing w:before="120" w:after="120"/>
        <w:rPr>
          <w:b/>
          <w:sz w:val="24"/>
          <w:szCs w:val="24"/>
          <w:lang w:val="fr-FR"/>
        </w:rPr>
      </w:pPr>
      <w:r w:rsidRPr="003925CE">
        <w:rPr>
          <w:b/>
          <w:sz w:val="24"/>
          <w:szCs w:val="24"/>
          <w:lang w:val="fr-FR"/>
        </w:rPr>
        <w:t>Forum mondial de l</w:t>
      </w:r>
      <w:r w:rsidR="002E2DE2" w:rsidRPr="003925CE">
        <w:rPr>
          <w:b/>
          <w:sz w:val="24"/>
          <w:szCs w:val="24"/>
          <w:lang w:val="fr-FR"/>
        </w:rPr>
        <w:t>’</w:t>
      </w:r>
      <w:r w:rsidRPr="003925CE">
        <w:rPr>
          <w:b/>
          <w:sz w:val="24"/>
          <w:szCs w:val="24"/>
          <w:lang w:val="fr-FR"/>
        </w:rPr>
        <w:t>harmonisation</w:t>
      </w:r>
      <w:r w:rsidRPr="003925CE">
        <w:rPr>
          <w:b/>
          <w:sz w:val="24"/>
          <w:szCs w:val="24"/>
          <w:lang w:val="fr-FR"/>
        </w:rPr>
        <w:br/>
        <w:t>des Règlements concernant les véhicules</w:t>
      </w:r>
    </w:p>
    <w:p w14:paraId="464FABF6" w14:textId="77777777" w:rsidR="003700D1" w:rsidRPr="00A32C60" w:rsidRDefault="00E43D81" w:rsidP="002E2DE2">
      <w:pPr>
        <w:rPr>
          <w:b/>
          <w:lang w:val="fr-FR"/>
        </w:rPr>
      </w:pPr>
      <w:r w:rsidRPr="00A32C60">
        <w:rPr>
          <w:b/>
          <w:lang w:val="fr-FR"/>
        </w:rPr>
        <w:t>17</w:t>
      </w:r>
      <w:r w:rsidRPr="00A32C60">
        <w:rPr>
          <w:b/>
          <w:lang w:val="fr-FR"/>
        </w:rPr>
        <w:t>8</w:t>
      </w:r>
      <w:r w:rsidRPr="00A32C60">
        <w:rPr>
          <w:b/>
          <w:vertAlign w:val="superscript"/>
          <w:lang w:val="fr-FR"/>
        </w:rPr>
        <w:t>e</w:t>
      </w:r>
      <w:r w:rsidRPr="00A32C60">
        <w:rPr>
          <w:b/>
          <w:lang w:val="fr-FR"/>
        </w:rPr>
        <w:t xml:space="preserve"> session</w:t>
      </w:r>
    </w:p>
    <w:p w14:paraId="7984CE09" w14:textId="77777777" w:rsidR="003700D1" w:rsidRPr="002E2DE2" w:rsidRDefault="00E43D81" w:rsidP="002E2DE2">
      <w:pPr>
        <w:rPr>
          <w:lang w:val="fr-FR"/>
        </w:rPr>
      </w:pPr>
      <w:r w:rsidRPr="002E2DE2">
        <w:rPr>
          <w:lang w:val="fr-FR"/>
        </w:rPr>
        <w:t>Gen</w:t>
      </w:r>
      <w:r w:rsidRPr="002E2DE2">
        <w:rPr>
          <w:lang w:val="fr-FR"/>
        </w:rPr>
        <w:t>ève</w:t>
      </w:r>
      <w:r w:rsidRPr="002E2DE2">
        <w:rPr>
          <w:lang w:val="fr-FR"/>
        </w:rPr>
        <w:t xml:space="preserve">, </w:t>
      </w:r>
      <w:r w:rsidRPr="002E2DE2">
        <w:rPr>
          <w:lang w:val="fr-FR"/>
        </w:rPr>
        <w:t xml:space="preserve">25-28 </w:t>
      </w:r>
      <w:r w:rsidRPr="002E2DE2">
        <w:rPr>
          <w:lang w:val="fr-FR"/>
        </w:rPr>
        <w:t xml:space="preserve">juin </w:t>
      </w:r>
      <w:r w:rsidRPr="002E2DE2">
        <w:rPr>
          <w:lang w:val="fr-FR"/>
        </w:rPr>
        <w:t>2019</w:t>
      </w:r>
    </w:p>
    <w:p w14:paraId="76E12F05" w14:textId="77777777" w:rsidR="003700D1" w:rsidRPr="002E2DE2" w:rsidRDefault="00E43D81" w:rsidP="002E2DE2">
      <w:pPr>
        <w:rPr>
          <w:lang w:val="fr-FR"/>
        </w:rPr>
      </w:pPr>
      <w:r w:rsidRPr="002E2DE2">
        <w:rPr>
          <w:lang w:val="fr-FR"/>
        </w:rPr>
        <w:t>Point</w:t>
      </w:r>
      <w:r w:rsidRPr="002E2DE2">
        <w:rPr>
          <w:lang w:val="fr-FR"/>
        </w:rPr>
        <w:t xml:space="preserve"> 14.</w:t>
      </w:r>
      <w:r w:rsidRPr="002E2DE2">
        <w:rPr>
          <w:lang w:val="fr-FR"/>
        </w:rPr>
        <w:t>3</w:t>
      </w:r>
      <w:r w:rsidRPr="002E2DE2">
        <w:rPr>
          <w:lang w:val="fr-FR"/>
        </w:rPr>
        <w:t xml:space="preserve"> de l</w:t>
      </w:r>
      <w:r w:rsidR="002E2DE2" w:rsidRPr="002E2DE2">
        <w:rPr>
          <w:lang w:val="fr-FR"/>
        </w:rPr>
        <w:t>’</w:t>
      </w:r>
      <w:r w:rsidRPr="002E2DE2">
        <w:rPr>
          <w:lang w:val="fr-FR"/>
        </w:rPr>
        <w:t>ordre du jour provisoire</w:t>
      </w:r>
    </w:p>
    <w:p w14:paraId="37D5C77B" w14:textId="77777777" w:rsidR="003700D1" w:rsidRPr="00A32C60" w:rsidRDefault="00E43D81" w:rsidP="002E2DE2">
      <w:pPr>
        <w:rPr>
          <w:b/>
          <w:lang w:val="fr-FR"/>
        </w:rPr>
      </w:pPr>
      <w:r w:rsidRPr="00A32C60">
        <w:rPr>
          <w:b/>
          <w:lang w:val="fr-FR"/>
        </w:rPr>
        <w:t xml:space="preserve">Examen et vote par le Comité exécutif de projets de RTM ONU </w:t>
      </w:r>
      <w:r w:rsidR="003925CE" w:rsidRPr="00A32C60">
        <w:rPr>
          <w:b/>
          <w:lang w:val="fr-FR"/>
        </w:rPr>
        <w:br/>
      </w:r>
      <w:r w:rsidRPr="00A32C60">
        <w:rPr>
          <w:b/>
          <w:lang w:val="fr-FR"/>
        </w:rPr>
        <w:t>et/ou de projets d</w:t>
      </w:r>
      <w:r w:rsidR="002E2DE2" w:rsidRPr="00A32C60">
        <w:rPr>
          <w:b/>
          <w:lang w:val="fr-FR"/>
        </w:rPr>
        <w:t>’</w:t>
      </w:r>
      <w:r w:rsidRPr="00A32C60">
        <w:rPr>
          <w:b/>
          <w:lang w:val="fr-FR"/>
        </w:rPr>
        <w:t>amendements à des RTM ONU existants, s</w:t>
      </w:r>
      <w:r w:rsidR="002E2DE2" w:rsidRPr="00A32C60">
        <w:rPr>
          <w:b/>
          <w:lang w:val="fr-FR"/>
        </w:rPr>
        <w:t>’</w:t>
      </w:r>
      <w:r w:rsidRPr="00A32C60">
        <w:rPr>
          <w:b/>
          <w:lang w:val="fr-FR"/>
        </w:rPr>
        <w:t>il y a lieu</w:t>
      </w:r>
      <w:r w:rsidR="003925CE" w:rsidRPr="00A32C60">
        <w:rPr>
          <w:b/>
          <w:lang w:val="fr-FR"/>
        </w:rPr>
        <w:t> </w:t>
      </w:r>
      <w:r w:rsidRPr="00A32C60">
        <w:rPr>
          <w:b/>
          <w:lang w:val="fr-FR"/>
        </w:rPr>
        <w:t>:</w:t>
      </w:r>
      <w:r w:rsidRPr="00A32C60">
        <w:rPr>
          <w:b/>
          <w:lang w:val="fr-FR"/>
        </w:rPr>
        <w:br/>
      </w:r>
      <w:r w:rsidRPr="00A32C60">
        <w:rPr>
          <w:b/>
          <w:lang w:val="fr-FR"/>
        </w:rPr>
        <w:t>Proposition d</w:t>
      </w:r>
      <w:r w:rsidR="002E2DE2" w:rsidRPr="00A32C60">
        <w:rPr>
          <w:b/>
          <w:lang w:val="fr-FR"/>
        </w:rPr>
        <w:t>’</w:t>
      </w:r>
      <w:r w:rsidRPr="00A32C60">
        <w:rPr>
          <w:b/>
          <w:lang w:val="fr-FR"/>
        </w:rPr>
        <w:t xml:space="preserve">amendement 2 au RTM ONU </w:t>
      </w:r>
      <w:r w:rsidR="003925CE" w:rsidRPr="00A32C60">
        <w:rPr>
          <w:rFonts w:eastAsia="MS Mincho"/>
          <w:b/>
          <w:lang w:val="fr-FR"/>
        </w:rPr>
        <w:t>n</w:t>
      </w:r>
      <w:r w:rsidR="003925CE" w:rsidRPr="00A32C60">
        <w:rPr>
          <w:rFonts w:eastAsia="MS Mincho"/>
          <w:b/>
          <w:vertAlign w:val="superscript"/>
          <w:lang w:val="fr-FR"/>
        </w:rPr>
        <w:t>o</w:t>
      </w:r>
      <w:r w:rsidR="003925CE" w:rsidRPr="00A32C60">
        <w:rPr>
          <w:b/>
          <w:lang w:val="fr-FR"/>
        </w:rPr>
        <w:t> </w:t>
      </w:r>
      <w:r w:rsidRPr="00A32C60">
        <w:rPr>
          <w:b/>
          <w:lang w:val="fr-FR"/>
        </w:rPr>
        <w:t xml:space="preserve">19 (Procédure de mesure </w:t>
      </w:r>
      <w:r w:rsidR="003925CE" w:rsidRPr="00A32C60">
        <w:rPr>
          <w:b/>
          <w:lang w:val="fr-FR"/>
        </w:rPr>
        <w:br/>
      </w:r>
      <w:r w:rsidRPr="00A32C60">
        <w:rPr>
          <w:b/>
          <w:lang w:val="fr-FR"/>
        </w:rPr>
        <w:t xml:space="preserve">des émissions par </w:t>
      </w:r>
      <w:r w:rsidRPr="00A32C60">
        <w:rPr>
          <w:b/>
          <w:lang w:val="fr-FR"/>
        </w:rPr>
        <w:t>évaporation dans le cadre de la procédure d</w:t>
      </w:r>
      <w:r w:rsidR="002E2DE2" w:rsidRPr="00A32C60">
        <w:rPr>
          <w:b/>
          <w:lang w:val="fr-FR"/>
        </w:rPr>
        <w:t>’</w:t>
      </w:r>
      <w:r w:rsidRPr="00A32C60">
        <w:rPr>
          <w:b/>
          <w:lang w:val="fr-FR"/>
        </w:rPr>
        <w:t xml:space="preserve">essai mondiale </w:t>
      </w:r>
      <w:r w:rsidR="003925CE" w:rsidRPr="00A32C60">
        <w:rPr>
          <w:b/>
          <w:lang w:val="fr-FR"/>
        </w:rPr>
        <w:br/>
      </w:r>
      <w:r w:rsidRPr="00A32C60">
        <w:rPr>
          <w:b/>
          <w:lang w:val="fr-FR"/>
        </w:rPr>
        <w:t>harmonisée pour les voitures particulières et véhicules utilitaires légers</w:t>
      </w:r>
      <w:r w:rsidRPr="00A32C60">
        <w:rPr>
          <w:b/>
          <w:lang w:val="fr-FR"/>
        </w:rPr>
        <w:t>)</w:t>
      </w:r>
    </w:p>
    <w:p w14:paraId="1F528C7B" w14:textId="77777777" w:rsidR="003700D1" w:rsidRPr="002E2DE2" w:rsidRDefault="00E43D81" w:rsidP="002E2DE2">
      <w:pPr>
        <w:pStyle w:val="HChG"/>
        <w:rPr>
          <w:lang w:val="fr-FR"/>
        </w:rPr>
      </w:pPr>
      <w:r w:rsidRPr="002E2DE2">
        <w:rPr>
          <w:lang w:val="fr-FR"/>
        </w:rPr>
        <w:tab/>
      </w:r>
      <w:r w:rsidRPr="002E2DE2">
        <w:rPr>
          <w:lang w:val="fr-FR"/>
        </w:rPr>
        <w:tab/>
      </w:r>
      <w:r w:rsidRPr="002E2DE2">
        <w:rPr>
          <w:bCs/>
          <w:lang w:val="fr-FR"/>
        </w:rPr>
        <w:t>Rapport technique sur l</w:t>
      </w:r>
      <w:r w:rsidR="002E2DE2" w:rsidRPr="002E2DE2">
        <w:rPr>
          <w:bCs/>
          <w:lang w:val="fr-FR"/>
        </w:rPr>
        <w:t>’</w:t>
      </w:r>
      <w:r w:rsidRPr="002E2DE2">
        <w:rPr>
          <w:bCs/>
          <w:lang w:val="fr-FR"/>
        </w:rPr>
        <w:t>élaboration de l</w:t>
      </w:r>
      <w:r w:rsidR="002E2DE2" w:rsidRPr="002E2DE2">
        <w:rPr>
          <w:bCs/>
          <w:lang w:val="fr-FR"/>
        </w:rPr>
        <w:t>’</w:t>
      </w:r>
      <w:r w:rsidRPr="002E2DE2">
        <w:rPr>
          <w:bCs/>
          <w:lang w:val="fr-FR"/>
        </w:rPr>
        <w:t xml:space="preserve">amendement </w:t>
      </w:r>
      <w:r w:rsidRPr="002E2DE2">
        <w:rPr>
          <w:bCs/>
          <w:lang w:val="fr-FR"/>
        </w:rPr>
        <w:t>2</w:t>
      </w:r>
      <w:r w:rsidRPr="002E2DE2">
        <w:rPr>
          <w:bCs/>
          <w:lang w:val="fr-FR"/>
        </w:rPr>
        <w:t xml:space="preserve"> </w:t>
      </w:r>
      <w:r w:rsidR="003925CE">
        <w:rPr>
          <w:bCs/>
          <w:lang w:val="fr-FR"/>
        </w:rPr>
        <w:br/>
      </w:r>
      <w:r w:rsidRPr="002E2DE2">
        <w:rPr>
          <w:bCs/>
          <w:lang w:val="fr-FR"/>
        </w:rPr>
        <w:t>au RTM ONU n</w:t>
      </w:r>
      <w:r w:rsidRPr="002E2DE2">
        <w:rPr>
          <w:bCs/>
          <w:vertAlign w:val="superscript"/>
          <w:lang w:val="fr-FR"/>
        </w:rPr>
        <w:t>o</w:t>
      </w:r>
      <w:r w:rsidRPr="002E2DE2">
        <w:rPr>
          <w:bCs/>
          <w:lang w:val="fr-FR"/>
        </w:rPr>
        <w:t> </w:t>
      </w:r>
      <w:r w:rsidRPr="002E2DE2">
        <w:rPr>
          <w:bCs/>
          <w:lang w:val="fr-FR"/>
        </w:rPr>
        <w:t xml:space="preserve">19 </w:t>
      </w:r>
      <w:r w:rsidRPr="002E2DE2">
        <w:rPr>
          <w:lang w:val="fr-FR"/>
        </w:rPr>
        <w:t xml:space="preserve">sur la procédure de mesure </w:t>
      </w:r>
      <w:r w:rsidR="003925CE">
        <w:rPr>
          <w:lang w:val="fr-FR"/>
        </w:rPr>
        <w:br/>
      </w:r>
      <w:r w:rsidRPr="002E2DE2">
        <w:rPr>
          <w:lang w:val="fr-FR"/>
        </w:rPr>
        <w:t>des émissions par éva</w:t>
      </w:r>
      <w:r w:rsidRPr="002E2DE2">
        <w:rPr>
          <w:lang w:val="fr-FR"/>
        </w:rPr>
        <w:t>poration dans le cadre de la procédure d</w:t>
      </w:r>
      <w:r w:rsidR="002E2DE2" w:rsidRPr="002E2DE2">
        <w:rPr>
          <w:lang w:val="fr-FR"/>
        </w:rPr>
        <w:t>’</w:t>
      </w:r>
      <w:r w:rsidRPr="002E2DE2">
        <w:rPr>
          <w:lang w:val="fr-FR"/>
        </w:rPr>
        <w:t xml:space="preserve">essai mondiale harmonisée pour les voitures particulières </w:t>
      </w:r>
      <w:r w:rsidR="003925CE">
        <w:rPr>
          <w:lang w:val="fr-FR"/>
        </w:rPr>
        <w:br/>
      </w:r>
      <w:r w:rsidRPr="002E2DE2">
        <w:rPr>
          <w:lang w:val="fr-FR"/>
        </w:rPr>
        <w:t>et véhicules utilitaires légers</w:t>
      </w:r>
      <w:r w:rsidRPr="002E2DE2">
        <w:rPr>
          <w:bCs/>
          <w:lang w:val="fr-FR"/>
        </w:rPr>
        <w:t xml:space="preserve"> </w:t>
      </w:r>
      <w:r w:rsidRPr="002E2DE2">
        <w:rPr>
          <w:bCs/>
          <w:lang w:val="fr-FR"/>
        </w:rPr>
        <w:t>(WLTP EVAP)</w:t>
      </w:r>
    </w:p>
    <w:p w14:paraId="3CE41982" w14:textId="77777777" w:rsidR="003700D1" w:rsidRPr="002E2DE2" w:rsidRDefault="00E43D81" w:rsidP="002E2DE2">
      <w:pPr>
        <w:pStyle w:val="H1G"/>
        <w:rPr>
          <w:vertAlign w:val="subscript"/>
          <w:lang w:val="fr-FR"/>
        </w:rPr>
      </w:pPr>
      <w:r w:rsidRPr="002E2DE2">
        <w:rPr>
          <w:lang w:val="fr-FR"/>
        </w:rPr>
        <w:tab/>
      </w:r>
      <w:r w:rsidRPr="002E2DE2">
        <w:rPr>
          <w:lang w:val="fr-FR"/>
        </w:rPr>
        <w:tab/>
      </w:r>
      <w:r w:rsidRPr="002E2DE2">
        <w:rPr>
          <w:lang w:val="fr-FR"/>
        </w:rPr>
        <w:t>Communication de l</w:t>
      </w:r>
      <w:r w:rsidR="002E2DE2" w:rsidRPr="002E2DE2">
        <w:rPr>
          <w:lang w:val="fr-FR"/>
        </w:rPr>
        <w:t>’</w:t>
      </w:r>
      <w:r w:rsidRPr="002E2DE2">
        <w:rPr>
          <w:lang w:val="fr-FR"/>
        </w:rPr>
        <w:t xml:space="preserve">expert </w:t>
      </w:r>
      <w:r w:rsidRPr="002E2DE2">
        <w:rPr>
          <w:lang w:val="fr-FR"/>
        </w:rPr>
        <w:t xml:space="preserve">de la </w:t>
      </w:r>
      <w:r w:rsidRPr="002E2DE2">
        <w:rPr>
          <w:lang w:val="fr-FR"/>
        </w:rPr>
        <w:t>Commission</w:t>
      </w:r>
      <w:r w:rsidRPr="002E2DE2">
        <w:rPr>
          <w:lang w:val="fr-FR"/>
        </w:rPr>
        <w:t xml:space="preserve"> européenne</w:t>
      </w:r>
      <w:r w:rsidRPr="000959AF">
        <w:rPr>
          <w:b w:val="0"/>
          <w:sz w:val="20"/>
          <w:lang w:val="fr-FR"/>
        </w:rPr>
        <w:footnoteReference w:customMarkFollows="1" w:id="2"/>
        <w:t>*</w:t>
      </w:r>
      <w:r w:rsidRPr="000959AF">
        <w:rPr>
          <w:b w:val="0"/>
          <w:sz w:val="20"/>
          <w:vertAlign w:val="superscript"/>
          <w:lang w:val="fr-FR"/>
        </w:rPr>
        <w:t>,</w:t>
      </w:r>
      <w:r w:rsidRPr="000959AF">
        <w:rPr>
          <w:b w:val="0"/>
          <w:sz w:val="20"/>
          <w:vertAlign w:val="superscript"/>
          <w:lang w:val="fr-FR"/>
        </w:rPr>
        <w:t xml:space="preserve"> </w:t>
      </w:r>
      <w:r w:rsidRPr="000959AF">
        <w:rPr>
          <w:b w:val="0"/>
          <w:sz w:val="20"/>
          <w:lang w:val="fr-FR"/>
        </w:rPr>
        <w:t>*</w:t>
      </w:r>
      <w:r w:rsidRPr="000959AF">
        <w:rPr>
          <w:b w:val="0"/>
          <w:sz w:val="20"/>
          <w:lang w:val="fr-FR"/>
        </w:rPr>
        <w:footnoteReference w:customMarkFollows="1" w:id="3"/>
        <w:t>*</w:t>
      </w:r>
    </w:p>
    <w:p w14:paraId="15B36D5E" w14:textId="77777777" w:rsidR="003700D1" w:rsidRPr="002E2DE2" w:rsidRDefault="002E2DE2" w:rsidP="002E2DE2">
      <w:pPr>
        <w:pStyle w:val="SingleTxtG"/>
        <w:rPr>
          <w:lang w:val="fr-FR"/>
        </w:rPr>
      </w:pPr>
      <w:r>
        <w:rPr>
          <w:lang w:val="fr-FR"/>
        </w:rPr>
        <w:tab/>
      </w:r>
      <w:r w:rsidR="00E43D81" w:rsidRPr="002E2DE2">
        <w:rPr>
          <w:lang w:val="fr-FR"/>
        </w:rPr>
        <w:t>Le</w:t>
      </w:r>
      <w:r w:rsidR="00E43D81" w:rsidRPr="002E2DE2">
        <w:rPr>
          <w:lang w:val="fr-FR"/>
        </w:rPr>
        <w:t xml:space="preserve"> text</w:t>
      </w:r>
      <w:r w:rsidR="00E43D81" w:rsidRPr="002E2DE2">
        <w:rPr>
          <w:lang w:val="fr-FR"/>
        </w:rPr>
        <w:t>e</w:t>
      </w:r>
      <w:r w:rsidR="00E43D81" w:rsidRPr="002E2DE2">
        <w:rPr>
          <w:lang w:val="fr-FR"/>
        </w:rPr>
        <w:t xml:space="preserve"> </w:t>
      </w:r>
      <w:r w:rsidR="00E43D81" w:rsidRPr="002E2DE2">
        <w:rPr>
          <w:lang w:val="fr-FR"/>
        </w:rPr>
        <w:t>ci-après a été établi par le groupe de travail informel de la Procédure d</w:t>
      </w:r>
      <w:r w:rsidRPr="002E2DE2">
        <w:rPr>
          <w:lang w:val="fr-FR"/>
        </w:rPr>
        <w:t>’</w:t>
      </w:r>
      <w:r w:rsidR="00E43D81" w:rsidRPr="002E2DE2">
        <w:rPr>
          <w:lang w:val="fr-FR"/>
        </w:rPr>
        <w:t xml:space="preserve">essai mondiale harmonisée pour les voitures particulières et véhicules utilitaires légers </w:t>
      </w:r>
      <w:r w:rsidR="00E43D81" w:rsidRPr="002E2DE2">
        <w:rPr>
          <w:lang w:val="fr-FR"/>
        </w:rPr>
        <w:t>(WLTP).</w:t>
      </w:r>
      <w:r w:rsidR="00E43D81" w:rsidRPr="002E2DE2">
        <w:rPr>
          <w:lang w:val="fr-FR"/>
        </w:rPr>
        <w:t xml:space="preserve"> </w:t>
      </w:r>
      <w:r w:rsidR="00E43D81" w:rsidRPr="002E2DE2">
        <w:rPr>
          <w:lang w:val="fr-FR"/>
        </w:rPr>
        <w:t>Il s</w:t>
      </w:r>
      <w:r w:rsidRPr="002E2DE2">
        <w:rPr>
          <w:lang w:val="fr-FR"/>
        </w:rPr>
        <w:t>’</w:t>
      </w:r>
      <w:r w:rsidR="00E43D81" w:rsidRPr="002E2DE2">
        <w:rPr>
          <w:lang w:val="fr-FR"/>
        </w:rPr>
        <w:t>agit du rapport technique soumis en même temps que l</w:t>
      </w:r>
      <w:r w:rsidRPr="002E2DE2">
        <w:rPr>
          <w:lang w:val="fr-FR"/>
        </w:rPr>
        <w:t>’</w:t>
      </w:r>
      <w:r w:rsidR="00E43D81" w:rsidRPr="002E2DE2">
        <w:rPr>
          <w:lang w:val="fr-FR"/>
        </w:rPr>
        <w:t xml:space="preserve">amendement </w:t>
      </w:r>
      <w:r w:rsidR="00E43D81" w:rsidRPr="002E2DE2">
        <w:rPr>
          <w:lang w:val="fr-FR"/>
        </w:rPr>
        <w:t>2</w:t>
      </w:r>
      <w:r w:rsidR="00E43D81" w:rsidRPr="002E2DE2">
        <w:rPr>
          <w:lang w:val="fr-FR"/>
        </w:rPr>
        <w:t xml:space="preserve"> </w:t>
      </w:r>
      <w:r w:rsidR="00E43D81" w:rsidRPr="002E2DE2">
        <w:rPr>
          <w:lang w:val="fr-FR"/>
        </w:rPr>
        <w:t>au RTM ONU n</w:t>
      </w:r>
      <w:r w:rsidR="00E43D81" w:rsidRPr="002E2DE2">
        <w:rPr>
          <w:vertAlign w:val="superscript"/>
          <w:lang w:val="fr-FR"/>
        </w:rPr>
        <w:t>o</w:t>
      </w:r>
      <w:r w:rsidR="00E43D81" w:rsidRPr="002E2DE2">
        <w:rPr>
          <w:lang w:val="fr-FR"/>
        </w:rPr>
        <w:t> </w:t>
      </w:r>
      <w:r w:rsidR="00E43D81" w:rsidRPr="002E2DE2">
        <w:rPr>
          <w:lang w:val="fr-FR"/>
        </w:rPr>
        <w:t>1</w:t>
      </w:r>
      <w:r w:rsidR="00E43D81" w:rsidRPr="002E2DE2">
        <w:rPr>
          <w:lang w:val="fr-FR"/>
        </w:rPr>
        <w:t>9</w:t>
      </w:r>
      <w:r w:rsidR="00E43D81" w:rsidRPr="002E2DE2">
        <w:rPr>
          <w:lang w:val="fr-FR"/>
        </w:rPr>
        <w:t xml:space="preserve"> </w:t>
      </w:r>
      <w:r w:rsidR="00E43D81" w:rsidRPr="002E2DE2">
        <w:rPr>
          <w:lang w:val="fr-FR"/>
        </w:rPr>
        <w:t xml:space="preserve">sur la procédure </w:t>
      </w:r>
      <w:r w:rsidR="00E43D81" w:rsidRPr="002E2DE2">
        <w:rPr>
          <w:lang w:val="fr-FR"/>
        </w:rPr>
        <w:t xml:space="preserve">WLTP </w:t>
      </w:r>
      <w:r w:rsidR="00E43D81" w:rsidRPr="002E2DE2">
        <w:rPr>
          <w:lang w:val="fr-FR"/>
        </w:rPr>
        <w:t xml:space="preserve">EVAP </w:t>
      </w:r>
      <w:r w:rsidR="00E43D81" w:rsidRPr="002E2DE2">
        <w:rPr>
          <w:lang w:val="fr-FR"/>
        </w:rPr>
        <w:t>(ECE/TRANS/WP.</w:t>
      </w:r>
      <w:r w:rsidR="00E43D81" w:rsidRPr="002E2DE2">
        <w:rPr>
          <w:lang w:val="fr-FR"/>
        </w:rPr>
        <w:t>29/201</w:t>
      </w:r>
      <w:r w:rsidR="00E43D81" w:rsidRPr="002E2DE2">
        <w:rPr>
          <w:lang w:val="fr-FR"/>
        </w:rPr>
        <w:t>9</w:t>
      </w:r>
      <w:r w:rsidR="00E43D81" w:rsidRPr="002E2DE2">
        <w:rPr>
          <w:lang w:val="fr-FR"/>
        </w:rPr>
        <w:t>/</w:t>
      </w:r>
      <w:r w:rsidR="00E43D81" w:rsidRPr="002E2DE2">
        <w:rPr>
          <w:lang w:val="fr-FR"/>
        </w:rPr>
        <w:t>6</w:t>
      </w:r>
      <w:r w:rsidR="00E43D81" w:rsidRPr="002E2DE2">
        <w:rPr>
          <w:lang w:val="fr-FR"/>
        </w:rPr>
        <w:t>2</w:t>
      </w:r>
      <w:r w:rsidR="00E43D81" w:rsidRPr="002E2DE2">
        <w:rPr>
          <w:lang w:val="fr-FR"/>
        </w:rPr>
        <w:t>), adopté par le Groupe de travail de la pollution et de l</w:t>
      </w:r>
      <w:r w:rsidRPr="002E2DE2">
        <w:rPr>
          <w:lang w:val="fr-FR"/>
        </w:rPr>
        <w:t>’</w:t>
      </w:r>
      <w:r w:rsidR="00E43D81" w:rsidRPr="002E2DE2">
        <w:rPr>
          <w:lang w:val="fr-FR"/>
        </w:rPr>
        <w:t xml:space="preserve">énergie (GRPE) </w:t>
      </w:r>
      <w:r w:rsidR="00E43D81" w:rsidRPr="002E2DE2">
        <w:rPr>
          <w:lang w:val="fr-FR"/>
        </w:rPr>
        <w:t>(</w:t>
      </w:r>
      <w:r w:rsidR="00E43D81" w:rsidRPr="002E2DE2">
        <w:rPr>
          <w:bCs/>
          <w:lang w:val="fr-FR"/>
        </w:rPr>
        <w:t>ECE/TRANS/WP.</w:t>
      </w:r>
      <w:r w:rsidR="00E43D81" w:rsidRPr="002E2DE2">
        <w:rPr>
          <w:bCs/>
          <w:lang w:val="fr-FR"/>
        </w:rPr>
        <w:t>29/GRPE/78</w:t>
      </w:r>
      <w:r w:rsidR="00E43D81" w:rsidRPr="002E2DE2">
        <w:rPr>
          <w:bCs/>
          <w:lang w:val="fr-FR"/>
        </w:rPr>
        <w:t>, par</w:t>
      </w:r>
      <w:r w:rsidR="00E43D81" w:rsidRPr="002E2DE2">
        <w:rPr>
          <w:bCs/>
          <w:lang w:val="fr-FR"/>
        </w:rPr>
        <w:t>.</w:t>
      </w:r>
      <w:r w:rsidR="00E43D81" w:rsidRPr="002E2DE2">
        <w:rPr>
          <w:bCs/>
          <w:lang w:val="fr-FR"/>
        </w:rPr>
        <w:t xml:space="preserve"> 15</w:t>
      </w:r>
      <w:r w:rsidR="00E43D81" w:rsidRPr="002E2DE2">
        <w:rPr>
          <w:bCs/>
          <w:lang w:val="fr-FR"/>
        </w:rPr>
        <w:t xml:space="preserve">) et reproduit à </w:t>
      </w:r>
      <w:r w:rsidR="00E43D81" w:rsidRPr="002E2DE2">
        <w:rPr>
          <w:lang w:val="fr-FR"/>
        </w:rPr>
        <w:t>l</w:t>
      </w:r>
      <w:r w:rsidRPr="002E2DE2">
        <w:rPr>
          <w:lang w:val="fr-FR"/>
        </w:rPr>
        <w:t>’</w:t>
      </w:r>
      <w:r w:rsidR="00E43D81" w:rsidRPr="002E2DE2">
        <w:rPr>
          <w:lang w:val="fr-FR"/>
        </w:rPr>
        <w:t xml:space="preserve">annexe </w:t>
      </w:r>
      <w:r w:rsidR="00E43D81" w:rsidRPr="002E2DE2">
        <w:rPr>
          <w:bCs/>
          <w:lang w:val="fr-FR"/>
        </w:rPr>
        <w:t xml:space="preserve">VIII </w:t>
      </w:r>
      <w:r w:rsidR="00E43D81" w:rsidRPr="002E2DE2">
        <w:rPr>
          <w:bCs/>
          <w:lang w:val="fr-FR"/>
        </w:rPr>
        <w:t xml:space="preserve">du rapport de la </w:t>
      </w:r>
      <w:r w:rsidR="00E43D81" w:rsidRPr="002E2DE2">
        <w:rPr>
          <w:bCs/>
          <w:lang w:val="fr-FR"/>
        </w:rPr>
        <w:t>session</w:t>
      </w:r>
      <w:r w:rsidR="00E43D81" w:rsidRPr="002E2DE2">
        <w:rPr>
          <w:lang w:val="fr-FR"/>
        </w:rPr>
        <w:t>.</w:t>
      </w:r>
      <w:r w:rsidR="00E43D81" w:rsidRPr="002E2DE2">
        <w:rPr>
          <w:lang w:val="fr-FR"/>
        </w:rPr>
        <w:t xml:space="preserve"> I</w:t>
      </w:r>
      <w:r w:rsidR="00E43D81" w:rsidRPr="002E2DE2">
        <w:rPr>
          <w:lang w:val="fr-FR"/>
        </w:rPr>
        <w:t>l est soumis au Forum mondial de l</w:t>
      </w:r>
      <w:r w:rsidRPr="002E2DE2">
        <w:rPr>
          <w:lang w:val="fr-FR"/>
        </w:rPr>
        <w:t>’</w:t>
      </w:r>
      <w:r w:rsidR="00E43D81" w:rsidRPr="002E2DE2">
        <w:rPr>
          <w:lang w:val="fr-FR"/>
        </w:rPr>
        <w:t>h</w:t>
      </w:r>
      <w:r w:rsidR="00E43D81" w:rsidRPr="002E2DE2">
        <w:rPr>
          <w:lang w:val="fr-FR"/>
        </w:rPr>
        <w:t xml:space="preserve">armonisation des Règlements concernant les véhicules </w:t>
      </w:r>
      <w:r w:rsidR="00E43D81" w:rsidRPr="002E2DE2">
        <w:rPr>
          <w:lang w:val="fr-FR"/>
        </w:rPr>
        <w:t>(WP.</w:t>
      </w:r>
      <w:r w:rsidR="00E43D81" w:rsidRPr="002E2DE2">
        <w:rPr>
          <w:lang w:val="fr-FR"/>
        </w:rPr>
        <w:t xml:space="preserve">29) </w:t>
      </w:r>
      <w:r w:rsidR="00E43D81" w:rsidRPr="002E2DE2">
        <w:rPr>
          <w:lang w:val="fr-FR"/>
        </w:rPr>
        <w:t>et au Comité exécutif de l</w:t>
      </w:r>
      <w:r w:rsidRPr="002E2DE2">
        <w:rPr>
          <w:lang w:val="fr-FR"/>
        </w:rPr>
        <w:t>’</w:t>
      </w:r>
      <w:r w:rsidR="00E43D81" w:rsidRPr="002E2DE2">
        <w:rPr>
          <w:lang w:val="fr-FR"/>
        </w:rPr>
        <w:t>Accord de 1998</w:t>
      </w:r>
      <w:r w:rsidR="00E43D81" w:rsidRPr="002E2DE2">
        <w:rPr>
          <w:lang w:val="fr-FR"/>
        </w:rPr>
        <w:t xml:space="preserve"> (AC.</w:t>
      </w:r>
      <w:r w:rsidR="00E43D81" w:rsidRPr="002E2DE2">
        <w:rPr>
          <w:lang w:val="fr-FR"/>
        </w:rPr>
        <w:t xml:space="preserve">3) </w:t>
      </w:r>
      <w:r w:rsidR="00E43D81" w:rsidRPr="002E2DE2">
        <w:rPr>
          <w:lang w:val="fr-FR"/>
        </w:rPr>
        <w:t xml:space="preserve">pour examen à leurs sessions de </w:t>
      </w:r>
      <w:r w:rsidR="00BB4320">
        <w:rPr>
          <w:lang w:val="fr-FR"/>
        </w:rPr>
        <w:t xml:space="preserve">juin </w:t>
      </w:r>
      <w:r w:rsidR="00E43D81" w:rsidRPr="002E2DE2">
        <w:rPr>
          <w:lang w:val="fr-FR"/>
        </w:rPr>
        <w:t>2018</w:t>
      </w:r>
      <w:r w:rsidR="00E43D81" w:rsidRPr="002E2DE2">
        <w:rPr>
          <w:lang w:val="fr-FR"/>
        </w:rPr>
        <w:t>.</w:t>
      </w:r>
    </w:p>
    <w:p w14:paraId="1F775A29" w14:textId="77777777" w:rsidR="003700D1" w:rsidRPr="002E2DE2" w:rsidRDefault="00E43D81" w:rsidP="00AF21A7">
      <w:pPr>
        <w:pStyle w:val="HChG"/>
        <w:rPr>
          <w:lang w:val="fr-FR"/>
        </w:rPr>
      </w:pPr>
      <w:r w:rsidRPr="002E2DE2">
        <w:rPr>
          <w:lang w:val="fr-FR"/>
        </w:rPr>
        <w:br w:type="page"/>
      </w:r>
      <w:r w:rsidR="00AF21A7">
        <w:rPr>
          <w:lang w:val="fr-FR"/>
        </w:rPr>
        <w:lastRenderedPageBreak/>
        <w:tab/>
      </w:r>
      <w:r w:rsidR="00AF21A7">
        <w:rPr>
          <w:lang w:val="fr-FR"/>
        </w:rPr>
        <w:tab/>
      </w:r>
      <w:r w:rsidRPr="003B5359">
        <w:rPr>
          <w:spacing w:val="-2"/>
          <w:lang w:val="fr-FR"/>
        </w:rPr>
        <w:t>Rapport technique sur l</w:t>
      </w:r>
      <w:r w:rsidR="002E2DE2" w:rsidRPr="003B5359">
        <w:rPr>
          <w:spacing w:val="-2"/>
          <w:lang w:val="fr-FR"/>
        </w:rPr>
        <w:t>’</w:t>
      </w:r>
      <w:r w:rsidRPr="003B5359">
        <w:rPr>
          <w:spacing w:val="-2"/>
          <w:lang w:val="fr-FR"/>
        </w:rPr>
        <w:t>élaboration de l</w:t>
      </w:r>
      <w:r w:rsidR="002E2DE2" w:rsidRPr="003B5359">
        <w:rPr>
          <w:spacing w:val="-2"/>
          <w:lang w:val="fr-FR"/>
        </w:rPr>
        <w:t>’</w:t>
      </w:r>
      <w:r w:rsidRPr="003B5359">
        <w:rPr>
          <w:spacing w:val="-2"/>
          <w:lang w:val="fr-FR"/>
        </w:rPr>
        <w:t xml:space="preserve">amendement 2 </w:t>
      </w:r>
      <w:r w:rsidR="00AF21A7" w:rsidRPr="003B5359">
        <w:rPr>
          <w:spacing w:val="-2"/>
          <w:lang w:val="fr-FR"/>
        </w:rPr>
        <w:br/>
      </w:r>
      <w:r w:rsidRPr="003B5359">
        <w:rPr>
          <w:spacing w:val="-2"/>
          <w:lang w:val="fr-FR"/>
        </w:rPr>
        <w:t xml:space="preserve">au RTM ONU </w:t>
      </w:r>
      <w:r w:rsidR="009A3481" w:rsidRPr="003B5359">
        <w:rPr>
          <w:rFonts w:eastAsia="MS Mincho"/>
          <w:spacing w:val="-2"/>
          <w:lang w:val="fr-FR"/>
        </w:rPr>
        <w:t>n</w:t>
      </w:r>
      <w:r w:rsidR="009A3481" w:rsidRPr="003B5359">
        <w:rPr>
          <w:rFonts w:eastAsia="MS Mincho"/>
          <w:spacing w:val="-2"/>
          <w:vertAlign w:val="superscript"/>
          <w:lang w:val="fr-FR"/>
        </w:rPr>
        <w:t>o</w:t>
      </w:r>
      <w:r w:rsidR="009A3481" w:rsidRPr="003B5359">
        <w:rPr>
          <w:spacing w:val="-2"/>
          <w:lang w:val="fr-FR"/>
        </w:rPr>
        <w:t> </w:t>
      </w:r>
      <w:r w:rsidRPr="003B5359">
        <w:rPr>
          <w:spacing w:val="-2"/>
          <w:lang w:val="fr-FR"/>
        </w:rPr>
        <w:t xml:space="preserve">19 sur la procédure de mesure des </w:t>
      </w:r>
      <w:r w:rsidRPr="003B5359">
        <w:rPr>
          <w:spacing w:val="-2"/>
          <w:lang w:val="fr-FR"/>
        </w:rPr>
        <w:t>émissions</w:t>
      </w:r>
      <w:r w:rsidRPr="002E2DE2">
        <w:rPr>
          <w:lang w:val="fr-FR"/>
        </w:rPr>
        <w:t xml:space="preserve"> par évaporation dans le cadre de la procédure d</w:t>
      </w:r>
      <w:r w:rsidR="002E2DE2" w:rsidRPr="002E2DE2">
        <w:rPr>
          <w:lang w:val="fr-FR"/>
        </w:rPr>
        <w:t>’</w:t>
      </w:r>
      <w:r w:rsidRPr="002E2DE2">
        <w:rPr>
          <w:lang w:val="fr-FR"/>
        </w:rPr>
        <w:t xml:space="preserve">essai mondiale harmonisée pour les voitures particulières </w:t>
      </w:r>
      <w:r w:rsidR="003B5359">
        <w:rPr>
          <w:lang w:val="fr-FR"/>
        </w:rPr>
        <w:br/>
      </w:r>
      <w:r w:rsidRPr="002E2DE2">
        <w:rPr>
          <w:lang w:val="fr-FR"/>
        </w:rPr>
        <w:t>et véhicules utilitaires légers (WLTP EVAP)</w:t>
      </w:r>
    </w:p>
    <w:p w14:paraId="40CA9469" w14:textId="77777777" w:rsidR="003700D1" w:rsidRPr="002E2DE2" w:rsidRDefault="00AF21A7" w:rsidP="00AF21A7">
      <w:pPr>
        <w:pStyle w:val="HChG"/>
        <w:rPr>
          <w:lang w:val="fr-FR"/>
        </w:rPr>
      </w:pPr>
      <w:r>
        <w:rPr>
          <w:lang w:val="fr-FR"/>
        </w:rPr>
        <w:tab/>
      </w:r>
      <w:r w:rsidR="00E43D81" w:rsidRPr="002E2DE2">
        <w:rPr>
          <w:lang w:val="fr-FR"/>
        </w:rPr>
        <w:t>I.</w:t>
      </w:r>
      <w:r w:rsidR="00E43D81" w:rsidRPr="002E2DE2">
        <w:rPr>
          <w:lang w:val="fr-FR"/>
        </w:rPr>
        <w:tab/>
      </w:r>
      <w:r w:rsidR="00E43D81" w:rsidRPr="002E2DE2">
        <w:rPr>
          <w:lang w:val="fr-FR"/>
        </w:rPr>
        <w:t>Introduction</w:t>
      </w:r>
      <w:bookmarkStart w:id="0" w:name="_Hlk482894782"/>
    </w:p>
    <w:p w14:paraId="36AC5EDB" w14:textId="77777777" w:rsidR="003700D1" w:rsidRPr="002E2DE2" w:rsidRDefault="00E43D81" w:rsidP="002E2DE2">
      <w:pPr>
        <w:pStyle w:val="SingleTxtG"/>
        <w:rPr>
          <w:lang w:val="fr-FR"/>
        </w:rPr>
      </w:pPr>
      <w:r w:rsidRPr="002E2DE2">
        <w:rPr>
          <w:lang w:val="fr-FR"/>
        </w:rPr>
        <w:t>1.</w:t>
      </w:r>
      <w:r w:rsidRPr="002E2DE2">
        <w:rPr>
          <w:lang w:val="fr-FR"/>
        </w:rPr>
        <w:tab/>
        <w:t xml:space="preserve">À la soixante-quatorzième session du Groupe de travail de la pollution et de </w:t>
      </w:r>
      <w:r w:rsidRPr="002E2DE2">
        <w:rPr>
          <w:lang w:val="fr-FR"/>
        </w:rPr>
        <w:t>l</w:t>
      </w:r>
      <w:r w:rsidR="002E2DE2" w:rsidRPr="002E2DE2">
        <w:rPr>
          <w:lang w:val="fr-FR"/>
        </w:rPr>
        <w:t>’</w:t>
      </w:r>
      <w:r w:rsidRPr="002E2DE2">
        <w:rPr>
          <w:lang w:val="fr-FR"/>
        </w:rPr>
        <w:t>énergie (GRPE), en janvier 2017, l</w:t>
      </w:r>
      <w:r w:rsidR="002E2DE2" w:rsidRPr="002E2DE2">
        <w:rPr>
          <w:lang w:val="fr-FR"/>
        </w:rPr>
        <w:t>’</w:t>
      </w:r>
      <w:r w:rsidRPr="002E2DE2">
        <w:rPr>
          <w:lang w:val="fr-FR"/>
        </w:rPr>
        <w:t>équipe spéciale de la procédure de mesure des émissions par évaporation dans le cadre de la procédure d</w:t>
      </w:r>
      <w:r w:rsidR="002E2DE2" w:rsidRPr="002E2DE2">
        <w:rPr>
          <w:lang w:val="fr-FR"/>
        </w:rPr>
        <w:t>’</w:t>
      </w:r>
      <w:r w:rsidRPr="002E2DE2">
        <w:rPr>
          <w:lang w:val="fr-FR"/>
        </w:rPr>
        <w:t xml:space="preserve">essai mondiale harmonisée pour les voitures particulières et véhicules utilitaires légers (WLTP EVAP) a soumis </w:t>
      </w:r>
      <w:r w:rsidRPr="002E2DE2">
        <w:rPr>
          <w:lang w:val="fr-FR"/>
        </w:rPr>
        <w:t>au G</w:t>
      </w:r>
      <w:r w:rsidRPr="002E2DE2">
        <w:rPr>
          <w:lang w:val="fr-FR"/>
        </w:rPr>
        <w:t xml:space="preserve">RPE </w:t>
      </w:r>
      <w:r w:rsidRPr="002E2DE2">
        <w:rPr>
          <w:lang w:val="fr-FR"/>
        </w:rPr>
        <w:t>un document de travail ainsi qu</w:t>
      </w:r>
      <w:r w:rsidR="002E2DE2" w:rsidRPr="002E2DE2">
        <w:rPr>
          <w:lang w:val="fr-FR"/>
        </w:rPr>
        <w:t>’</w:t>
      </w:r>
      <w:r w:rsidRPr="002E2DE2">
        <w:rPr>
          <w:lang w:val="fr-FR"/>
        </w:rPr>
        <w:t xml:space="preserve">un document informel </w:t>
      </w:r>
      <w:r w:rsidRPr="002E2DE2">
        <w:rPr>
          <w:lang w:val="fr-FR"/>
        </w:rPr>
        <w:t>afin qu</w:t>
      </w:r>
      <w:r w:rsidR="002E2DE2" w:rsidRPr="002E2DE2">
        <w:rPr>
          <w:lang w:val="fr-FR"/>
        </w:rPr>
        <w:t>’</w:t>
      </w:r>
      <w:r w:rsidRPr="002E2DE2">
        <w:rPr>
          <w:lang w:val="fr-FR"/>
        </w:rPr>
        <w:t>il les examine</w:t>
      </w:r>
      <w:r w:rsidRPr="002E2DE2">
        <w:rPr>
          <w:lang w:val="fr-FR"/>
        </w:rPr>
        <w:t>.</w:t>
      </w:r>
    </w:p>
    <w:p w14:paraId="0DBFC1D1" w14:textId="77777777" w:rsidR="003700D1" w:rsidRPr="002E2DE2" w:rsidRDefault="00E43D81" w:rsidP="002E2DE2">
      <w:pPr>
        <w:pStyle w:val="SingleTxtG"/>
        <w:rPr>
          <w:lang w:val="fr-FR"/>
        </w:rPr>
      </w:pPr>
      <w:r w:rsidRPr="002E2DE2">
        <w:rPr>
          <w:lang w:val="fr-FR"/>
        </w:rPr>
        <w:t>2.</w:t>
      </w:r>
      <w:r w:rsidRPr="002E2DE2">
        <w:rPr>
          <w:lang w:val="fr-FR"/>
        </w:rPr>
        <w:tab/>
        <w:t xml:space="preserve">Le document de travail, publié sous la cote ECE/TRANS/WP.29/GRPE/2017/3 (Proposition de nouveau Règlement technique mondial </w:t>
      </w:r>
      <w:r w:rsidR="00F55940">
        <w:rPr>
          <w:lang w:val="fr-FR"/>
        </w:rPr>
        <w:t xml:space="preserve">ONU </w:t>
      </w:r>
      <w:r w:rsidRPr="002E2DE2">
        <w:rPr>
          <w:lang w:val="fr-FR"/>
        </w:rPr>
        <w:t>sur la procédure de mesure des émissions par éva</w:t>
      </w:r>
      <w:r w:rsidRPr="002E2DE2">
        <w:rPr>
          <w:lang w:val="fr-FR"/>
        </w:rPr>
        <w:t>poration dans le cadre de la procédure d</w:t>
      </w:r>
      <w:r w:rsidR="002E2DE2" w:rsidRPr="002E2DE2">
        <w:rPr>
          <w:lang w:val="fr-FR"/>
        </w:rPr>
        <w:t>’</w:t>
      </w:r>
      <w:r w:rsidRPr="002E2DE2">
        <w:rPr>
          <w:lang w:val="fr-FR"/>
        </w:rPr>
        <w:t xml:space="preserve">essai mondiale harmonisée pour les voitures particulières et véhicules utilitaires légers (WLTP EVAP)), adopté par la suite en tant que RTM ONU </w:t>
      </w:r>
      <w:r w:rsidR="009A3481" w:rsidRPr="009A3481">
        <w:rPr>
          <w:rFonts w:eastAsia="MS Mincho"/>
          <w:lang w:val="fr-FR"/>
        </w:rPr>
        <w:t>n</w:t>
      </w:r>
      <w:r w:rsidR="009A3481" w:rsidRPr="009A3481">
        <w:rPr>
          <w:rFonts w:eastAsia="MS Mincho"/>
          <w:vertAlign w:val="superscript"/>
          <w:lang w:val="fr-FR"/>
        </w:rPr>
        <w:t>o</w:t>
      </w:r>
      <w:r w:rsidR="009A3481">
        <w:rPr>
          <w:lang w:val="fr-FR"/>
        </w:rPr>
        <w:t> </w:t>
      </w:r>
      <w:r w:rsidRPr="002E2DE2">
        <w:rPr>
          <w:lang w:val="fr-FR"/>
        </w:rPr>
        <w:t>19, contenait une proposition de nouvelle procédure de mesure des ém</w:t>
      </w:r>
      <w:r w:rsidRPr="002E2DE2">
        <w:rPr>
          <w:lang w:val="fr-FR"/>
        </w:rPr>
        <w:t>issions par évaporation provenant de systèmes de réservoir à carburant non étanches.</w:t>
      </w:r>
    </w:p>
    <w:p w14:paraId="107B22A1" w14:textId="77777777" w:rsidR="003700D1" w:rsidRPr="002E2DE2" w:rsidRDefault="00E43D81" w:rsidP="002E2DE2">
      <w:pPr>
        <w:pStyle w:val="SingleTxtG"/>
        <w:rPr>
          <w:lang w:val="fr-FR"/>
        </w:rPr>
      </w:pPr>
      <w:r w:rsidRPr="002E2DE2">
        <w:rPr>
          <w:lang w:val="fr-FR"/>
        </w:rPr>
        <w:t>3.</w:t>
      </w:r>
      <w:r w:rsidRPr="002E2DE2">
        <w:rPr>
          <w:lang w:val="fr-FR"/>
        </w:rPr>
        <w:tab/>
        <w:t>Les systèmes de réservoir à carburant non étanches sont principalement utilisés sur les véhicules classiques équipés d</w:t>
      </w:r>
      <w:r w:rsidR="002E2DE2" w:rsidRPr="002E2DE2">
        <w:rPr>
          <w:lang w:val="fr-FR"/>
        </w:rPr>
        <w:t>’</w:t>
      </w:r>
      <w:r w:rsidRPr="002E2DE2">
        <w:rPr>
          <w:lang w:val="fr-FR"/>
        </w:rPr>
        <w:t>un moteur à combustion interne. Étant donné qu</w:t>
      </w:r>
      <w:r w:rsidR="002E2DE2" w:rsidRPr="002E2DE2">
        <w:rPr>
          <w:lang w:val="fr-FR"/>
        </w:rPr>
        <w:t>’</w:t>
      </w:r>
      <w:r w:rsidRPr="002E2DE2">
        <w:rPr>
          <w:lang w:val="fr-FR"/>
        </w:rPr>
        <w:t>il</w:t>
      </w:r>
      <w:r w:rsidRPr="002E2DE2">
        <w:rPr>
          <w:lang w:val="fr-FR"/>
        </w:rPr>
        <w:t xml:space="preserve"> existe pour ces véhicules une forte probabilité de purge dans le moteur à combustion interne des vapeurs de carburant se trouvant dans le ré</w:t>
      </w:r>
      <w:r w:rsidRPr="002E2DE2">
        <w:rPr>
          <w:lang w:val="fr-FR"/>
        </w:rPr>
        <w:t>servoir de carburant et dans le ou le</w:t>
      </w:r>
      <w:r w:rsidRPr="002E2DE2">
        <w:rPr>
          <w:lang w:val="fr-FR"/>
        </w:rPr>
        <w:t>s</w:t>
      </w:r>
      <w:r w:rsidRPr="002E2DE2">
        <w:rPr>
          <w:lang w:val="fr-FR"/>
        </w:rPr>
        <w:t xml:space="preserve"> canister</w:t>
      </w:r>
      <w:r w:rsidRPr="002E2DE2">
        <w:rPr>
          <w:lang w:val="fr-FR"/>
        </w:rPr>
        <w:t>s, la</w:t>
      </w:r>
      <w:r w:rsidR="009A3481">
        <w:rPr>
          <w:lang w:val="fr-FR"/>
        </w:rPr>
        <w:t xml:space="preserve"> </w:t>
      </w:r>
      <w:r w:rsidRPr="002E2DE2">
        <w:rPr>
          <w:lang w:val="fr-FR"/>
        </w:rPr>
        <w:t xml:space="preserve">pression générée par les vapeurs de carburant est maintenue à </w:t>
      </w:r>
      <w:r w:rsidRPr="002E2DE2">
        <w:rPr>
          <w:lang w:val="fr-FR"/>
        </w:rPr>
        <w:t>un faible niveau dans le réservoir.</w:t>
      </w:r>
    </w:p>
    <w:p w14:paraId="5EEC3AB3" w14:textId="77777777" w:rsidR="003700D1" w:rsidRPr="002E2DE2" w:rsidRDefault="00E43D81" w:rsidP="002E2DE2">
      <w:pPr>
        <w:pStyle w:val="SingleTxtG"/>
        <w:rPr>
          <w:lang w:val="fr-FR"/>
        </w:rPr>
      </w:pPr>
      <w:r w:rsidRPr="002E2DE2">
        <w:rPr>
          <w:lang w:val="fr-FR"/>
        </w:rPr>
        <w:t>4.</w:t>
      </w:r>
      <w:r w:rsidRPr="002E2DE2">
        <w:rPr>
          <w:lang w:val="fr-FR"/>
        </w:rPr>
        <w:tab/>
        <w:t xml:space="preserve">De la fin 2016 à septembre 2017, 13 réunions (y compris </w:t>
      </w:r>
      <w:r w:rsidRPr="002E2DE2">
        <w:rPr>
          <w:lang w:val="fr-FR"/>
        </w:rPr>
        <w:t>trois rencontres directes et deux</w:t>
      </w:r>
      <w:r w:rsidRPr="002E2DE2">
        <w:rPr>
          <w:lang w:val="fr-FR"/>
        </w:rPr>
        <w:t> séances de rédaction) ont été tenues, et l</w:t>
      </w:r>
      <w:r w:rsidR="002E2DE2" w:rsidRPr="002E2DE2">
        <w:rPr>
          <w:lang w:val="fr-FR"/>
        </w:rPr>
        <w:t>’</w:t>
      </w:r>
      <w:r w:rsidRPr="002E2DE2">
        <w:rPr>
          <w:lang w:val="fr-FR"/>
        </w:rPr>
        <w:t>équipe spéciale WLTP EVAP s</w:t>
      </w:r>
      <w:r w:rsidR="002E2DE2" w:rsidRPr="002E2DE2">
        <w:rPr>
          <w:lang w:val="fr-FR"/>
        </w:rPr>
        <w:t>’</w:t>
      </w:r>
      <w:r w:rsidRPr="002E2DE2">
        <w:rPr>
          <w:lang w:val="fr-FR"/>
        </w:rPr>
        <w:t>est employée à inclure une procédure d</w:t>
      </w:r>
      <w:r w:rsidR="002E2DE2" w:rsidRPr="002E2DE2">
        <w:rPr>
          <w:lang w:val="fr-FR"/>
        </w:rPr>
        <w:t>’</w:t>
      </w:r>
      <w:r w:rsidRPr="002E2DE2">
        <w:rPr>
          <w:lang w:val="fr-FR"/>
        </w:rPr>
        <w:t>essai portant sur</w:t>
      </w:r>
      <w:r w:rsidRPr="002E2DE2">
        <w:rPr>
          <w:lang w:val="fr-FR"/>
        </w:rPr>
        <w:t xml:space="preserve"> les systèmes de réservoir étanches dans le RTM ONU </w:t>
      </w:r>
      <w:r w:rsidR="00AF21A7" w:rsidRPr="00AF21A7">
        <w:rPr>
          <w:rFonts w:eastAsia="MS Mincho"/>
          <w:lang w:val="fr-FR"/>
        </w:rPr>
        <w:t>n</w:t>
      </w:r>
      <w:r w:rsidR="00AF21A7" w:rsidRPr="00AF21A7">
        <w:rPr>
          <w:rFonts w:eastAsia="MS Mincho"/>
          <w:vertAlign w:val="superscript"/>
          <w:lang w:val="fr-FR"/>
        </w:rPr>
        <w:t>o</w:t>
      </w:r>
      <w:r w:rsidR="00AF21A7">
        <w:rPr>
          <w:lang w:val="fr-FR"/>
        </w:rPr>
        <w:t> </w:t>
      </w:r>
      <w:r w:rsidRPr="002E2DE2">
        <w:rPr>
          <w:lang w:val="fr-FR"/>
        </w:rPr>
        <w:t>19. Ces systèmes sont destinés à être utilisés sur les véhicules électriques hybrides fonctionnant principalement avec un moteur électrique et sur les futurs véhicules classiques.</w:t>
      </w:r>
    </w:p>
    <w:p w14:paraId="2794D86B" w14:textId="77777777" w:rsidR="003700D1" w:rsidRPr="002E2DE2" w:rsidRDefault="00E43D81" w:rsidP="002E2DE2">
      <w:pPr>
        <w:pStyle w:val="SingleTxtG"/>
        <w:rPr>
          <w:lang w:val="fr-FR"/>
        </w:rPr>
      </w:pPr>
      <w:r w:rsidRPr="002E2DE2">
        <w:rPr>
          <w:lang w:val="fr-FR"/>
        </w:rPr>
        <w:t>5.</w:t>
      </w:r>
      <w:r w:rsidRPr="002E2DE2">
        <w:rPr>
          <w:lang w:val="fr-FR"/>
        </w:rPr>
        <w:tab/>
        <w:t>L</w:t>
      </w:r>
      <w:r w:rsidR="002E2DE2" w:rsidRPr="002E2DE2">
        <w:rPr>
          <w:lang w:val="fr-FR"/>
        </w:rPr>
        <w:t>’</w:t>
      </w:r>
      <w:r w:rsidRPr="002E2DE2">
        <w:rPr>
          <w:lang w:val="fr-FR"/>
        </w:rPr>
        <w:t xml:space="preserve">amendement 1 au </w:t>
      </w:r>
      <w:r w:rsidRPr="002E2DE2">
        <w:rPr>
          <w:lang w:val="fr-FR"/>
        </w:rPr>
        <w:t xml:space="preserve">RTM ONU </w:t>
      </w:r>
      <w:r w:rsidR="009A3481" w:rsidRPr="009A3481">
        <w:rPr>
          <w:rFonts w:eastAsia="MS Mincho"/>
          <w:lang w:val="fr-FR"/>
        </w:rPr>
        <w:t>n</w:t>
      </w:r>
      <w:r w:rsidR="009A3481" w:rsidRPr="009A3481">
        <w:rPr>
          <w:rFonts w:eastAsia="MS Mincho"/>
          <w:vertAlign w:val="superscript"/>
          <w:lang w:val="fr-FR"/>
        </w:rPr>
        <w:t>o</w:t>
      </w:r>
      <w:r w:rsidR="009A3481">
        <w:rPr>
          <w:lang w:val="fr-FR"/>
        </w:rPr>
        <w:t> </w:t>
      </w:r>
      <w:r w:rsidRPr="002E2DE2">
        <w:rPr>
          <w:lang w:val="fr-FR"/>
        </w:rPr>
        <w:t xml:space="preserve">19 </w:t>
      </w:r>
      <w:r w:rsidRPr="002E2DE2">
        <w:rPr>
          <w:lang w:val="fr-FR"/>
        </w:rPr>
        <w:t>est venu</w:t>
      </w:r>
      <w:r w:rsidRPr="002E2DE2">
        <w:rPr>
          <w:lang w:val="fr-FR"/>
        </w:rPr>
        <w:t xml:space="preserve"> compléter le texte du Règlement technique mondial ONU, non seulement en ajoutant des descriptions de la procédure d</w:t>
      </w:r>
      <w:r w:rsidR="002E2DE2" w:rsidRPr="002E2DE2">
        <w:rPr>
          <w:lang w:val="fr-FR"/>
        </w:rPr>
        <w:t>’</w:t>
      </w:r>
      <w:r w:rsidRPr="002E2DE2">
        <w:rPr>
          <w:lang w:val="fr-FR"/>
        </w:rPr>
        <w:t>essai pour les systèmes de réservoir étanches, mais aussi en ajoutant d</w:t>
      </w:r>
      <w:r w:rsidR="002E2DE2" w:rsidRPr="002E2DE2">
        <w:rPr>
          <w:lang w:val="fr-FR"/>
        </w:rPr>
        <w:t>’</w:t>
      </w:r>
      <w:r w:rsidRPr="002E2DE2">
        <w:rPr>
          <w:lang w:val="fr-FR"/>
        </w:rPr>
        <w:t>autres dispositions relatives aux systèmes de</w:t>
      </w:r>
      <w:r w:rsidRPr="002E2DE2">
        <w:rPr>
          <w:lang w:val="fr-FR"/>
        </w:rPr>
        <w:t xml:space="preserve"> réservoir non étanches, évoquées lors des débats sur les systèmes de réservoir étanches.</w:t>
      </w:r>
    </w:p>
    <w:p w14:paraId="143F5039" w14:textId="77777777" w:rsidR="003700D1" w:rsidRPr="002E2DE2" w:rsidRDefault="00E43D81" w:rsidP="002E2DE2">
      <w:pPr>
        <w:pStyle w:val="SingleTxtG"/>
        <w:rPr>
          <w:lang w:val="fr-FR"/>
        </w:rPr>
      </w:pPr>
      <w:r w:rsidRPr="002E2DE2">
        <w:rPr>
          <w:lang w:val="fr-FR"/>
        </w:rPr>
        <w:t>6.</w:t>
      </w:r>
      <w:r w:rsidRPr="002E2DE2">
        <w:rPr>
          <w:lang w:val="fr-FR"/>
        </w:rPr>
        <w:tab/>
        <w:t>Au cours des quatre réunions (dont une séance de rédaction) tenues d</w:t>
      </w:r>
      <w:r w:rsidR="002E2DE2" w:rsidRPr="002E2DE2">
        <w:rPr>
          <w:lang w:val="fr-FR"/>
        </w:rPr>
        <w:t>’</w:t>
      </w:r>
      <w:r w:rsidRPr="002E2DE2">
        <w:rPr>
          <w:lang w:val="fr-FR"/>
        </w:rPr>
        <w:t>avril à septembre 2018, l</w:t>
      </w:r>
      <w:r w:rsidR="002E2DE2" w:rsidRPr="002E2DE2">
        <w:rPr>
          <w:lang w:val="fr-FR"/>
        </w:rPr>
        <w:t>’</w:t>
      </w:r>
      <w:r w:rsidRPr="002E2DE2">
        <w:rPr>
          <w:lang w:val="fr-FR"/>
        </w:rPr>
        <w:t>équipe spéciale WLTP EVAP s</w:t>
      </w:r>
      <w:r w:rsidR="002E2DE2" w:rsidRPr="002E2DE2">
        <w:rPr>
          <w:lang w:val="fr-FR"/>
        </w:rPr>
        <w:t>’</w:t>
      </w:r>
      <w:r w:rsidRPr="002E2DE2">
        <w:rPr>
          <w:lang w:val="fr-FR"/>
        </w:rPr>
        <w:t xml:space="preserve">est employée à inclure dans le RTM ONU </w:t>
      </w:r>
      <w:r w:rsidR="009A3481" w:rsidRPr="009A3481">
        <w:rPr>
          <w:rFonts w:eastAsia="MS Mincho"/>
          <w:lang w:val="fr-FR"/>
        </w:rPr>
        <w:t>n</w:t>
      </w:r>
      <w:r w:rsidR="009A3481" w:rsidRPr="009A3481">
        <w:rPr>
          <w:rFonts w:eastAsia="MS Mincho"/>
          <w:vertAlign w:val="superscript"/>
          <w:lang w:val="fr-FR"/>
        </w:rPr>
        <w:t>o</w:t>
      </w:r>
      <w:r w:rsidR="009A3481">
        <w:rPr>
          <w:lang w:val="fr-FR"/>
        </w:rPr>
        <w:t> </w:t>
      </w:r>
      <w:r w:rsidRPr="002E2DE2">
        <w:rPr>
          <w:lang w:val="fr-FR"/>
        </w:rPr>
        <w:t>19 des dispositions sur l</w:t>
      </w:r>
      <w:r w:rsidR="002E2DE2" w:rsidRPr="002E2DE2">
        <w:rPr>
          <w:lang w:val="fr-FR"/>
        </w:rPr>
        <w:t>’</w:t>
      </w:r>
      <w:r w:rsidRPr="002E2DE2">
        <w:rPr>
          <w:lang w:val="fr-FR"/>
        </w:rPr>
        <w:t>étalonnage de l</w:t>
      </w:r>
      <w:r w:rsidR="002E2DE2" w:rsidRPr="002E2DE2">
        <w:rPr>
          <w:lang w:val="fr-FR"/>
        </w:rPr>
        <w:t>’</w:t>
      </w:r>
      <w:r w:rsidRPr="002E2DE2">
        <w:rPr>
          <w:lang w:val="fr-FR"/>
        </w:rPr>
        <w:t>équipement d</w:t>
      </w:r>
      <w:r w:rsidR="002E2DE2" w:rsidRPr="002E2DE2">
        <w:rPr>
          <w:lang w:val="fr-FR"/>
        </w:rPr>
        <w:t>’</w:t>
      </w:r>
      <w:r w:rsidRPr="002E2DE2">
        <w:rPr>
          <w:lang w:val="fr-FR"/>
        </w:rPr>
        <w:t>essai et sa périodicité, ainsi qu</w:t>
      </w:r>
      <w:r w:rsidR="002E2DE2" w:rsidRPr="002E2DE2">
        <w:rPr>
          <w:lang w:val="fr-FR"/>
        </w:rPr>
        <w:t>’</w:t>
      </w:r>
      <w:r w:rsidRPr="002E2DE2">
        <w:rPr>
          <w:lang w:val="fr-FR"/>
        </w:rPr>
        <w:t xml:space="preserve">une équation pour les enceintes à volume variable. Des précisions ont en outre été apportées </w:t>
      </w:r>
      <w:r w:rsidRPr="002E2DE2">
        <w:rPr>
          <w:lang w:val="fr-FR"/>
        </w:rPr>
        <w:t>à diverses</w:t>
      </w:r>
      <w:r w:rsidRPr="002E2DE2">
        <w:rPr>
          <w:lang w:val="fr-FR"/>
        </w:rPr>
        <w:t xml:space="preserve"> prescriptions.</w:t>
      </w:r>
    </w:p>
    <w:p w14:paraId="5BF55BE5" w14:textId="77777777" w:rsidR="003700D1" w:rsidRPr="002E2DE2" w:rsidRDefault="00E43D81" w:rsidP="002E2DE2">
      <w:pPr>
        <w:pStyle w:val="SingleTxtG"/>
        <w:rPr>
          <w:lang w:val="fr-FR"/>
        </w:rPr>
      </w:pPr>
      <w:r w:rsidRPr="002E2DE2">
        <w:rPr>
          <w:lang w:val="fr-FR"/>
        </w:rPr>
        <w:t>7.</w:t>
      </w:r>
      <w:r w:rsidRPr="002E2DE2">
        <w:rPr>
          <w:lang w:val="fr-FR"/>
        </w:rPr>
        <w:tab/>
        <w:t>Les débats sur l</w:t>
      </w:r>
      <w:r w:rsidR="002E2DE2" w:rsidRPr="002E2DE2">
        <w:rPr>
          <w:lang w:val="fr-FR"/>
        </w:rPr>
        <w:t>’</w:t>
      </w:r>
      <w:r w:rsidRPr="002E2DE2">
        <w:rPr>
          <w:lang w:val="fr-FR"/>
        </w:rPr>
        <w:t>amendement 2 étaient dirig</w:t>
      </w:r>
      <w:r w:rsidRPr="002E2DE2">
        <w:rPr>
          <w:lang w:val="fr-FR"/>
        </w:rPr>
        <w:t>és par les experts du Japon (Mayumi « Sophie » Morimoto) et du Centre commun de recherche de la Commission européenne (Giorgio Martini). La rédaction du texte a été menée par les experts de la Commission européenne (Serge Dubuc et Rob Gardner).</w:t>
      </w:r>
      <w:bookmarkStart w:id="1" w:name="_Toc375478000"/>
      <w:bookmarkStart w:id="2" w:name="_Toc375478481"/>
      <w:bookmarkStart w:id="3" w:name="_Toc375478001"/>
      <w:bookmarkStart w:id="4" w:name="_Toc375478482"/>
      <w:bookmarkStart w:id="5" w:name="_Toc375478002"/>
      <w:bookmarkStart w:id="6" w:name="_Toc375478483"/>
      <w:bookmarkStart w:id="7" w:name="_Toc465622101"/>
      <w:bookmarkStart w:id="8" w:name="_Toc465622249"/>
      <w:bookmarkStart w:id="9" w:name="_Toc465622103"/>
      <w:bookmarkStart w:id="10" w:name="_Toc465622251"/>
      <w:bookmarkStart w:id="11" w:name="_Toc465622104"/>
      <w:bookmarkStart w:id="12" w:name="_Toc465622252"/>
      <w:bookmarkStart w:id="13" w:name="_Toc465622105"/>
      <w:bookmarkStart w:id="14" w:name="_Toc465622253"/>
      <w:bookmarkStart w:id="15" w:name="_Toc465622106"/>
      <w:bookmarkStart w:id="16" w:name="_Toc465622254"/>
      <w:bookmarkStart w:id="17" w:name="_Toc465622107"/>
      <w:bookmarkStart w:id="18" w:name="_Toc465622255"/>
      <w:bookmarkStart w:id="19" w:name="_Toc465622108"/>
      <w:bookmarkStart w:id="20" w:name="_Toc465622256"/>
      <w:bookmarkStart w:id="21" w:name="_Toc465622109"/>
      <w:bookmarkStart w:id="22" w:name="_Toc465622257"/>
      <w:bookmarkStart w:id="23" w:name="_Toc465622110"/>
      <w:bookmarkStart w:id="24" w:name="_Toc465622258"/>
      <w:bookmarkStart w:id="25" w:name="_Toc465622111"/>
      <w:bookmarkStart w:id="26" w:name="_Toc465622259"/>
      <w:bookmarkStart w:id="27" w:name="_Toc465622112"/>
      <w:bookmarkStart w:id="28" w:name="_Toc465622260"/>
      <w:bookmarkStart w:id="29" w:name="_Toc465622113"/>
      <w:bookmarkStart w:id="30" w:name="_Toc465622261"/>
      <w:bookmarkStart w:id="31" w:name="_Toc465622114"/>
      <w:bookmarkStart w:id="32" w:name="_Toc46562226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6ED33B14" w14:textId="77777777" w:rsidR="003700D1" w:rsidRPr="002E2DE2" w:rsidRDefault="00AF21A7" w:rsidP="00AF21A7">
      <w:pPr>
        <w:pStyle w:val="HChG"/>
        <w:rPr>
          <w:lang w:val="fr-FR"/>
        </w:rPr>
      </w:pPr>
      <w:bookmarkStart w:id="33" w:name="_Toc353452936"/>
      <w:bookmarkStart w:id="34" w:name="_Toc435001998"/>
      <w:bookmarkStart w:id="35" w:name="_Toc465622265"/>
      <w:r>
        <w:rPr>
          <w:lang w:val="fr-FR"/>
        </w:rPr>
        <w:tab/>
      </w:r>
      <w:r w:rsidR="00E43D81" w:rsidRPr="002E2DE2">
        <w:rPr>
          <w:lang w:val="fr-FR"/>
        </w:rPr>
        <w:t>II.</w:t>
      </w:r>
      <w:r w:rsidR="00E43D81" w:rsidRPr="002E2DE2">
        <w:rPr>
          <w:lang w:val="fr-FR"/>
        </w:rPr>
        <w:tab/>
      </w:r>
      <w:r w:rsidR="00E43D81" w:rsidRPr="002E2DE2">
        <w:rPr>
          <w:lang w:val="fr-FR"/>
        </w:rPr>
        <w:t>Amél</w:t>
      </w:r>
      <w:r w:rsidR="00E43D81" w:rsidRPr="002E2DE2">
        <w:rPr>
          <w:lang w:val="fr-FR"/>
        </w:rPr>
        <w:t>iorations apportées au texte</w:t>
      </w:r>
      <w:bookmarkEnd w:id="33"/>
      <w:bookmarkEnd w:id="34"/>
      <w:bookmarkEnd w:id="35"/>
    </w:p>
    <w:p w14:paraId="388E54C5" w14:textId="77777777" w:rsidR="003700D1" w:rsidRPr="002E2DE2" w:rsidRDefault="00AF21A7" w:rsidP="00AF21A7">
      <w:pPr>
        <w:pStyle w:val="H1G"/>
        <w:rPr>
          <w:i/>
          <w:lang w:val="fr-FR"/>
        </w:rPr>
      </w:pPr>
      <w:bookmarkStart w:id="36" w:name="_Toc375478034"/>
      <w:bookmarkStart w:id="37" w:name="_Toc375478504"/>
      <w:bookmarkStart w:id="38" w:name="_Toc435001999"/>
      <w:bookmarkStart w:id="39" w:name="_Toc465622266"/>
      <w:bookmarkEnd w:id="36"/>
      <w:bookmarkEnd w:id="37"/>
      <w:r>
        <w:rPr>
          <w:lang w:val="fr-FR"/>
        </w:rPr>
        <w:tab/>
      </w:r>
      <w:r w:rsidR="00E43D81" w:rsidRPr="002E2DE2">
        <w:rPr>
          <w:lang w:val="fr-FR"/>
        </w:rPr>
        <w:t>A.</w:t>
      </w:r>
      <w:r w:rsidR="00E43D81" w:rsidRPr="002E2DE2">
        <w:rPr>
          <w:lang w:val="fr-FR"/>
        </w:rPr>
        <w:tab/>
      </w:r>
      <w:r w:rsidR="00E43D81" w:rsidRPr="002E2DE2">
        <w:rPr>
          <w:lang w:val="fr-FR"/>
        </w:rPr>
        <w:t>Objectifs</w:t>
      </w:r>
      <w:bookmarkEnd w:id="38"/>
      <w:bookmarkEnd w:id="39"/>
    </w:p>
    <w:p w14:paraId="4756CFA0" w14:textId="77777777" w:rsidR="003700D1" w:rsidRPr="002E2DE2" w:rsidRDefault="00E43D81" w:rsidP="002E2DE2">
      <w:pPr>
        <w:pStyle w:val="SingleTxtG"/>
        <w:rPr>
          <w:lang w:val="fr-FR"/>
        </w:rPr>
      </w:pPr>
      <w:r w:rsidRPr="002E2DE2">
        <w:rPr>
          <w:lang w:val="fr-FR"/>
        </w:rPr>
        <w:t>8.</w:t>
      </w:r>
      <w:r w:rsidRPr="002E2DE2">
        <w:rPr>
          <w:lang w:val="fr-FR"/>
        </w:rPr>
        <w:tab/>
        <w:t>Après la</w:t>
      </w:r>
      <w:r w:rsidRPr="002E2DE2">
        <w:rPr>
          <w:lang w:val="fr-FR"/>
        </w:rPr>
        <w:t xml:space="preserve"> publication du texte original du RTM ONU </w:t>
      </w:r>
      <w:r w:rsidR="00AF21A7" w:rsidRPr="00AF21A7">
        <w:rPr>
          <w:rFonts w:eastAsia="MS Mincho"/>
          <w:lang w:val="fr-FR"/>
        </w:rPr>
        <w:t>n</w:t>
      </w:r>
      <w:r w:rsidR="00AF21A7" w:rsidRPr="00AF21A7">
        <w:rPr>
          <w:rFonts w:eastAsia="MS Mincho"/>
          <w:vertAlign w:val="superscript"/>
          <w:lang w:val="fr-FR"/>
        </w:rPr>
        <w:t>o</w:t>
      </w:r>
      <w:r w:rsidR="00AF21A7">
        <w:rPr>
          <w:lang w:val="fr-FR"/>
        </w:rPr>
        <w:t> </w:t>
      </w:r>
      <w:r w:rsidRPr="002E2DE2">
        <w:rPr>
          <w:lang w:val="fr-FR"/>
        </w:rPr>
        <w:t>19 et de son amendement 1, les essais d</w:t>
      </w:r>
      <w:r w:rsidR="002E2DE2" w:rsidRPr="002E2DE2">
        <w:rPr>
          <w:lang w:val="fr-FR"/>
        </w:rPr>
        <w:t>’</w:t>
      </w:r>
      <w:r w:rsidRPr="002E2DE2">
        <w:rPr>
          <w:lang w:val="fr-FR"/>
        </w:rPr>
        <w:t xml:space="preserve">homologation ont débuté en Europe. Au cours de ces essais, réalisés </w:t>
      </w:r>
      <w:r w:rsidRPr="002E2DE2">
        <w:rPr>
          <w:lang w:val="fr-FR"/>
        </w:rPr>
        <w:lastRenderedPageBreak/>
        <w:t>conformément aux nouvelles procédures décrites dan</w:t>
      </w:r>
      <w:r w:rsidRPr="002E2DE2">
        <w:rPr>
          <w:lang w:val="fr-FR"/>
        </w:rPr>
        <w:t>s le RTM ONU, plusieurs problèmes appelant des améliorations ont été recensés. Ces problèmes avaient principalement pour origine des erreurs d</w:t>
      </w:r>
      <w:r w:rsidR="002E2DE2" w:rsidRPr="002E2DE2">
        <w:rPr>
          <w:lang w:val="fr-FR"/>
        </w:rPr>
        <w:t>’</w:t>
      </w:r>
      <w:r w:rsidRPr="002E2DE2">
        <w:rPr>
          <w:lang w:val="fr-FR"/>
        </w:rPr>
        <w:t>interprétation liées à l</w:t>
      </w:r>
      <w:r w:rsidR="002E2DE2" w:rsidRPr="002E2DE2">
        <w:rPr>
          <w:lang w:val="fr-FR"/>
        </w:rPr>
        <w:t>’</w:t>
      </w:r>
      <w:r w:rsidRPr="002E2DE2">
        <w:rPr>
          <w:lang w:val="fr-FR"/>
        </w:rPr>
        <w:t>absence d</w:t>
      </w:r>
      <w:r w:rsidR="002E2DE2" w:rsidRPr="002E2DE2">
        <w:rPr>
          <w:lang w:val="fr-FR"/>
        </w:rPr>
        <w:t>’</w:t>
      </w:r>
      <w:r w:rsidRPr="002E2DE2">
        <w:rPr>
          <w:lang w:val="fr-FR"/>
        </w:rPr>
        <w:t>une équation et à des explications incomplètes.</w:t>
      </w:r>
    </w:p>
    <w:p w14:paraId="68680098" w14:textId="77777777" w:rsidR="003700D1" w:rsidRPr="002E2DE2" w:rsidRDefault="00E43D81" w:rsidP="002E2DE2">
      <w:pPr>
        <w:pStyle w:val="SingleTxtG"/>
        <w:rPr>
          <w:lang w:val="fr-FR"/>
        </w:rPr>
      </w:pPr>
      <w:r w:rsidRPr="002E2DE2">
        <w:rPr>
          <w:lang w:val="fr-FR"/>
        </w:rPr>
        <w:t>9.</w:t>
      </w:r>
      <w:r w:rsidRPr="002E2DE2">
        <w:rPr>
          <w:lang w:val="fr-FR"/>
        </w:rPr>
        <w:tab/>
        <w:t xml:space="preserve">Le groupe de travail </w:t>
      </w:r>
      <w:r w:rsidRPr="002E2DE2">
        <w:rPr>
          <w:lang w:val="fr-FR"/>
        </w:rPr>
        <w:t>informel WLTP a donc décidé de maintenir l</w:t>
      </w:r>
      <w:r w:rsidR="002E2DE2" w:rsidRPr="002E2DE2">
        <w:rPr>
          <w:lang w:val="fr-FR"/>
        </w:rPr>
        <w:t>’</w:t>
      </w:r>
      <w:r w:rsidRPr="002E2DE2">
        <w:rPr>
          <w:lang w:val="fr-FR"/>
        </w:rPr>
        <w:t>équipe spéciale EVAP en activité afin de régler ces questions.</w:t>
      </w:r>
    </w:p>
    <w:p w14:paraId="78EBAE64" w14:textId="77777777" w:rsidR="003700D1" w:rsidRPr="002E2DE2" w:rsidRDefault="00F84B22" w:rsidP="00F84B22">
      <w:pPr>
        <w:pStyle w:val="H1G"/>
        <w:rPr>
          <w:lang w:val="fr-FR"/>
        </w:rPr>
      </w:pPr>
      <w:bookmarkStart w:id="40" w:name="_Toc435002000"/>
      <w:bookmarkStart w:id="41" w:name="_Toc465622267"/>
      <w:r>
        <w:rPr>
          <w:lang w:val="fr-FR"/>
        </w:rPr>
        <w:tab/>
      </w:r>
      <w:r w:rsidR="00E43D81" w:rsidRPr="002E2DE2">
        <w:rPr>
          <w:lang w:val="fr-FR"/>
        </w:rPr>
        <w:t>B.</w:t>
      </w:r>
      <w:r w:rsidR="00E43D81" w:rsidRPr="002E2DE2">
        <w:rPr>
          <w:lang w:val="fr-FR"/>
        </w:rPr>
        <w:tab/>
      </w:r>
      <w:r w:rsidR="00E43D81" w:rsidRPr="002E2DE2">
        <w:rPr>
          <w:lang w:val="fr-FR"/>
        </w:rPr>
        <w:t>Points abordés</w:t>
      </w:r>
      <w:bookmarkEnd w:id="40"/>
      <w:bookmarkEnd w:id="41"/>
    </w:p>
    <w:p w14:paraId="048E371B" w14:textId="77777777" w:rsidR="003700D1" w:rsidRPr="002E2DE2" w:rsidRDefault="00E43D81" w:rsidP="002E2DE2">
      <w:pPr>
        <w:pStyle w:val="SingleTxtG"/>
        <w:rPr>
          <w:lang w:val="fr-FR"/>
        </w:rPr>
      </w:pPr>
      <w:r w:rsidRPr="002E2DE2">
        <w:rPr>
          <w:lang w:val="fr-FR"/>
        </w:rPr>
        <w:t>10.</w:t>
      </w:r>
      <w:r w:rsidRPr="002E2DE2">
        <w:rPr>
          <w:lang w:val="fr-FR"/>
        </w:rPr>
        <w:tab/>
        <w:t>Les points suivants ont été examinés au cours des réunions de l</w:t>
      </w:r>
      <w:r w:rsidR="002E2DE2" w:rsidRPr="002E2DE2">
        <w:rPr>
          <w:lang w:val="fr-FR"/>
        </w:rPr>
        <w:t>’</w:t>
      </w:r>
      <w:r w:rsidRPr="002E2DE2">
        <w:rPr>
          <w:lang w:val="fr-FR"/>
        </w:rPr>
        <w:t>équipe spéciale WLTP EVAP</w:t>
      </w:r>
      <w:r w:rsidR="001E085F">
        <w:rPr>
          <w:lang w:val="fr-FR"/>
        </w:rPr>
        <w:t> </w:t>
      </w:r>
      <w:r w:rsidRPr="002E2DE2">
        <w:rPr>
          <w:lang w:val="fr-FR"/>
        </w:rPr>
        <w:t>:</w:t>
      </w:r>
    </w:p>
    <w:p w14:paraId="5EE4B530" w14:textId="77777777" w:rsidR="003700D1" w:rsidRPr="002E2DE2" w:rsidRDefault="00E43D81" w:rsidP="003C65FF">
      <w:pPr>
        <w:pStyle w:val="SingleTxtG"/>
        <w:ind w:left="2268" w:hanging="567"/>
        <w:rPr>
          <w:lang w:val="fr-FR"/>
        </w:rPr>
      </w:pPr>
      <w:r w:rsidRPr="002E2DE2">
        <w:rPr>
          <w:lang w:val="fr-FR"/>
        </w:rPr>
        <w:t>a)</w:t>
      </w:r>
      <w:r w:rsidRPr="002E2DE2">
        <w:rPr>
          <w:lang w:val="fr-FR"/>
        </w:rPr>
        <w:tab/>
        <w:t xml:space="preserve">Prescriptions relatives à </w:t>
      </w:r>
      <w:r w:rsidRPr="002E2DE2">
        <w:rPr>
          <w:lang w:val="fr-FR"/>
        </w:rPr>
        <w:t>l</w:t>
      </w:r>
      <w:r w:rsidR="002E2DE2" w:rsidRPr="002E2DE2">
        <w:rPr>
          <w:lang w:val="fr-FR"/>
        </w:rPr>
        <w:t>’</w:t>
      </w:r>
      <w:r w:rsidRPr="002E2DE2">
        <w:rPr>
          <w:lang w:val="fr-FR"/>
        </w:rPr>
        <w:t>étalonnage de l</w:t>
      </w:r>
      <w:r w:rsidR="002E2DE2" w:rsidRPr="002E2DE2">
        <w:rPr>
          <w:lang w:val="fr-FR"/>
        </w:rPr>
        <w:t>’</w:t>
      </w:r>
      <w:r w:rsidRPr="002E2DE2">
        <w:rPr>
          <w:lang w:val="fr-FR"/>
        </w:rPr>
        <w:t>équipement d</w:t>
      </w:r>
      <w:r w:rsidR="002E2DE2" w:rsidRPr="002E2DE2">
        <w:rPr>
          <w:lang w:val="fr-FR"/>
        </w:rPr>
        <w:t>’</w:t>
      </w:r>
      <w:r w:rsidRPr="002E2DE2">
        <w:rPr>
          <w:lang w:val="fr-FR"/>
        </w:rPr>
        <w:t>essai et à sa périodicité</w:t>
      </w:r>
      <w:r w:rsidR="0075121E">
        <w:rPr>
          <w:lang w:val="fr-FR"/>
        </w:rPr>
        <w:t> </w:t>
      </w:r>
      <w:r w:rsidRPr="002E2DE2">
        <w:rPr>
          <w:lang w:val="fr-FR"/>
        </w:rPr>
        <w:t>;</w:t>
      </w:r>
    </w:p>
    <w:p w14:paraId="0707DCFD" w14:textId="77777777" w:rsidR="003700D1" w:rsidRPr="002E2DE2" w:rsidRDefault="00E43D81" w:rsidP="003C65FF">
      <w:pPr>
        <w:pStyle w:val="SingleTxtG"/>
        <w:ind w:left="2268" w:hanging="567"/>
        <w:rPr>
          <w:lang w:val="fr-FR"/>
        </w:rPr>
      </w:pPr>
      <w:r w:rsidRPr="002E2DE2">
        <w:rPr>
          <w:lang w:val="fr-FR"/>
        </w:rPr>
        <w:t>b)</w:t>
      </w:r>
      <w:r w:rsidRPr="002E2DE2">
        <w:rPr>
          <w:lang w:val="fr-FR"/>
        </w:rPr>
        <w:tab/>
        <w:t>Équation pour les enceintes à volume variable</w:t>
      </w:r>
      <w:r w:rsidR="0075121E">
        <w:rPr>
          <w:lang w:val="fr-FR"/>
        </w:rPr>
        <w:t> </w:t>
      </w:r>
      <w:r w:rsidRPr="002E2DE2">
        <w:rPr>
          <w:lang w:val="fr-FR"/>
        </w:rPr>
        <w:t>;</w:t>
      </w:r>
    </w:p>
    <w:p w14:paraId="53B594A0" w14:textId="77777777" w:rsidR="003700D1" w:rsidRPr="002E2DE2" w:rsidRDefault="00E43D81" w:rsidP="003C65FF">
      <w:pPr>
        <w:pStyle w:val="SingleTxtG"/>
        <w:ind w:left="2268" w:hanging="567"/>
        <w:rPr>
          <w:lang w:val="fr-FR"/>
        </w:rPr>
      </w:pPr>
      <w:r w:rsidRPr="002E2DE2">
        <w:rPr>
          <w:lang w:val="fr-FR"/>
        </w:rPr>
        <w:t>c)</w:t>
      </w:r>
      <w:r w:rsidRPr="002E2DE2">
        <w:rPr>
          <w:lang w:val="fr-FR"/>
        </w:rPr>
        <w:tab/>
        <w:t>Amélioration du texte</w:t>
      </w:r>
      <w:r w:rsidR="0075121E">
        <w:rPr>
          <w:lang w:val="fr-FR"/>
        </w:rPr>
        <w:t> </w:t>
      </w:r>
      <w:r w:rsidRPr="002E2DE2">
        <w:rPr>
          <w:lang w:val="fr-FR"/>
        </w:rPr>
        <w:t>:</w:t>
      </w:r>
    </w:p>
    <w:p w14:paraId="7813993C" w14:textId="77777777" w:rsidR="003700D1" w:rsidRPr="002E2DE2" w:rsidRDefault="00E43D81" w:rsidP="003C65FF">
      <w:pPr>
        <w:pStyle w:val="SingleTxtG"/>
        <w:ind w:left="2835" w:hanging="567"/>
        <w:rPr>
          <w:lang w:val="fr-FR"/>
        </w:rPr>
      </w:pPr>
      <w:r w:rsidRPr="002E2DE2">
        <w:rPr>
          <w:lang w:val="fr-FR"/>
        </w:rPr>
        <w:t>i)</w:t>
      </w:r>
      <w:r w:rsidRPr="002E2DE2">
        <w:rPr>
          <w:lang w:val="fr-FR"/>
        </w:rPr>
        <w:tab/>
        <w:t>Éclaircissements au sujet du canister vieilli et de son installation</w:t>
      </w:r>
      <w:r w:rsidR="0075121E">
        <w:rPr>
          <w:lang w:val="fr-FR"/>
        </w:rPr>
        <w:t> </w:t>
      </w:r>
      <w:r w:rsidRPr="002E2DE2">
        <w:rPr>
          <w:lang w:val="fr-FR"/>
        </w:rPr>
        <w:t>;</w:t>
      </w:r>
    </w:p>
    <w:p w14:paraId="22EA8E35" w14:textId="77777777" w:rsidR="003700D1" w:rsidRPr="002E2DE2" w:rsidRDefault="00E43D81" w:rsidP="003C65FF">
      <w:pPr>
        <w:pStyle w:val="SingleTxtG"/>
        <w:ind w:left="2835" w:hanging="567"/>
        <w:rPr>
          <w:lang w:val="fr-FR"/>
        </w:rPr>
      </w:pPr>
      <w:r w:rsidRPr="002E2DE2">
        <w:rPr>
          <w:lang w:val="fr-FR"/>
        </w:rPr>
        <w:t>ii)</w:t>
      </w:r>
      <w:r w:rsidRPr="002E2DE2">
        <w:rPr>
          <w:lang w:val="fr-FR"/>
        </w:rPr>
        <w:tab/>
        <w:t>Clarification et passage en revue des dispos</w:t>
      </w:r>
      <w:r w:rsidRPr="002E2DE2">
        <w:rPr>
          <w:lang w:val="fr-FR"/>
        </w:rPr>
        <w:t>itions relatives à l</w:t>
      </w:r>
      <w:r w:rsidR="002E2DE2" w:rsidRPr="002E2DE2">
        <w:rPr>
          <w:lang w:val="fr-FR"/>
        </w:rPr>
        <w:t>’</w:t>
      </w:r>
      <w:r w:rsidRPr="002E2DE2">
        <w:rPr>
          <w:lang w:val="fr-FR"/>
        </w:rPr>
        <w:t>équipement d</w:t>
      </w:r>
      <w:r w:rsidR="002E2DE2" w:rsidRPr="002E2DE2">
        <w:rPr>
          <w:lang w:val="fr-FR"/>
        </w:rPr>
        <w:t>’</w:t>
      </w:r>
      <w:r w:rsidRPr="002E2DE2">
        <w:rPr>
          <w:lang w:val="fr-FR"/>
        </w:rPr>
        <w:t>essai</w:t>
      </w:r>
      <w:r w:rsidR="0075121E">
        <w:rPr>
          <w:lang w:val="fr-FR"/>
        </w:rPr>
        <w:t> </w:t>
      </w:r>
      <w:r w:rsidRPr="002E2DE2">
        <w:rPr>
          <w:lang w:val="fr-FR"/>
        </w:rPr>
        <w:t>;</w:t>
      </w:r>
    </w:p>
    <w:p w14:paraId="1B5E4107" w14:textId="77777777" w:rsidR="003700D1" w:rsidRPr="002E2DE2" w:rsidRDefault="00E43D81" w:rsidP="003C65FF">
      <w:pPr>
        <w:pStyle w:val="SingleTxtG"/>
        <w:ind w:left="2835" w:hanging="567"/>
        <w:rPr>
          <w:lang w:val="fr-FR"/>
        </w:rPr>
      </w:pPr>
      <w:r w:rsidRPr="002E2DE2">
        <w:rPr>
          <w:lang w:val="fr-FR"/>
        </w:rPr>
        <w:t>iii)</w:t>
      </w:r>
      <w:r w:rsidRPr="002E2DE2">
        <w:rPr>
          <w:lang w:val="fr-FR"/>
        </w:rPr>
        <w:tab/>
        <w:t>Clarification et passage en revue des prescriptions relatives à la définition d</w:t>
      </w:r>
      <w:r w:rsidR="002E2DE2" w:rsidRPr="002E2DE2">
        <w:rPr>
          <w:lang w:val="fr-FR"/>
        </w:rPr>
        <w:t>’</w:t>
      </w:r>
      <w:r w:rsidRPr="002E2DE2">
        <w:rPr>
          <w:lang w:val="fr-FR"/>
        </w:rPr>
        <w:t>une famille de véhicules du point de vue des émissions par évaporation</w:t>
      </w:r>
      <w:r w:rsidR="0075121E">
        <w:rPr>
          <w:lang w:val="fr-FR"/>
        </w:rPr>
        <w:t> </w:t>
      </w:r>
      <w:r w:rsidRPr="002E2DE2">
        <w:rPr>
          <w:lang w:val="fr-FR"/>
        </w:rPr>
        <w:t>;</w:t>
      </w:r>
    </w:p>
    <w:p w14:paraId="09F15EBF" w14:textId="77777777" w:rsidR="003700D1" w:rsidRPr="002E2DE2" w:rsidRDefault="00E43D81" w:rsidP="003C65FF">
      <w:pPr>
        <w:pStyle w:val="SingleTxtG"/>
        <w:ind w:left="2835" w:hanging="567"/>
        <w:rPr>
          <w:lang w:val="fr-FR"/>
        </w:rPr>
      </w:pPr>
      <w:r w:rsidRPr="002E2DE2">
        <w:rPr>
          <w:lang w:val="fr-FR"/>
        </w:rPr>
        <w:t>iv)</w:t>
      </w:r>
      <w:r w:rsidRPr="002E2DE2">
        <w:rPr>
          <w:lang w:val="fr-FR"/>
        </w:rPr>
        <w:tab/>
        <w:t xml:space="preserve">Éclaircissements au sujet du terme </w:t>
      </w:r>
      <w:r w:rsidR="0075121E">
        <w:rPr>
          <w:lang w:val="fr-FR"/>
        </w:rPr>
        <w:t>« </w:t>
      </w:r>
      <w:r w:rsidRPr="002E2DE2">
        <w:rPr>
          <w:lang w:val="fr-FR"/>
        </w:rPr>
        <w:t>canister</w:t>
      </w:r>
      <w:r w:rsidR="0075121E">
        <w:rPr>
          <w:lang w:val="fr-FR"/>
        </w:rPr>
        <w:t> » </w:t>
      </w:r>
      <w:r w:rsidRPr="002E2DE2">
        <w:rPr>
          <w:lang w:val="fr-FR"/>
        </w:rPr>
        <w:t>;</w:t>
      </w:r>
    </w:p>
    <w:p w14:paraId="0BCC7784" w14:textId="77777777" w:rsidR="003700D1" w:rsidRPr="002E2DE2" w:rsidRDefault="00E43D81" w:rsidP="003C65FF">
      <w:pPr>
        <w:pStyle w:val="SingleTxtG"/>
        <w:ind w:left="2835" w:hanging="567"/>
        <w:rPr>
          <w:lang w:val="fr-FR"/>
        </w:rPr>
      </w:pPr>
      <w:r w:rsidRPr="002E2DE2">
        <w:rPr>
          <w:lang w:val="fr-FR"/>
        </w:rPr>
        <w:t>v)</w:t>
      </w:r>
      <w:r w:rsidRPr="002E2DE2">
        <w:rPr>
          <w:lang w:val="fr-FR"/>
        </w:rPr>
        <w:tab/>
        <w:t>Modi</w:t>
      </w:r>
      <w:r w:rsidRPr="002E2DE2">
        <w:rPr>
          <w:lang w:val="fr-FR"/>
        </w:rPr>
        <w:t>fication du terme désignant le canister utilisé pour capter le trop-plein de pertes liées à la dépressurisation.</w:t>
      </w:r>
    </w:p>
    <w:p w14:paraId="3E11CA49" w14:textId="77777777" w:rsidR="003700D1" w:rsidRPr="002E2DE2" w:rsidRDefault="00F84B22" w:rsidP="00F84B22">
      <w:pPr>
        <w:pStyle w:val="H1G"/>
        <w:rPr>
          <w:lang w:val="fr-FR"/>
        </w:rPr>
      </w:pPr>
      <w:bookmarkStart w:id="42" w:name="_Toc435002001"/>
      <w:bookmarkStart w:id="43" w:name="_Toc465622268"/>
      <w:bookmarkStart w:id="44" w:name="_Toc353452938"/>
      <w:r>
        <w:rPr>
          <w:lang w:val="fr-FR"/>
        </w:rPr>
        <w:tab/>
      </w:r>
      <w:r w:rsidR="00E43D81" w:rsidRPr="002E2DE2">
        <w:rPr>
          <w:lang w:val="fr-FR"/>
        </w:rPr>
        <w:t>C.</w:t>
      </w:r>
      <w:r w:rsidR="00E43D81" w:rsidRPr="002E2DE2">
        <w:rPr>
          <w:lang w:val="fr-FR"/>
        </w:rPr>
        <w:tab/>
      </w:r>
      <w:r w:rsidR="00E43D81" w:rsidRPr="002E2DE2">
        <w:rPr>
          <w:lang w:val="fr-FR"/>
        </w:rPr>
        <w:t xml:space="preserve">Modifications apportées au RTM ONU </w:t>
      </w:r>
      <w:r w:rsidR="00301DC1" w:rsidRPr="00301DC1">
        <w:rPr>
          <w:rFonts w:eastAsia="MS Mincho"/>
          <w:lang w:val="fr-FR"/>
        </w:rPr>
        <w:t>n</w:t>
      </w:r>
      <w:r w:rsidR="00301DC1" w:rsidRPr="00301DC1">
        <w:rPr>
          <w:rFonts w:eastAsia="MS Mincho"/>
          <w:vertAlign w:val="superscript"/>
          <w:lang w:val="fr-FR"/>
        </w:rPr>
        <w:t>o</w:t>
      </w:r>
      <w:r w:rsidR="00301DC1">
        <w:rPr>
          <w:lang w:val="fr-FR"/>
        </w:rPr>
        <w:t> </w:t>
      </w:r>
      <w:r w:rsidR="00E43D81" w:rsidRPr="002E2DE2">
        <w:rPr>
          <w:lang w:val="fr-FR"/>
        </w:rPr>
        <w:t>19</w:t>
      </w:r>
      <w:bookmarkEnd w:id="42"/>
      <w:bookmarkEnd w:id="43"/>
    </w:p>
    <w:p w14:paraId="4B8A295C" w14:textId="77777777" w:rsidR="003700D1" w:rsidRPr="002E2DE2" w:rsidRDefault="00F84B22" w:rsidP="00F84B22">
      <w:pPr>
        <w:pStyle w:val="H23G"/>
        <w:rPr>
          <w:lang w:val="fr-FR"/>
        </w:rPr>
      </w:pPr>
      <w:r>
        <w:rPr>
          <w:lang w:val="fr-FR"/>
        </w:rPr>
        <w:tab/>
      </w:r>
      <w:r w:rsidR="00E43D81" w:rsidRPr="002E2DE2">
        <w:rPr>
          <w:lang w:val="fr-FR"/>
        </w:rPr>
        <w:t>1.</w:t>
      </w:r>
      <w:r w:rsidR="00E43D81" w:rsidRPr="002E2DE2">
        <w:rPr>
          <w:lang w:val="fr-FR"/>
        </w:rPr>
        <w:tab/>
      </w:r>
      <w:r w:rsidR="00E43D81" w:rsidRPr="002E2DE2">
        <w:rPr>
          <w:lang w:val="fr-FR"/>
        </w:rPr>
        <w:t>Prescriptions relatives à l</w:t>
      </w:r>
      <w:r w:rsidR="002E2DE2" w:rsidRPr="002E2DE2">
        <w:rPr>
          <w:lang w:val="fr-FR"/>
        </w:rPr>
        <w:t>’</w:t>
      </w:r>
      <w:r w:rsidR="00E43D81" w:rsidRPr="002E2DE2">
        <w:rPr>
          <w:lang w:val="fr-FR"/>
        </w:rPr>
        <w:t>étalonnage de l</w:t>
      </w:r>
      <w:r w:rsidR="002E2DE2" w:rsidRPr="002E2DE2">
        <w:rPr>
          <w:lang w:val="fr-FR"/>
        </w:rPr>
        <w:t>’</w:t>
      </w:r>
      <w:r w:rsidR="00E43D81" w:rsidRPr="002E2DE2">
        <w:rPr>
          <w:lang w:val="fr-FR"/>
        </w:rPr>
        <w:t>équipement d</w:t>
      </w:r>
      <w:r w:rsidR="002E2DE2" w:rsidRPr="002E2DE2">
        <w:rPr>
          <w:lang w:val="fr-FR"/>
        </w:rPr>
        <w:t>’</w:t>
      </w:r>
      <w:r w:rsidR="00E43D81" w:rsidRPr="002E2DE2">
        <w:rPr>
          <w:lang w:val="fr-FR"/>
        </w:rPr>
        <w:t>essai et à sa périodicité</w:t>
      </w:r>
    </w:p>
    <w:p w14:paraId="0E619C45" w14:textId="77777777" w:rsidR="003700D1" w:rsidRPr="002E2DE2" w:rsidRDefault="00E43D81" w:rsidP="002E2DE2">
      <w:pPr>
        <w:pStyle w:val="SingleTxtG"/>
        <w:rPr>
          <w:i/>
          <w:lang w:val="fr-FR"/>
        </w:rPr>
      </w:pPr>
      <w:r w:rsidRPr="002E2DE2">
        <w:rPr>
          <w:lang w:val="fr-FR"/>
        </w:rPr>
        <w:t>11.</w:t>
      </w:r>
      <w:r w:rsidRPr="002E2DE2">
        <w:rPr>
          <w:lang w:val="fr-FR"/>
        </w:rPr>
        <w:tab/>
        <w:t>Lors de l</w:t>
      </w:r>
      <w:r w:rsidRPr="002E2DE2">
        <w:rPr>
          <w:lang w:val="fr-FR"/>
        </w:rPr>
        <w:t>a 22</w:t>
      </w:r>
      <w:r w:rsidRPr="00AF17FD">
        <w:rPr>
          <w:vertAlign w:val="superscript"/>
          <w:lang w:val="fr-FR"/>
        </w:rPr>
        <w:t>e</w:t>
      </w:r>
      <w:r w:rsidR="00AF17FD">
        <w:rPr>
          <w:lang w:val="fr-FR"/>
        </w:rPr>
        <w:t> </w:t>
      </w:r>
      <w:r w:rsidRPr="002E2DE2">
        <w:rPr>
          <w:lang w:val="fr-FR"/>
        </w:rPr>
        <w:t xml:space="preserve">réunion du groupe de travail informel WLTP, un constructeur a </w:t>
      </w:r>
      <w:r w:rsidRPr="002E2DE2">
        <w:rPr>
          <w:lang w:val="fr-FR"/>
        </w:rPr>
        <w:t>fait remarquer</w:t>
      </w:r>
      <w:r w:rsidRPr="002E2DE2">
        <w:rPr>
          <w:lang w:val="fr-FR"/>
        </w:rPr>
        <w:t xml:space="preserve"> qu</w:t>
      </w:r>
      <w:r w:rsidR="002E2DE2" w:rsidRPr="002E2DE2">
        <w:rPr>
          <w:lang w:val="fr-FR"/>
        </w:rPr>
        <w:t>’</w:t>
      </w:r>
      <w:r w:rsidRPr="002E2DE2">
        <w:rPr>
          <w:lang w:val="fr-FR"/>
        </w:rPr>
        <w:t>il manquait des prescriptions relatives à l</w:t>
      </w:r>
      <w:r w:rsidR="002E2DE2" w:rsidRPr="002E2DE2">
        <w:rPr>
          <w:lang w:val="fr-FR"/>
        </w:rPr>
        <w:t>’</w:t>
      </w:r>
      <w:r w:rsidRPr="002E2DE2">
        <w:rPr>
          <w:lang w:val="fr-FR"/>
        </w:rPr>
        <w:t xml:space="preserve">étalonnage dans le RTM ONU </w:t>
      </w:r>
      <w:r w:rsidR="0075121E" w:rsidRPr="0075121E">
        <w:rPr>
          <w:rFonts w:eastAsia="MS Mincho"/>
          <w:lang w:val="fr-FR"/>
        </w:rPr>
        <w:t>n</w:t>
      </w:r>
      <w:r w:rsidR="0075121E" w:rsidRPr="0075121E">
        <w:rPr>
          <w:rFonts w:eastAsia="MS Mincho"/>
          <w:vertAlign w:val="superscript"/>
          <w:lang w:val="fr-FR"/>
        </w:rPr>
        <w:t>o</w:t>
      </w:r>
      <w:r w:rsidR="0075121E">
        <w:rPr>
          <w:lang w:val="fr-FR"/>
        </w:rPr>
        <w:t> </w:t>
      </w:r>
      <w:r w:rsidRPr="002E2DE2">
        <w:rPr>
          <w:lang w:val="fr-FR"/>
        </w:rPr>
        <w:t>19. Les membres de l</w:t>
      </w:r>
      <w:r w:rsidR="002E2DE2" w:rsidRPr="002E2DE2">
        <w:rPr>
          <w:lang w:val="fr-FR"/>
        </w:rPr>
        <w:t>’</w:t>
      </w:r>
      <w:r w:rsidRPr="002E2DE2">
        <w:rPr>
          <w:lang w:val="fr-FR"/>
        </w:rPr>
        <w:t>équipe spéciale ont confirmé que celles-ci devraient figurer dans le RTM.</w:t>
      </w:r>
    </w:p>
    <w:p w14:paraId="51B4C17B" w14:textId="77777777" w:rsidR="003700D1" w:rsidRPr="002E2DE2" w:rsidRDefault="00E43D81" w:rsidP="002E2DE2">
      <w:pPr>
        <w:pStyle w:val="SingleTxtG"/>
        <w:rPr>
          <w:i/>
          <w:lang w:val="fr-FR"/>
        </w:rPr>
      </w:pPr>
      <w:r w:rsidRPr="002E2DE2">
        <w:rPr>
          <w:lang w:val="fr-FR"/>
        </w:rPr>
        <w:t>1</w:t>
      </w:r>
      <w:r w:rsidRPr="002E2DE2">
        <w:rPr>
          <w:lang w:val="fr-FR"/>
        </w:rPr>
        <w:t>2.</w:t>
      </w:r>
      <w:r w:rsidRPr="002E2DE2">
        <w:rPr>
          <w:lang w:val="fr-FR"/>
        </w:rPr>
        <w:tab/>
        <w:t>Le Japon a soumis une proposition visant à inclure les prescriptions relatives à l</w:t>
      </w:r>
      <w:r w:rsidR="002E2DE2" w:rsidRPr="002E2DE2">
        <w:rPr>
          <w:lang w:val="fr-FR"/>
        </w:rPr>
        <w:t>’</w:t>
      </w:r>
      <w:r w:rsidRPr="002E2DE2">
        <w:rPr>
          <w:lang w:val="fr-FR"/>
        </w:rPr>
        <w:t>étalonnage et à sa périodicité dans le paragraphe relatif à l</w:t>
      </w:r>
      <w:r w:rsidR="002E2DE2" w:rsidRPr="002E2DE2">
        <w:rPr>
          <w:lang w:val="fr-FR"/>
        </w:rPr>
        <w:t>’</w:t>
      </w:r>
      <w:r w:rsidRPr="002E2DE2">
        <w:rPr>
          <w:lang w:val="fr-FR"/>
        </w:rPr>
        <w:t>équipement d</w:t>
      </w:r>
      <w:r w:rsidR="002E2DE2" w:rsidRPr="002E2DE2">
        <w:rPr>
          <w:lang w:val="fr-FR"/>
        </w:rPr>
        <w:t>’</w:t>
      </w:r>
      <w:r w:rsidRPr="002E2DE2">
        <w:rPr>
          <w:lang w:val="fr-FR"/>
        </w:rPr>
        <w:t>essai. Le libellé de la proposition faisait essentiellement référence aux prescriptions du Règl</w:t>
      </w:r>
      <w:r w:rsidRPr="002E2DE2">
        <w:rPr>
          <w:lang w:val="fr-FR"/>
        </w:rPr>
        <w:t xml:space="preserve">ement ONU </w:t>
      </w:r>
      <w:r w:rsidR="00F84B22" w:rsidRPr="00F84B22">
        <w:rPr>
          <w:rFonts w:eastAsia="MS Mincho"/>
          <w:lang w:val="fr-FR"/>
        </w:rPr>
        <w:t>n</w:t>
      </w:r>
      <w:r w:rsidR="00F84B22" w:rsidRPr="00F84B22">
        <w:rPr>
          <w:rFonts w:eastAsia="MS Mincho"/>
          <w:vertAlign w:val="superscript"/>
          <w:lang w:val="fr-FR"/>
        </w:rPr>
        <w:t>o</w:t>
      </w:r>
      <w:r w:rsidR="00F84B22">
        <w:rPr>
          <w:lang w:val="fr-FR"/>
        </w:rPr>
        <w:t> </w:t>
      </w:r>
      <w:r w:rsidRPr="002E2DE2">
        <w:rPr>
          <w:lang w:val="fr-FR"/>
        </w:rPr>
        <w:t>83, comme c</w:t>
      </w:r>
      <w:r w:rsidR="002E2DE2" w:rsidRPr="002E2DE2">
        <w:rPr>
          <w:lang w:val="fr-FR"/>
        </w:rPr>
        <w:t>’</w:t>
      </w:r>
      <w:r w:rsidRPr="002E2DE2">
        <w:rPr>
          <w:lang w:val="fr-FR"/>
        </w:rPr>
        <w:t>est le cas pour les prescriptions relatives à l</w:t>
      </w:r>
      <w:r w:rsidR="002E2DE2" w:rsidRPr="002E2DE2">
        <w:rPr>
          <w:lang w:val="fr-FR"/>
        </w:rPr>
        <w:t>’</w:t>
      </w:r>
      <w:r w:rsidRPr="002E2DE2">
        <w:rPr>
          <w:lang w:val="fr-FR"/>
        </w:rPr>
        <w:t>équipement d</w:t>
      </w:r>
      <w:r w:rsidR="002E2DE2" w:rsidRPr="002E2DE2">
        <w:rPr>
          <w:lang w:val="fr-FR"/>
        </w:rPr>
        <w:t>’</w:t>
      </w:r>
      <w:r w:rsidRPr="002E2DE2">
        <w:rPr>
          <w:lang w:val="fr-FR"/>
        </w:rPr>
        <w:t xml:space="preserve">essai. Certains membres ont suggéré de faire plutôt référence au RTM ONU </w:t>
      </w:r>
      <w:r w:rsidR="00F84B22" w:rsidRPr="00F84B22">
        <w:rPr>
          <w:rFonts w:eastAsia="MS Mincho"/>
          <w:lang w:val="fr-FR"/>
        </w:rPr>
        <w:t>n</w:t>
      </w:r>
      <w:r w:rsidR="00F84B22" w:rsidRPr="00F84B22">
        <w:rPr>
          <w:rFonts w:eastAsia="MS Mincho"/>
          <w:vertAlign w:val="superscript"/>
          <w:lang w:val="fr-FR"/>
        </w:rPr>
        <w:t>o</w:t>
      </w:r>
      <w:r w:rsidR="00F84B22">
        <w:rPr>
          <w:lang w:val="fr-FR"/>
        </w:rPr>
        <w:t> </w:t>
      </w:r>
      <w:r w:rsidRPr="002E2DE2">
        <w:rPr>
          <w:lang w:val="fr-FR"/>
        </w:rPr>
        <w:t>15. À l</w:t>
      </w:r>
      <w:r w:rsidR="002E2DE2" w:rsidRPr="002E2DE2">
        <w:rPr>
          <w:lang w:val="fr-FR"/>
        </w:rPr>
        <w:t>’</w:t>
      </w:r>
      <w:r w:rsidRPr="002E2DE2">
        <w:rPr>
          <w:lang w:val="fr-FR"/>
        </w:rPr>
        <w:t>issue d</w:t>
      </w:r>
      <w:r w:rsidR="002E2DE2" w:rsidRPr="002E2DE2">
        <w:rPr>
          <w:lang w:val="fr-FR"/>
        </w:rPr>
        <w:t>’</w:t>
      </w:r>
      <w:r w:rsidRPr="002E2DE2">
        <w:rPr>
          <w:lang w:val="fr-FR"/>
        </w:rPr>
        <w:t>un débat, les membres de l</w:t>
      </w:r>
      <w:r w:rsidR="002E2DE2" w:rsidRPr="002E2DE2">
        <w:rPr>
          <w:lang w:val="fr-FR"/>
        </w:rPr>
        <w:t>’</w:t>
      </w:r>
      <w:r w:rsidRPr="002E2DE2">
        <w:rPr>
          <w:lang w:val="fr-FR"/>
        </w:rPr>
        <w:t>équipe spéciale ont décidé de conserver les renvois</w:t>
      </w:r>
      <w:r w:rsidRPr="002E2DE2">
        <w:rPr>
          <w:lang w:val="fr-FR"/>
        </w:rPr>
        <w:t xml:space="preserve"> au Règlement ONU </w:t>
      </w:r>
      <w:r w:rsidR="00F84B22" w:rsidRPr="00F84B22">
        <w:rPr>
          <w:rFonts w:eastAsia="MS Mincho"/>
          <w:lang w:val="fr-FR"/>
        </w:rPr>
        <w:t>n</w:t>
      </w:r>
      <w:r w:rsidR="00F84B22" w:rsidRPr="00F84B22">
        <w:rPr>
          <w:rFonts w:eastAsia="MS Mincho"/>
          <w:vertAlign w:val="superscript"/>
          <w:lang w:val="fr-FR"/>
        </w:rPr>
        <w:t>o</w:t>
      </w:r>
      <w:r w:rsidR="00F84B22">
        <w:rPr>
          <w:lang w:val="fr-FR"/>
        </w:rPr>
        <w:t> </w:t>
      </w:r>
      <w:r w:rsidRPr="002E2DE2">
        <w:rPr>
          <w:lang w:val="fr-FR"/>
        </w:rPr>
        <w:t>83 au motif que certains équipements n</w:t>
      </w:r>
      <w:r w:rsidR="002E2DE2" w:rsidRPr="002E2DE2">
        <w:rPr>
          <w:lang w:val="fr-FR"/>
        </w:rPr>
        <w:t>’</w:t>
      </w:r>
      <w:r w:rsidRPr="002E2DE2">
        <w:rPr>
          <w:lang w:val="fr-FR"/>
        </w:rPr>
        <w:t>avaient pas à respecter des critères aussi stricts que ceux prescrits pour l</w:t>
      </w:r>
      <w:r w:rsidR="002E2DE2" w:rsidRPr="002E2DE2">
        <w:rPr>
          <w:lang w:val="fr-FR"/>
        </w:rPr>
        <w:t>’</w:t>
      </w:r>
      <w:r w:rsidRPr="002E2DE2">
        <w:rPr>
          <w:lang w:val="fr-FR"/>
        </w:rPr>
        <w:t>essai du type 1.</w:t>
      </w:r>
    </w:p>
    <w:p w14:paraId="1E6F714A" w14:textId="77777777" w:rsidR="003700D1" w:rsidRPr="002E2DE2" w:rsidRDefault="00E43D81" w:rsidP="002E2DE2">
      <w:pPr>
        <w:pStyle w:val="SingleTxtG"/>
        <w:rPr>
          <w:i/>
          <w:lang w:val="fr-FR"/>
        </w:rPr>
      </w:pPr>
      <w:r w:rsidRPr="002E2DE2">
        <w:rPr>
          <w:lang w:val="fr-FR"/>
        </w:rPr>
        <w:t>13.</w:t>
      </w:r>
      <w:r w:rsidRPr="002E2DE2">
        <w:rPr>
          <w:lang w:val="fr-FR"/>
        </w:rPr>
        <w:tab/>
        <w:t xml:space="preserve">Dans le cas des équipements ne figurant pas à la fois dans le Règlement ONU </w:t>
      </w:r>
      <w:r w:rsidR="00E9583B" w:rsidRPr="00E9583B">
        <w:rPr>
          <w:rFonts w:eastAsia="MS Mincho"/>
          <w:lang w:val="fr-FR"/>
        </w:rPr>
        <w:t>n</w:t>
      </w:r>
      <w:r w:rsidR="00E9583B" w:rsidRPr="00E9583B">
        <w:rPr>
          <w:rFonts w:eastAsia="MS Mincho"/>
          <w:vertAlign w:val="superscript"/>
          <w:lang w:val="fr-FR"/>
        </w:rPr>
        <w:t>o</w:t>
      </w:r>
      <w:r w:rsidR="00E9583B">
        <w:rPr>
          <w:lang w:val="fr-FR"/>
        </w:rPr>
        <w:t> </w:t>
      </w:r>
      <w:r w:rsidRPr="002E2DE2">
        <w:rPr>
          <w:lang w:val="fr-FR"/>
        </w:rPr>
        <w:t xml:space="preserve">83 et le RTM ONU </w:t>
      </w:r>
      <w:r w:rsidR="00AF17FD" w:rsidRPr="00AF17FD">
        <w:rPr>
          <w:rFonts w:eastAsia="MS Mincho"/>
          <w:lang w:val="fr-FR"/>
        </w:rPr>
        <w:t>n</w:t>
      </w:r>
      <w:r w:rsidR="00AF17FD" w:rsidRPr="00AF17FD">
        <w:rPr>
          <w:rFonts w:eastAsia="MS Mincho"/>
          <w:vertAlign w:val="superscript"/>
          <w:lang w:val="fr-FR"/>
        </w:rPr>
        <w:t>o</w:t>
      </w:r>
      <w:r w:rsidR="00AF17FD">
        <w:rPr>
          <w:lang w:val="fr-FR"/>
        </w:rPr>
        <w:t> </w:t>
      </w:r>
      <w:r w:rsidRPr="002E2DE2">
        <w:rPr>
          <w:lang w:val="fr-FR"/>
        </w:rPr>
        <w:t>19, l</w:t>
      </w:r>
      <w:r w:rsidR="002E2DE2" w:rsidRPr="002E2DE2">
        <w:rPr>
          <w:lang w:val="fr-FR"/>
        </w:rPr>
        <w:t>’</w:t>
      </w:r>
      <w:r w:rsidRPr="002E2DE2">
        <w:rPr>
          <w:lang w:val="fr-FR"/>
        </w:rPr>
        <w:t>équipe spéciale a décidé qu</w:t>
      </w:r>
      <w:r w:rsidR="002E2DE2" w:rsidRPr="002E2DE2">
        <w:rPr>
          <w:lang w:val="fr-FR"/>
        </w:rPr>
        <w:t>’</w:t>
      </w:r>
      <w:r w:rsidRPr="002E2DE2">
        <w:rPr>
          <w:lang w:val="fr-FR"/>
        </w:rPr>
        <w:t>ils devraient être étalonnés avant leur première utilisation puis réétalonnés selon la périodicité correspondant aux opérations d</w:t>
      </w:r>
      <w:r w:rsidR="002E2DE2" w:rsidRPr="002E2DE2">
        <w:rPr>
          <w:lang w:val="fr-FR"/>
        </w:rPr>
        <w:t>’</w:t>
      </w:r>
      <w:r w:rsidRPr="002E2DE2">
        <w:rPr>
          <w:lang w:val="fr-FR"/>
        </w:rPr>
        <w:t>entretien</w:t>
      </w:r>
      <w:r w:rsidRPr="002E2DE2">
        <w:rPr>
          <w:lang w:val="fr-FR"/>
        </w:rPr>
        <w:t xml:space="preserve"> appropriées</w:t>
      </w:r>
      <w:r w:rsidRPr="002E2DE2">
        <w:rPr>
          <w:lang w:val="fr-FR"/>
        </w:rPr>
        <w:t>.</w:t>
      </w:r>
    </w:p>
    <w:p w14:paraId="3459E30C" w14:textId="77777777" w:rsidR="003700D1" w:rsidRPr="002E2DE2" w:rsidRDefault="00F84B22" w:rsidP="00F84B22">
      <w:pPr>
        <w:pStyle w:val="H23G"/>
        <w:rPr>
          <w:i/>
          <w:lang w:val="fr-FR"/>
        </w:rPr>
      </w:pPr>
      <w:r>
        <w:rPr>
          <w:lang w:val="fr-FR"/>
        </w:rPr>
        <w:tab/>
      </w:r>
      <w:r w:rsidR="00E43D81" w:rsidRPr="002E2DE2">
        <w:rPr>
          <w:lang w:val="fr-FR"/>
        </w:rPr>
        <w:t>2.</w:t>
      </w:r>
      <w:r w:rsidR="00E43D81" w:rsidRPr="002E2DE2">
        <w:rPr>
          <w:lang w:val="fr-FR"/>
        </w:rPr>
        <w:tab/>
      </w:r>
      <w:r w:rsidR="00E43D81" w:rsidRPr="002E2DE2">
        <w:rPr>
          <w:lang w:val="fr-FR"/>
        </w:rPr>
        <w:t>Équation pour les enceintes à volume variable</w:t>
      </w:r>
    </w:p>
    <w:p w14:paraId="776821EA" w14:textId="77777777" w:rsidR="003700D1" w:rsidRPr="002E2DE2" w:rsidRDefault="00E43D81" w:rsidP="002E2DE2">
      <w:pPr>
        <w:pStyle w:val="SingleTxtG"/>
        <w:rPr>
          <w:lang w:val="fr-FR"/>
        </w:rPr>
      </w:pPr>
      <w:r w:rsidRPr="002E2DE2">
        <w:rPr>
          <w:lang w:val="fr-FR"/>
        </w:rPr>
        <w:t>14.</w:t>
      </w:r>
      <w:r w:rsidRPr="002E2DE2">
        <w:rPr>
          <w:lang w:val="fr-FR"/>
        </w:rPr>
        <w:tab/>
        <w:t>Lors de la 22</w:t>
      </w:r>
      <w:r w:rsidRPr="00F84B22">
        <w:rPr>
          <w:vertAlign w:val="superscript"/>
          <w:lang w:val="fr-FR"/>
        </w:rPr>
        <w:t>e</w:t>
      </w:r>
      <w:r w:rsidRPr="002E2DE2">
        <w:rPr>
          <w:lang w:val="fr-FR"/>
        </w:rPr>
        <w:t xml:space="preserve"> </w:t>
      </w:r>
      <w:r w:rsidRPr="002E2DE2">
        <w:rPr>
          <w:lang w:val="fr-FR"/>
        </w:rPr>
        <w:t>réunion du groupe de travail informel WLTP, un constructeur a demandé qu</w:t>
      </w:r>
      <w:r w:rsidR="002E2DE2" w:rsidRPr="002E2DE2">
        <w:rPr>
          <w:lang w:val="fr-FR"/>
        </w:rPr>
        <w:t>’</w:t>
      </w:r>
      <w:r w:rsidRPr="002E2DE2">
        <w:rPr>
          <w:lang w:val="fr-FR"/>
        </w:rPr>
        <w:t>une équation de substitution soit ajoutée pour les enceintes à volume variable. L</w:t>
      </w:r>
      <w:r w:rsidR="002E2DE2" w:rsidRPr="002E2DE2">
        <w:rPr>
          <w:lang w:val="fr-FR"/>
        </w:rPr>
        <w:t>’</w:t>
      </w:r>
      <w:r w:rsidRPr="002E2DE2">
        <w:rPr>
          <w:lang w:val="fr-FR"/>
        </w:rPr>
        <w:t>équation figurait déjà dans les règlements de l</w:t>
      </w:r>
      <w:r w:rsidR="002E2DE2" w:rsidRPr="002E2DE2">
        <w:rPr>
          <w:lang w:val="fr-FR"/>
        </w:rPr>
        <w:t>’</w:t>
      </w:r>
      <w:r w:rsidRPr="002E2DE2">
        <w:rPr>
          <w:lang w:val="fr-FR"/>
        </w:rPr>
        <w:t>Agence de protection de l</w:t>
      </w:r>
      <w:r w:rsidR="002E2DE2" w:rsidRPr="002E2DE2">
        <w:rPr>
          <w:lang w:val="fr-FR"/>
        </w:rPr>
        <w:t>’</w:t>
      </w:r>
      <w:r w:rsidRPr="002E2DE2">
        <w:rPr>
          <w:lang w:val="fr-FR"/>
        </w:rPr>
        <w:t>environnement des États-Uni</w:t>
      </w:r>
      <w:r w:rsidRPr="002E2DE2">
        <w:rPr>
          <w:lang w:val="fr-FR"/>
        </w:rPr>
        <w:t xml:space="preserve">s (EPA) et de la California Air Resources </w:t>
      </w:r>
      <w:proofErr w:type="spellStart"/>
      <w:r w:rsidRPr="002E2DE2">
        <w:rPr>
          <w:lang w:val="fr-FR"/>
        </w:rPr>
        <w:t>Board</w:t>
      </w:r>
      <w:proofErr w:type="spellEnd"/>
      <w:r w:rsidRPr="002E2DE2">
        <w:rPr>
          <w:lang w:val="fr-FR"/>
        </w:rPr>
        <w:t xml:space="preserve"> (CARB).</w:t>
      </w:r>
    </w:p>
    <w:p w14:paraId="70EA170D" w14:textId="77777777" w:rsidR="003700D1" w:rsidRPr="002E2DE2" w:rsidRDefault="00E43D81" w:rsidP="002E2DE2">
      <w:pPr>
        <w:pStyle w:val="SingleTxtG"/>
        <w:rPr>
          <w:lang w:val="fr-FR"/>
        </w:rPr>
      </w:pPr>
      <w:r w:rsidRPr="002E2DE2">
        <w:rPr>
          <w:lang w:val="fr-FR"/>
        </w:rPr>
        <w:t>15.</w:t>
      </w:r>
      <w:r w:rsidRPr="002E2DE2">
        <w:rPr>
          <w:lang w:val="fr-FR"/>
        </w:rPr>
        <w:tab/>
        <w:t>Une enceinte à volume variable est une enceinte dont le volume s</w:t>
      </w:r>
      <w:r w:rsidR="002E2DE2" w:rsidRPr="002E2DE2">
        <w:rPr>
          <w:lang w:val="fr-FR"/>
        </w:rPr>
        <w:t>’</w:t>
      </w:r>
      <w:r w:rsidRPr="002E2DE2">
        <w:rPr>
          <w:lang w:val="fr-FR"/>
        </w:rPr>
        <w:t xml:space="preserve">ajuste en réaction aux variations de température, au moyen de panneaux mobiles ou de sacs placés à </w:t>
      </w:r>
      <w:r w:rsidRPr="002E2DE2">
        <w:rPr>
          <w:lang w:val="fr-FR"/>
        </w:rPr>
        <w:lastRenderedPageBreak/>
        <w:t>l</w:t>
      </w:r>
      <w:r w:rsidR="002E2DE2" w:rsidRPr="002E2DE2">
        <w:rPr>
          <w:lang w:val="fr-FR"/>
        </w:rPr>
        <w:t>’</w:t>
      </w:r>
      <w:r w:rsidRPr="002E2DE2">
        <w:rPr>
          <w:lang w:val="fr-FR"/>
        </w:rPr>
        <w:t>intérieur ou à l</w:t>
      </w:r>
      <w:r w:rsidR="002E2DE2" w:rsidRPr="002E2DE2">
        <w:rPr>
          <w:lang w:val="fr-FR"/>
        </w:rPr>
        <w:t>’</w:t>
      </w:r>
      <w:r w:rsidRPr="002E2DE2">
        <w:rPr>
          <w:lang w:val="fr-FR"/>
        </w:rPr>
        <w:t xml:space="preserve">extérieur de </w:t>
      </w:r>
      <w:r w:rsidRPr="002E2DE2">
        <w:rPr>
          <w:lang w:val="fr-FR"/>
        </w:rPr>
        <w:t>l</w:t>
      </w:r>
      <w:r w:rsidR="002E2DE2" w:rsidRPr="002E2DE2">
        <w:rPr>
          <w:lang w:val="fr-FR"/>
        </w:rPr>
        <w:t>’</w:t>
      </w:r>
      <w:r w:rsidRPr="002E2DE2">
        <w:rPr>
          <w:lang w:val="fr-FR"/>
        </w:rPr>
        <w:t>enceinte. Grâce à cela, la pression et le nombre de molécules à l</w:t>
      </w:r>
      <w:r w:rsidR="002E2DE2" w:rsidRPr="002E2DE2">
        <w:rPr>
          <w:lang w:val="fr-FR"/>
        </w:rPr>
        <w:t>’</w:t>
      </w:r>
      <w:r w:rsidRPr="002E2DE2">
        <w:rPr>
          <w:lang w:val="fr-FR"/>
        </w:rPr>
        <w:t>intérieur de l</w:t>
      </w:r>
      <w:r w:rsidR="002E2DE2" w:rsidRPr="002E2DE2">
        <w:rPr>
          <w:lang w:val="fr-FR"/>
        </w:rPr>
        <w:t>’</w:t>
      </w:r>
      <w:r w:rsidRPr="002E2DE2">
        <w:rPr>
          <w:lang w:val="fr-FR"/>
        </w:rPr>
        <w:t>enceinte restent les mêmes malgré les variations de température. L</w:t>
      </w:r>
      <w:r w:rsidR="002E2DE2" w:rsidRPr="002E2DE2">
        <w:rPr>
          <w:lang w:val="fr-FR"/>
        </w:rPr>
        <w:t>’</w:t>
      </w:r>
      <w:r w:rsidRPr="002E2DE2">
        <w:rPr>
          <w:lang w:val="fr-FR"/>
        </w:rPr>
        <w:t>équation de substitution tient compte de cette caractéristique, en supposant qu</w:t>
      </w:r>
      <w:r w:rsidR="002E2DE2" w:rsidRPr="002E2DE2">
        <w:rPr>
          <w:lang w:val="fr-FR"/>
        </w:rPr>
        <w:t>’</w:t>
      </w:r>
      <w:r w:rsidRPr="002E2DE2">
        <w:rPr>
          <w:lang w:val="fr-FR"/>
        </w:rPr>
        <w:t>il n</w:t>
      </w:r>
      <w:r w:rsidR="002E2DE2" w:rsidRPr="002E2DE2">
        <w:rPr>
          <w:lang w:val="fr-FR"/>
        </w:rPr>
        <w:t>’</w:t>
      </w:r>
      <w:r w:rsidRPr="002E2DE2">
        <w:rPr>
          <w:lang w:val="fr-FR"/>
        </w:rPr>
        <w:t>y ait aucune perte de</w:t>
      </w:r>
      <w:r w:rsidRPr="002E2DE2">
        <w:rPr>
          <w:lang w:val="fr-FR"/>
        </w:rPr>
        <w:t xml:space="preserve"> gaz pendant l</w:t>
      </w:r>
      <w:r w:rsidR="002E2DE2" w:rsidRPr="002E2DE2">
        <w:rPr>
          <w:lang w:val="fr-FR"/>
        </w:rPr>
        <w:t>’</w:t>
      </w:r>
      <w:r w:rsidRPr="002E2DE2">
        <w:rPr>
          <w:lang w:val="fr-FR"/>
        </w:rPr>
        <w:t>essai diurne.</w:t>
      </w:r>
    </w:p>
    <w:p w14:paraId="5F83301A" w14:textId="77777777" w:rsidR="003700D1" w:rsidRPr="002E2DE2" w:rsidRDefault="00E43D81" w:rsidP="002E2DE2">
      <w:pPr>
        <w:pStyle w:val="SingleTxtG"/>
        <w:rPr>
          <w:lang w:val="fr-FR"/>
        </w:rPr>
      </w:pPr>
      <w:r w:rsidRPr="002E2DE2">
        <w:rPr>
          <w:lang w:val="fr-FR"/>
        </w:rPr>
        <w:t>16.</w:t>
      </w:r>
      <w:r w:rsidRPr="002E2DE2">
        <w:rPr>
          <w:lang w:val="fr-FR"/>
        </w:rPr>
        <w:tab/>
        <w:t>Les membres de l</w:t>
      </w:r>
      <w:r w:rsidR="002E2DE2" w:rsidRPr="002E2DE2">
        <w:rPr>
          <w:lang w:val="fr-FR"/>
        </w:rPr>
        <w:t>’</w:t>
      </w:r>
      <w:r w:rsidRPr="002E2DE2">
        <w:rPr>
          <w:lang w:val="fr-FR"/>
        </w:rPr>
        <w:t xml:space="preserve">équipe spéciale se sont demandé si cette équation devrait être ajoutée au RTM ONU </w:t>
      </w:r>
      <w:r w:rsidR="001E085F" w:rsidRPr="001E085F">
        <w:rPr>
          <w:rFonts w:eastAsia="MS Mincho"/>
          <w:lang w:val="fr-FR"/>
        </w:rPr>
        <w:t>n</w:t>
      </w:r>
      <w:r w:rsidR="001E085F" w:rsidRPr="001E085F">
        <w:rPr>
          <w:rFonts w:eastAsia="MS Mincho"/>
          <w:vertAlign w:val="superscript"/>
          <w:lang w:val="fr-FR"/>
        </w:rPr>
        <w:t>o</w:t>
      </w:r>
      <w:r w:rsidR="001E085F">
        <w:rPr>
          <w:lang w:val="fr-FR"/>
        </w:rPr>
        <w:t> </w:t>
      </w:r>
      <w:r w:rsidRPr="002E2DE2">
        <w:rPr>
          <w:lang w:val="fr-FR"/>
        </w:rPr>
        <w:t>19. Après de longues discussions visant à mieux comprendre le fonctionnement des enceintes à volume variable, l</w:t>
      </w:r>
      <w:r w:rsidR="002E2DE2" w:rsidRPr="002E2DE2">
        <w:rPr>
          <w:lang w:val="fr-FR"/>
        </w:rPr>
        <w:t>’</w:t>
      </w:r>
      <w:r w:rsidRPr="002E2DE2">
        <w:rPr>
          <w:lang w:val="fr-FR"/>
        </w:rPr>
        <w:t>équipe sp</w:t>
      </w:r>
      <w:r w:rsidRPr="002E2DE2">
        <w:rPr>
          <w:lang w:val="fr-FR"/>
        </w:rPr>
        <w:t xml:space="preserve">éciale a décidé </w:t>
      </w:r>
      <w:r w:rsidRPr="002E2DE2">
        <w:rPr>
          <w:lang w:val="fr-FR"/>
        </w:rPr>
        <w:t>d</w:t>
      </w:r>
      <w:r w:rsidR="002E2DE2" w:rsidRPr="002E2DE2">
        <w:rPr>
          <w:lang w:val="fr-FR"/>
        </w:rPr>
        <w:t>’</w:t>
      </w:r>
      <w:r w:rsidRPr="002E2DE2">
        <w:rPr>
          <w:lang w:val="fr-FR"/>
        </w:rPr>
        <w:t>inclure</w:t>
      </w:r>
      <w:r w:rsidRPr="002E2DE2">
        <w:rPr>
          <w:lang w:val="fr-FR"/>
        </w:rPr>
        <w:t xml:space="preserve"> l</w:t>
      </w:r>
      <w:r w:rsidR="002E2DE2" w:rsidRPr="002E2DE2">
        <w:rPr>
          <w:lang w:val="fr-FR"/>
        </w:rPr>
        <w:t>’</w:t>
      </w:r>
      <w:r w:rsidRPr="002E2DE2">
        <w:rPr>
          <w:lang w:val="fr-FR"/>
        </w:rPr>
        <w:t>équation à titre de variante.</w:t>
      </w:r>
    </w:p>
    <w:p w14:paraId="46D94251" w14:textId="77777777" w:rsidR="003700D1" w:rsidRPr="002E2DE2" w:rsidRDefault="00E43D81" w:rsidP="002E2DE2">
      <w:pPr>
        <w:pStyle w:val="SingleTxtG"/>
        <w:rPr>
          <w:lang w:val="fr-FR"/>
        </w:rPr>
      </w:pPr>
      <w:r w:rsidRPr="002E2DE2">
        <w:rPr>
          <w:lang w:val="fr-FR"/>
        </w:rPr>
        <w:t>17.</w:t>
      </w:r>
      <w:r w:rsidRPr="002E2DE2">
        <w:rPr>
          <w:lang w:val="fr-FR"/>
        </w:rPr>
        <w:tab/>
        <w:t>Lors de la 23</w:t>
      </w:r>
      <w:r w:rsidRPr="001E085F">
        <w:rPr>
          <w:vertAlign w:val="superscript"/>
          <w:lang w:val="fr-FR"/>
        </w:rPr>
        <w:t>e</w:t>
      </w:r>
      <w:r w:rsidRPr="002E2DE2">
        <w:rPr>
          <w:lang w:val="fr-FR"/>
        </w:rPr>
        <w:t xml:space="preserve"> réunion du groupe de travail informel WLTP, l</w:t>
      </w:r>
      <w:r w:rsidR="002E2DE2" w:rsidRPr="002E2DE2">
        <w:rPr>
          <w:lang w:val="fr-FR"/>
        </w:rPr>
        <w:t>’</w:t>
      </w:r>
      <w:r w:rsidRPr="002E2DE2">
        <w:rPr>
          <w:lang w:val="fr-FR"/>
        </w:rPr>
        <w:t>Inde s</w:t>
      </w:r>
      <w:r w:rsidR="002E2DE2" w:rsidRPr="002E2DE2">
        <w:rPr>
          <w:lang w:val="fr-FR"/>
        </w:rPr>
        <w:t>’</w:t>
      </w:r>
      <w:r w:rsidRPr="002E2DE2">
        <w:rPr>
          <w:lang w:val="fr-FR"/>
        </w:rPr>
        <w:t>est interrogée sur la valeur fixe de 1,42</w:t>
      </w:r>
      <w:r w:rsidR="001E085F">
        <w:rPr>
          <w:lang w:val="fr-FR"/>
        </w:rPr>
        <w:t> </w:t>
      </w:r>
      <w:r w:rsidRPr="002E2DE2">
        <w:rPr>
          <w:lang w:val="fr-FR"/>
        </w:rPr>
        <w:t>m</w:t>
      </w:r>
      <w:r w:rsidRPr="001E085F">
        <w:rPr>
          <w:vertAlign w:val="superscript"/>
          <w:lang w:val="fr-FR"/>
        </w:rPr>
        <w:t>3</w:t>
      </w:r>
      <w:r w:rsidRPr="002E2DE2">
        <w:rPr>
          <w:lang w:val="fr-FR"/>
        </w:rPr>
        <w:t xml:space="preserve"> </w:t>
      </w:r>
      <w:r w:rsidRPr="002E2DE2">
        <w:rPr>
          <w:lang w:val="fr-FR"/>
        </w:rPr>
        <w:t>à soustraire</w:t>
      </w:r>
      <w:r w:rsidRPr="002E2DE2">
        <w:rPr>
          <w:lang w:val="fr-FR"/>
        </w:rPr>
        <w:t xml:space="preserve"> du volume de l</w:t>
      </w:r>
      <w:r w:rsidR="002E2DE2" w:rsidRPr="002E2DE2">
        <w:rPr>
          <w:lang w:val="fr-FR"/>
        </w:rPr>
        <w:t>’</w:t>
      </w:r>
      <w:r w:rsidRPr="002E2DE2">
        <w:rPr>
          <w:lang w:val="fr-FR"/>
        </w:rPr>
        <w:t>enceinte dans l</w:t>
      </w:r>
      <w:r w:rsidR="002E2DE2" w:rsidRPr="002E2DE2">
        <w:rPr>
          <w:lang w:val="fr-FR"/>
        </w:rPr>
        <w:t>’</w:t>
      </w:r>
      <w:r w:rsidRPr="002E2DE2">
        <w:rPr>
          <w:lang w:val="fr-FR"/>
        </w:rPr>
        <w:t xml:space="preserve">équation et a demandé des précisions </w:t>
      </w:r>
      <w:r w:rsidRPr="002E2DE2">
        <w:rPr>
          <w:lang w:val="fr-FR"/>
        </w:rPr>
        <w:t>sur son origine. Cette valeur correspond au volume supposé de l</w:t>
      </w:r>
      <w:r w:rsidR="002E2DE2" w:rsidRPr="002E2DE2">
        <w:rPr>
          <w:lang w:val="fr-FR"/>
        </w:rPr>
        <w:t>’</w:t>
      </w:r>
      <w:r w:rsidRPr="002E2DE2">
        <w:rPr>
          <w:lang w:val="fr-FR"/>
        </w:rPr>
        <w:t>enveloppe extérieure du véhicule, c</w:t>
      </w:r>
      <w:r w:rsidR="002E2DE2" w:rsidRPr="002E2DE2">
        <w:rPr>
          <w:lang w:val="fr-FR"/>
        </w:rPr>
        <w:t>’</w:t>
      </w:r>
      <w:r w:rsidRPr="002E2DE2">
        <w:rPr>
          <w:lang w:val="fr-FR"/>
        </w:rPr>
        <w:t>est-à-dire le volume du véhicule fenêtres et compartiment à bagage ouverts. Le constructeur peut choisir d</w:t>
      </w:r>
      <w:r w:rsidR="002E2DE2" w:rsidRPr="002E2DE2">
        <w:rPr>
          <w:lang w:val="fr-FR"/>
        </w:rPr>
        <w:t>’</w:t>
      </w:r>
      <w:r w:rsidRPr="002E2DE2">
        <w:rPr>
          <w:lang w:val="fr-FR"/>
        </w:rPr>
        <w:t>utiliser cette valeur fixe ou le v</w:t>
      </w:r>
      <w:r w:rsidRPr="002E2DE2">
        <w:rPr>
          <w:lang w:val="fr-FR"/>
        </w:rPr>
        <w:t>olume réel mesu</w:t>
      </w:r>
      <w:r w:rsidRPr="002E2DE2">
        <w:rPr>
          <w:lang w:val="fr-FR"/>
        </w:rPr>
        <w:t xml:space="preserve">ré. Cette valeur, </w:t>
      </w:r>
      <w:r w:rsidRPr="002E2DE2">
        <w:rPr>
          <w:lang w:val="fr-FR"/>
        </w:rPr>
        <w:t>tiré</w:t>
      </w:r>
      <w:r w:rsidRPr="002E2DE2">
        <w:rPr>
          <w:lang w:val="fr-FR"/>
        </w:rPr>
        <w:t xml:space="preserve">e de la réglementation EPA/CARB, </w:t>
      </w:r>
      <w:r w:rsidRPr="002E2DE2">
        <w:rPr>
          <w:lang w:val="fr-FR"/>
        </w:rPr>
        <w:t xml:space="preserve">figurait dans le texte original du RTM ONU </w:t>
      </w:r>
      <w:r w:rsidR="001E085F" w:rsidRPr="001E085F">
        <w:rPr>
          <w:rFonts w:eastAsia="MS Mincho"/>
          <w:lang w:val="fr-FR"/>
        </w:rPr>
        <w:t>n</w:t>
      </w:r>
      <w:r w:rsidR="001E085F" w:rsidRPr="001E085F">
        <w:rPr>
          <w:rFonts w:eastAsia="MS Mincho"/>
          <w:vertAlign w:val="superscript"/>
          <w:lang w:val="fr-FR"/>
        </w:rPr>
        <w:t>o</w:t>
      </w:r>
      <w:r w:rsidR="001E085F">
        <w:rPr>
          <w:lang w:val="fr-FR"/>
        </w:rPr>
        <w:t> </w:t>
      </w:r>
      <w:r w:rsidRPr="002E2DE2">
        <w:rPr>
          <w:lang w:val="fr-FR"/>
        </w:rPr>
        <w:t>19. L</w:t>
      </w:r>
      <w:r w:rsidR="002E2DE2" w:rsidRPr="002E2DE2">
        <w:rPr>
          <w:lang w:val="fr-FR"/>
        </w:rPr>
        <w:t>’</w:t>
      </w:r>
      <w:r w:rsidRPr="002E2DE2">
        <w:rPr>
          <w:lang w:val="fr-FR"/>
        </w:rPr>
        <w:t xml:space="preserve">EPA a pu déterminer que la valeur avait été fixée quelques </w:t>
      </w:r>
      <w:r w:rsidRPr="002E2DE2">
        <w:rPr>
          <w:lang w:val="fr-FR"/>
        </w:rPr>
        <w:t>dizaines d</w:t>
      </w:r>
      <w:r w:rsidR="002E2DE2" w:rsidRPr="002E2DE2">
        <w:rPr>
          <w:lang w:val="fr-FR"/>
        </w:rPr>
        <w:t>’</w:t>
      </w:r>
      <w:r w:rsidRPr="002E2DE2">
        <w:rPr>
          <w:lang w:val="fr-FR"/>
        </w:rPr>
        <w:t>années</w:t>
      </w:r>
      <w:r w:rsidRPr="002E2DE2">
        <w:rPr>
          <w:lang w:val="fr-FR"/>
        </w:rPr>
        <w:t xml:space="preserve"> auparavant lors de l</w:t>
      </w:r>
      <w:r w:rsidR="002E2DE2" w:rsidRPr="002E2DE2">
        <w:rPr>
          <w:lang w:val="fr-FR"/>
        </w:rPr>
        <w:t>’</w:t>
      </w:r>
      <w:r w:rsidRPr="002E2DE2">
        <w:rPr>
          <w:lang w:val="fr-FR"/>
        </w:rPr>
        <w:t>introduction des essais d</w:t>
      </w:r>
      <w:r w:rsidR="002E2DE2" w:rsidRPr="002E2DE2">
        <w:rPr>
          <w:lang w:val="fr-FR"/>
        </w:rPr>
        <w:t>’</w:t>
      </w:r>
      <w:r w:rsidRPr="002E2DE2">
        <w:rPr>
          <w:lang w:val="fr-FR"/>
        </w:rPr>
        <w:t>émission p</w:t>
      </w:r>
      <w:r w:rsidRPr="002E2DE2">
        <w:rPr>
          <w:lang w:val="fr-FR"/>
        </w:rPr>
        <w:t xml:space="preserve">ar évaporation, sur la base de </w:t>
      </w:r>
      <w:r w:rsidRPr="002E2DE2">
        <w:rPr>
          <w:lang w:val="fr-FR"/>
        </w:rPr>
        <w:t>pratiques techniques reconnues. L</w:t>
      </w:r>
      <w:r w:rsidR="002E2DE2" w:rsidRPr="002E2DE2">
        <w:rPr>
          <w:lang w:val="fr-FR"/>
        </w:rPr>
        <w:t>’</w:t>
      </w:r>
      <w:r w:rsidRPr="002E2DE2">
        <w:rPr>
          <w:lang w:val="fr-FR"/>
        </w:rPr>
        <w:t>EPA a également indiqué qu</w:t>
      </w:r>
      <w:r w:rsidR="002E2DE2" w:rsidRPr="002E2DE2">
        <w:rPr>
          <w:lang w:val="fr-FR"/>
        </w:rPr>
        <w:t>’</w:t>
      </w:r>
      <w:r w:rsidRPr="002E2DE2">
        <w:rPr>
          <w:lang w:val="fr-FR"/>
        </w:rPr>
        <w:t>aucun constructeur n</w:t>
      </w:r>
      <w:r w:rsidR="002E2DE2" w:rsidRPr="002E2DE2">
        <w:rPr>
          <w:lang w:val="fr-FR"/>
        </w:rPr>
        <w:t>’</w:t>
      </w:r>
      <w:r w:rsidRPr="002E2DE2">
        <w:rPr>
          <w:lang w:val="fr-FR"/>
        </w:rPr>
        <w:t>avait demandé à utiliser la valeur mesurée. Compte tenu de ces éléments, les membres de l</w:t>
      </w:r>
      <w:r w:rsidR="002E2DE2" w:rsidRPr="002E2DE2">
        <w:rPr>
          <w:lang w:val="fr-FR"/>
        </w:rPr>
        <w:t>’</w:t>
      </w:r>
      <w:r w:rsidRPr="002E2DE2">
        <w:rPr>
          <w:lang w:val="fr-FR"/>
        </w:rPr>
        <w:t xml:space="preserve">équipe spéciale ont décidé de conserver cette valeur </w:t>
      </w:r>
      <w:r w:rsidRPr="002E2DE2">
        <w:rPr>
          <w:lang w:val="fr-FR"/>
        </w:rPr>
        <w:t>en l</w:t>
      </w:r>
      <w:r w:rsidR="002E2DE2" w:rsidRPr="002E2DE2">
        <w:rPr>
          <w:lang w:val="fr-FR"/>
        </w:rPr>
        <w:t>’</w:t>
      </w:r>
      <w:r w:rsidRPr="002E2DE2">
        <w:rPr>
          <w:lang w:val="fr-FR"/>
        </w:rPr>
        <w:t>état.</w:t>
      </w:r>
    </w:p>
    <w:p w14:paraId="17D1F458" w14:textId="77777777" w:rsidR="003700D1" w:rsidRPr="002E2DE2" w:rsidRDefault="0068586D" w:rsidP="0068586D">
      <w:pPr>
        <w:pStyle w:val="H23G"/>
        <w:rPr>
          <w:i/>
          <w:lang w:val="fr-FR"/>
        </w:rPr>
      </w:pPr>
      <w:r>
        <w:rPr>
          <w:lang w:val="fr-FR"/>
        </w:rPr>
        <w:tab/>
      </w:r>
      <w:r w:rsidR="00E43D81" w:rsidRPr="002E2DE2">
        <w:rPr>
          <w:lang w:val="fr-FR"/>
        </w:rPr>
        <w:t>3.</w:t>
      </w:r>
      <w:r w:rsidR="00E43D81" w:rsidRPr="002E2DE2">
        <w:rPr>
          <w:lang w:val="fr-FR"/>
        </w:rPr>
        <w:tab/>
        <w:t xml:space="preserve">Amélioration du texte </w:t>
      </w:r>
    </w:p>
    <w:p w14:paraId="6C97A26B" w14:textId="77777777" w:rsidR="003700D1" w:rsidRPr="002E2DE2" w:rsidRDefault="0068586D" w:rsidP="0068586D">
      <w:pPr>
        <w:pStyle w:val="H4G"/>
        <w:rPr>
          <w:lang w:val="fr-FR"/>
        </w:rPr>
      </w:pPr>
      <w:r>
        <w:rPr>
          <w:lang w:val="fr-FR"/>
        </w:rPr>
        <w:tab/>
      </w:r>
      <w:r w:rsidR="00E43D81" w:rsidRPr="002E2DE2">
        <w:rPr>
          <w:lang w:val="fr-FR"/>
        </w:rPr>
        <w:t>3.1</w:t>
      </w:r>
      <w:r w:rsidR="00E43D81" w:rsidRPr="002E2DE2">
        <w:rPr>
          <w:lang w:val="fr-FR"/>
        </w:rPr>
        <w:tab/>
        <w:t xml:space="preserve">Éclaircissements au sujet du canister vieilli et de son installation </w:t>
      </w:r>
    </w:p>
    <w:p w14:paraId="103EC388" w14:textId="77777777" w:rsidR="003700D1" w:rsidRPr="002E2DE2" w:rsidRDefault="00E43D81" w:rsidP="002E2DE2">
      <w:pPr>
        <w:pStyle w:val="SingleTxtG"/>
        <w:rPr>
          <w:lang w:val="fr-FR"/>
        </w:rPr>
      </w:pPr>
      <w:r w:rsidRPr="002E2DE2">
        <w:rPr>
          <w:lang w:val="fr-FR"/>
        </w:rPr>
        <w:t>18.</w:t>
      </w:r>
      <w:r w:rsidRPr="002E2DE2">
        <w:rPr>
          <w:lang w:val="fr-FR"/>
        </w:rPr>
        <w:tab/>
        <w:t>Lors de la 23</w:t>
      </w:r>
      <w:r w:rsidRPr="0015409F">
        <w:rPr>
          <w:vertAlign w:val="superscript"/>
          <w:lang w:val="fr-FR"/>
        </w:rPr>
        <w:t>e</w:t>
      </w:r>
      <w:r w:rsidRPr="002E2DE2">
        <w:rPr>
          <w:lang w:val="fr-FR"/>
        </w:rPr>
        <w:t xml:space="preserve"> réunion du groupe de travail informel WLTP, le Japon a demandé que des précisions soient apportées </w:t>
      </w:r>
      <w:r w:rsidRPr="002E2DE2">
        <w:rPr>
          <w:lang w:val="fr-FR"/>
        </w:rPr>
        <w:t>concernant</w:t>
      </w:r>
      <w:r w:rsidRPr="002E2DE2">
        <w:rPr>
          <w:lang w:val="fr-FR"/>
        </w:rPr>
        <w:t xml:space="preserve"> la nature du canister vieilli et ses conditions d</w:t>
      </w:r>
      <w:r w:rsidR="002E2DE2" w:rsidRPr="002E2DE2">
        <w:rPr>
          <w:lang w:val="fr-FR"/>
        </w:rPr>
        <w:t>’</w:t>
      </w:r>
      <w:r w:rsidRPr="002E2DE2">
        <w:rPr>
          <w:lang w:val="fr-FR"/>
        </w:rPr>
        <w:t>installation. Selon le Jap</w:t>
      </w:r>
      <w:r w:rsidRPr="002E2DE2">
        <w:rPr>
          <w:lang w:val="fr-FR"/>
        </w:rPr>
        <w:t>o</w:t>
      </w:r>
      <w:r w:rsidRPr="002E2DE2">
        <w:rPr>
          <w:lang w:val="fr-FR"/>
        </w:rPr>
        <w:t>n, le paragraphe 3 de l</w:t>
      </w:r>
      <w:r w:rsidR="002E2DE2" w:rsidRPr="002E2DE2">
        <w:rPr>
          <w:lang w:val="fr-FR"/>
        </w:rPr>
        <w:t>’</w:t>
      </w:r>
      <w:r w:rsidRPr="002E2DE2">
        <w:rPr>
          <w:lang w:val="fr-FR"/>
        </w:rPr>
        <w:t xml:space="preserve">annexe 1 du RTM ONU </w:t>
      </w:r>
      <w:r w:rsidR="0015409F" w:rsidRPr="0015409F">
        <w:rPr>
          <w:rFonts w:eastAsia="MS Mincho"/>
          <w:lang w:val="fr-FR"/>
        </w:rPr>
        <w:t>n</w:t>
      </w:r>
      <w:r w:rsidR="0015409F" w:rsidRPr="0015409F">
        <w:rPr>
          <w:rFonts w:eastAsia="MS Mincho"/>
          <w:vertAlign w:val="superscript"/>
          <w:lang w:val="fr-FR"/>
        </w:rPr>
        <w:t>o</w:t>
      </w:r>
      <w:r w:rsidR="0015409F">
        <w:rPr>
          <w:lang w:val="fr-FR"/>
        </w:rPr>
        <w:t> </w:t>
      </w:r>
      <w:r w:rsidRPr="002E2DE2">
        <w:rPr>
          <w:lang w:val="fr-FR"/>
        </w:rPr>
        <w:t>19 pouvait laisser penser à tort que la mesure de la capacité de traitement du butane après 300</w:t>
      </w:r>
      <w:r w:rsidR="0015409F">
        <w:rPr>
          <w:lang w:val="fr-FR"/>
        </w:rPr>
        <w:t> </w:t>
      </w:r>
      <w:r w:rsidRPr="002E2DE2">
        <w:rPr>
          <w:lang w:val="fr-FR"/>
        </w:rPr>
        <w:t>cycles (BWC</w:t>
      </w:r>
      <w:r w:rsidRPr="002E2DE2">
        <w:rPr>
          <w:lang w:val="fr-FR"/>
        </w:rPr>
        <w:t xml:space="preserve">300) faisait partie du </w:t>
      </w:r>
      <w:r w:rsidRPr="002E2DE2">
        <w:rPr>
          <w:lang w:val="fr-FR"/>
        </w:rPr>
        <w:t>processus de vieillissement du canister. En outre, ce paragraphe n</w:t>
      </w:r>
      <w:r w:rsidR="002E2DE2" w:rsidRPr="002E2DE2">
        <w:rPr>
          <w:lang w:val="fr-FR"/>
        </w:rPr>
        <w:t>’</w:t>
      </w:r>
      <w:r w:rsidRPr="002E2DE2">
        <w:rPr>
          <w:lang w:val="fr-FR"/>
        </w:rPr>
        <w:t>indiquait pas précisément si le canister vieilli devait</w:t>
      </w:r>
      <w:r w:rsidRPr="002E2DE2">
        <w:rPr>
          <w:lang w:val="fr-FR"/>
        </w:rPr>
        <w:t xml:space="preserve"> ou non</w:t>
      </w:r>
      <w:r w:rsidRPr="002E2DE2">
        <w:rPr>
          <w:lang w:val="fr-FR"/>
        </w:rPr>
        <w:t xml:space="preserve"> être monté pendant la période de rodage.</w:t>
      </w:r>
    </w:p>
    <w:p w14:paraId="52DFF82B" w14:textId="77777777" w:rsidR="003700D1" w:rsidRPr="002E2DE2" w:rsidRDefault="00E43D81" w:rsidP="002E2DE2">
      <w:pPr>
        <w:pStyle w:val="SingleTxtG"/>
        <w:rPr>
          <w:lang w:val="fr-FR"/>
        </w:rPr>
      </w:pPr>
      <w:r w:rsidRPr="002E2DE2">
        <w:rPr>
          <w:lang w:val="fr-FR"/>
        </w:rPr>
        <w:t>19.</w:t>
      </w:r>
      <w:r w:rsidRPr="002E2DE2">
        <w:rPr>
          <w:lang w:val="fr-FR"/>
        </w:rPr>
        <w:tab/>
        <w:t>Les membres de l</w:t>
      </w:r>
      <w:r w:rsidR="002E2DE2" w:rsidRPr="002E2DE2">
        <w:rPr>
          <w:lang w:val="fr-FR"/>
        </w:rPr>
        <w:t>’</w:t>
      </w:r>
      <w:r w:rsidRPr="002E2DE2">
        <w:rPr>
          <w:lang w:val="fr-FR"/>
        </w:rPr>
        <w:t>équipe spéciale ont confirmé que le canister vieilli ne devait p</w:t>
      </w:r>
      <w:r w:rsidRPr="002E2DE2">
        <w:rPr>
          <w:lang w:val="fr-FR"/>
        </w:rPr>
        <w:t>as être installé sur le véhicule pendant la période de rodage, afin qu</w:t>
      </w:r>
      <w:r w:rsidR="002E2DE2" w:rsidRPr="002E2DE2">
        <w:rPr>
          <w:lang w:val="fr-FR"/>
        </w:rPr>
        <w:t>’</w:t>
      </w:r>
      <w:r w:rsidRPr="002E2DE2">
        <w:rPr>
          <w:lang w:val="fr-FR"/>
        </w:rPr>
        <w:t>il soit dans le même état avant chaque essai. Par conséquent, il a été décidé d</w:t>
      </w:r>
      <w:r w:rsidR="002E2DE2" w:rsidRPr="002E2DE2">
        <w:rPr>
          <w:lang w:val="fr-FR"/>
        </w:rPr>
        <w:t>’</w:t>
      </w:r>
      <w:r w:rsidRPr="002E2DE2">
        <w:rPr>
          <w:lang w:val="fr-FR"/>
        </w:rPr>
        <w:t xml:space="preserve">ajouter </w:t>
      </w:r>
      <w:r w:rsidRPr="002E2DE2">
        <w:rPr>
          <w:lang w:val="fr-FR"/>
        </w:rPr>
        <w:t xml:space="preserve">des indications permettant </w:t>
      </w:r>
      <w:r w:rsidRPr="002E2DE2">
        <w:rPr>
          <w:lang w:val="fr-FR"/>
        </w:rPr>
        <w:t>d</w:t>
      </w:r>
      <w:r w:rsidR="002E2DE2" w:rsidRPr="002E2DE2">
        <w:rPr>
          <w:lang w:val="fr-FR"/>
        </w:rPr>
        <w:t>’</w:t>
      </w:r>
      <w:r w:rsidRPr="002E2DE2">
        <w:rPr>
          <w:lang w:val="fr-FR"/>
        </w:rPr>
        <w:t xml:space="preserve">éviter toute erreur à ce sujet. Pour plus de précision, les membres </w:t>
      </w:r>
      <w:r w:rsidRPr="002E2DE2">
        <w:rPr>
          <w:lang w:val="fr-FR"/>
        </w:rPr>
        <w:t>ont décidé d</w:t>
      </w:r>
      <w:r w:rsidR="002E2DE2" w:rsidRPr="002E2DE2">
        <w:rPr>
          <w:lang w:val="fr-FR"/>
        </w:rPr>
        <w:t>’</w:t>
      </w:r>
      <w:r w:rsidRPr="002E2DE2">
        <w:rPr>
          <w:lang w:val="fr-FR"/>
        </w:rPr>
        <w:t>ajouter un autre passage indiquant que</w:t>
      </w:r>
      <w:r w:rsidRPr="002E2DE2">
        <w:rPr>
          <w:lang w:val="fr-FR"/>
        </w:rPr>
        <w:t xml:space="preserve"> le canister vieilli ne doit </w:t>
      </w:r>
      <w:r w:rsidRPr="002E2DE2">
        <w:rPr>
          <w:lang w:val="fr-FR"/>
        </w:rPr>
        <w:t xml:space="preserve">être installé </w:t>
      </w:r>
      <w:r w:rsidRPr="002E2DE2">
        <w:rPr>
          <w:lang w:val="fr-FR"/>
        </w:rPr>
        <w:t>qu</w:t>
      </w:r>
      <w:r w:rsidR="002E2DE2" w:rsidRPr="002E2DE2">
        <w:rPr>
          <w:lang w:val="fr-FR"/>
        </w:rPr>
        <w:t>’</w:t>
      </w:r>
      <w:r w:rsidRPr="002E2DE2">
        <w:rPr>
          <w:lang w:val="fr-FR"/>
        </w:rPr>
        <w:t xml:space="preserve">avant le </w:t>
      </w:r>
      <w:r w:rsidRPr="002E2DE2">
        <w:rPr>
          <w:lang w:val="fr-FR"/>
        </w:rPr>
        <w:t>début de la première procédure de vidange et de remplissage du réservoir.</w:t>
      </w:r>
    </w:p>
    <w:p w14:paraId="75407990" w14:textId="77777777" w:rsidR="003700D1" w:rsidRPr="002E2DE2" w:rsidRDefault="00E43D81" w:rsidP="002E2DE2">
      <w:pPr>
        <w:pStyle w:val="SingleTxtG"/>
        <w:rPr>
          <w:lang w:val="fr-FR"/>
        </w:rPr>
      </w:pPr>
      <w:r w:rsidRPr="002E2DE2">
        <w:rPr>
          <w:lang w:val="fr-FR"/>
        </w:rPr>
        <w:t>20.</w:t>
      </w:r>
      <w:r w:rsidRPr="002E2DE2">
        <w:rPr>
          <w:lang w:val="fr-FR"/>
        </w:rPr>
        <w:tab/>
        <w:t>Ils ont également confirmé que la mesure de BWC300 ne faisait pas partie</w:t>
      </w:r>
      <w:r w:rsidRPr="002E2DE2">
        <w:rPr>
          <w:lang w:val="fr-FR"/>
        </w:rPr>
        <w:t xml:space="preserve"> du processus de </w:t>
      </w:r>
      <w:r w:rsidRPr="002E2DE2">
        <w:rPr>
          <w:lang w:val="fr-FR"/>
        </w:rPr>
        <w:t>vieillissement</w:t>
      </w:r>
      <w:r w:rsidRPr="002E2DE2">
        <w:rPr>
          <w:lang w:val="fr-FR"/>
        </w:rPr>
        <w:t xml:space="preserve"> du canister. Par </w:t>
      </w:r>
      <w:r w:rsidRPr="002E2DE2">
        <w:rPr>
          <w:lang w:val="fr-FR"/>
        </w:rPr>
        <w:t>conséquent</w:t>
      </w:r>
      <w:r w:rsidRPr="002E2DE2">
        <w:rPr>
          <w:lang w:val="fr-FR"/>
        </w:rPr>
        <w:t>, il a été décidé d</w:t>
      </w:r>
      <w:r w:rsidR="002E2DE2" w:rsidRPr="002E2DE2">
        <w:rPr>
          <w:lang w:val="fr-FR"/>
        </w:rPr>
        <w:t>’</w:t>
      </w:r>
      <w:r w:rsidRPr="002E2DE2">
        <w:rPr>
          <w:lang w:val="fr-FR"/>
        </w:rPr>
        <w:t>ajouter des numéros de paragraphe afin de mieux préciser en quoi consiste le processus de vieillissement.</w:t>
      </w:r>
    </w:p>
    <w:p w14:paraId="45847163" w14:textId="77777777" w:rsidR="003700D1" w:rsidRPr="002E2DE2" w:rsidRDefault="0068586D" w:rsidP="0068586D">
      <w:pPr>
        <w:pStyle w:val="H4G"/>
        <w:rPr>
          <w:lang w:val="fr-FR"/>
        </w:rPr>
      </w:pPr>
      <w:r>
        <w:rPr>
          <w:lang w:val="fr-FR"/>
        </w:rPr>
        <w:tab/>
      </w:r>
      <w:r w:rsidR="00E43D81" w:rsidRPr="002E2DE2">
        <w:rPr>
          <w:lang w:val="fr-FR"/>
        </w:rPr>
        <w:t>3.2</w:t>
      </w:r>
      <w:r w:rsidR="00E43D81" w:rsidRPr="002E2DE2">
        <w:rPr>
          <w:lang w:val="fr-FR"/>
        </w:rPr>
        <w:tab/>
      </w:r>
      <w:r w:rsidR="00E43D81" w:rsidRPr="002E2DE2">
        <w:rPr>
          <w:lang w:val="fr-FR"/>
        </w:rPr>
        <w:t>Clarification et passage en revue des dispositions relatives à l</w:t>
      </w:r>
      <w:r w:rsidR="002E2DE2" w:rsidRPr="002E2DE2">
        <w:rPr>
          <w:lang w:val="fr-FR"/>
        </w:rPr>
        <w:t>’</w:t>
      </w:r>
      <w:r w:rsidR="00E43D81" w:rsidRPr="002E2DE2">
        <w:rPr>
          <w:lang w:val="fr-FR"/>
        </w:rPr>
        <w:t>é</w:t>
      </w:r>
      <w:r w:rsidR="00E43D81" w:rsidRPr="002E2DE2">
        <w:rPr>
          <w:lang w:val="fr-FR"/>
        </w:rPr>
        <w:t>quipement d</w:t>
      </w:r>
      <w:r w:rsidR="002E2DE2" w:rsidRPr="002E2DE2">
        <w:rPr>
          <w:lang w:val="fr-FR"/>
        </w:rPr>
        <w:t>’</w:t>
      </w:r>
      <w:r w:rsidR="00E43D81" w:rsidRPr="002E2DE2">
        <w:rPr>
          <w:lang w:val="fr-FR"/>
        </w:rPr>
        <w:t>essai</w:t>
      </w:r>
    </w:p>
    <w:p w14:paraId="04FEC859" w14:textId="77777777" w:rsidR="003700D1" w:rsidRPr="002E2DE2" w:rsidRDefault="00E43D81" w:rsidP="002E2DE2">
      <w:pPr>
        <w:pStyle w:val="SingleTxtG"/>
        <w:rPr>
          <w:lang w:val="fr-FR"/>
        </w:rPr>
      </w:pPr>
      <w:r w:rsidRPr="002E2DE2">
        <w:rPr>
          <w:lang w:val="fr-FR"/>
        </w:rPr>
        <w:t>21.</w:t>
      </w:r>
      <w:r w:rsidRPr="002E2DE2">
        <w:rPr>
          <w:lang w:val="fr-FR"/>
        </w:rPr>
        <w:tab/>
        <w:t>Lors de la 23</w:t>
      </w:r>
      <w:r w:rsidRPr="00A323DC">
        <w:rPr>
          <w:vertAlign w:val="superscript"/>
          <w:lang w:val="fr-FR"/>
        </w:rPr>
        <w:t>e</w:t>
      </w:r>
      <w:r w:rsidRPr="002E2DE2">
        <w:rPr>
          <w:lang w:val="fr-FR"/>
        </w:rPr>
        <w:t xml:space="preserve"> réunion du groupe de travail informel WLTP, le Japon a mentionné qu</w:t>
      </w:r>
      <w:r w:rsidR="002E2DE2" w:rsidRPr="002E2DE2">
        <w:rPr>
          <w:lang w:val="fr-FR"/>
        </w:rPr>
        <w:t>’</w:t>
      </w:r>
      <w:r w:rsidRPr="002E2DE2">
        <w:rPr>
          <w:lang w:val="fr-FR"/>
        </w:rPr>
        <w:t xml:space="preserve">il </w:t>
      </w:r>
      <w:r w:rsidRPr="002E2DE2">
        <w:rPr>
          <w:lang w:val="fr-FR"/>
        </w:rPr>
        <w:t>conviendrait</w:t>
      </w:r>
      <w:r w:rsidRPr="002E2DE2">
        <w:rPr>
          <w:lang w:val="fr-FR"/>
        </w:rPr>
        <w:t xml:space="preserve"> de corriger la valeur prescrite pour les enceintes à volume variable s</w:t>
      </w:r>
      <w:r w:rsidR="002E2DE2" w:rsidRPr="002E2DE2">
        <w:rPr>
          <w:lang w:val="fr-FR"/>
        </w:rPr>
        <w:t>’</w:t>
      </w:r>
      <w:r w:rsidRPr="002E2DE2">
        <w:rPr>
          <w:lang w:val="fr-FR"/>
        </w:rPr>
        <w:t>agissant du différentiel entre la pression interne de l</w:t>
      </w:r>
      <w:r w:rsidR="002E2DE2" w:rsidRPr="002E2DE2">
        <w:rPr>
          <w:lang w:val="fr-FR"/>
        </w:rPr>
        <w:t>’</w:t>
      </w:r>
      <w:r w:rsidRPr="002E2DE2">
        <w:rPr>
          <w:lang w:val="fr-FR"/>
        </w:rPr>
        <w:t>enceinte</w:t>
      </w:r>
      <w:r w:rsidRPr="002E2DE2">
        <w:rPr>
          <w:lang w:val="fr-FR"/>
        </w:rPr>
        <w:t xml:space="preserve"> et la pression barométrique.</w:t>
      </w:r>
    </w:p>
    <w:p w14:paraId="3D58A898" w14:textId="77777777" w:rsidR="003700D1" w:rsidRPr="002E2DE2" w:rsidRDefault="00E43D81" w:rsidP="002E2DE2">
      <w:pPr>
        <w:pStyle w:val="SingleTxtG"/>
        <w:rPr>
          <w:lang w:val="fr-FR"/>
        </w:rPr>
      </w:pPr>
      <w:r w:rsidRPr="002E2DE2">
        <w:rPr>
          <w:lang w:val="fr-FR"/>
        </w:rPr>
        <w:t>22.</w:t>
      </w:r>
      <w:r w:rsidRPr="002E2DE2">
        <w:rPr>
          <w:lang w:val="fr-FR"/>
        </w:rPr>
        <w:tab/>
        <w:t xml:space="preserve">Le RTM ONU </w:t>
      </w:r>
      <w:r w:rsidR="00A323DC" w:rsidRPr="00A323DC">
        <w:rPr>
          <w:rFonts w:eastAsia="MS Mincho"/>
          <w:lang w:val="fr-FR"/>
        </w:rPr>
        <w:t>n</w:t>
      </w:r>
      <w:r w:rsidR="00A323DC" w:rsidRPr="00A323DC">
        <w:rPr>
          <w:rFonts w:eastAsia="MS Mincho"/>
          <w:vertAlign w:val="superscript"/>
          <w:lang w:val="fr-FR"/>
        </w:rPr>
        <w:t>o</w:t>
      </w:r>
      <w:r w:rsidR="00A323DC">
        <w:rPr>
          <w:lang w:val="fr-FR"/>
        </w:rPr>
        <w:t> </w:t>
      </w:r>
      <w:r w:rsidRPr="002E2DE2">
        <w:rPr>
          <w:lang w:val="fr-FR"/>
        </w:rPr>
        <w:t xml:space="preserve">19 renvoie au Règlement ONU </w:t>
      </w:r>
      <w:r w:rsidR="0015409F" w:rsidRPr="0015409F">
        <w:rPr>
          <w:rFonts w:eastAsia="MS Mincho"/>
          <w:lang w:val="fr-FR"/>
        </w:rPr>
        <w:t>n</w:t>
      </w:r>
      <w:r w:rsidR="0015409F" w:rsidRPr="0015409F">
        <w:rPr>
          <w:rFonts w:eastAsia="MS Mincho"/>
          <w:vertAlign w:val="superscript"/>
          <w:lang w:val="fr-FR"/>
        </w:rPr>
        <w:t>o</w:t>
      </w:r>
      <w:r w:rsidR="0015409F">
        <w:rPr>
          <w:lang w:val="fr-FR"/>
        </w:rPr>
        <w:t> </w:t>
      </w:r>
      <w:r w:rsidRPr="002E2DE2">
        <w:rPr>
          <w:lang w:val="fr-FR"/>
        </w:rPr>
        <w:t>83, qui se fonde sur la réglementation de l</w:t>
      </w:r>
      <w:r w:rsidR="002E2DE2" w:rsidRPr="002E2DE2">
        <w:rPr>
          <w:lang w:val="fr-FR"/>
        </w:rPr>
        <w:t>’</w:t>
      </w:r>
      <w:r w:rsidRPr="002E2DE2">
        <w:rPr>
          <w:lang w:val="fr-FR"/>
        </w:rPr>
        <w:t>EPA. Dans cette réglementation, la valeur limite du différentiel de pression est fixée à ±</w:t>
      </w:r>
      <w:r w:rsidRPr="002E2DE2">
        <w:rPr>
          <w:lang w:val="fr-FR"/>
        </w:rPr>
        <w:t>2,0</w:t>
      </w:r>
      <w:r w:rsidR="00A323DC">
        <w:rPr>
          <w:lang w:val="fr-FR"/>
        </w:rPr>
        <w:t> </w:t>
      </w:r>
      <w:r w:rsidRPr="002E2DE2">
        <w:rPr>
          <w:lang w:val="fr-FR"/>
        </w:rPr>
        <w:t>pouces d</w:t>
      </w:r>
      <w:r w:rsidR="002E2DE2" w:rsidRPr="002E2DE2">
        <w:rPr>
          <w:lang w:val="fr-FR"/>
        </w:rPr>
        <w:t>’</w:t>
      </w:r>
      <w:r w:rsidRPr="002E2DE2">
        <w:rPr>
          <w:lang w:val="fr-FR"/>
        </w:rPr>
        <w:t>eau, ce qui équivaut à enviro</w:t>
      </w:r>
      <w:r w:rsidRPr="002E2DE2">
        <w:rPr>
          <w:lang w:val="fr-FR"/>
        </w:rPr>
        <w:t>n ±</w:t>
      </w:r>
      <w:r w:rsidRPr="002E2DE2">
        <w:rPr>
          <w:lang w:val="fr-FR"/>
        </w:rPr>
        <w:t>0,5</w:t>
      </w:r>
      <w:r w:rsidR="0015409F">
        <w:rPr>
          <w:lang w:val="fr-FR"/>
        </w:rPr>
        <w:t> </w:t>
      </w:r>
      <w:r w:rsidRPr="002E2DE2">
        <w:rPr>
          <w:lang w:val="fr-FR"/>
        </w:rPr>
        <w:t xml:space="preserve">kPa. Or, dans le Règlement ONU </w:t>
      </w:r>
      <w:r w:rsidR="00A323DC" w:rsidRPr="00A323DC">
        <w:rPr>
          <w:rFonts w:eastAsia="MS Mincho"/>
          <w:lang w:val="fr-FR"/>
        </w:rPr>
        <w:t>n</w:t>
      </w:r>
      <w:r w:rsidR="00A323DC" w:rsidRPr="00A323DC">
        <w:rPr>
          <w:rFonts w:eastAsia="MS Mincho"/>
          <w:vertAlign w:val="superscript"/>
          <w:lang w:val="fr-FR"/>
        </w:rPr>
        <w:t>o</w:t>
      </w:r>
      <w:r w:rsidR="00A323DC">
        <w:rPr>
          <w:lang w:val="fr-FR"/>
        </w:rPr>
        <w:t> </w:t>
      </w:r>
      <w:r w:rsidRPr="002E2DE2">
        <w:rPr>
          <w:lang w:val="fr-FR"/>
        </w:rPr>
        <w:t>83, la limite est fixée à ±</w:t>
      </w:r>
      <w:r w:rsidRPr="002E2DE2">
        <w:rPr>
          <w:lang w:val="fr-FR"/>
        </w:rPr>
        <w:t>5 hPa.</w:t>
      </w:r>
    </w:p>
    <w:p w14:paraId="0D4893C8" w14:textId="77777777" w:rsidR="003700D1" w:rsidRPr="002E2DE2" w:rsidRDefault="00E43D81" w:rsidP="002E2DE2">
      <w:pPr>
        <w:pStyle w:val="SingleTxtG"/>
        <w:rPr>
          <w:lang w:val="fr-FR"/>
        </w:rPr>
      </w:pPr>
      <w:r w:rsidRPr="002E2DE2">
        <w:rPr>
          <w:lang w:val="fr-FR"/>
        </w:rPr>
        <w:t>23.</w:t>
      </w:r>
      <w:r w:rsidRPr="002E2DE2">
        <w:rPr>
          <w:lang w:val="fr-FR"/>
        </w:rPr>
        <w:tab/>
        <w:t>Dans un premier temps, les membres de l</w:t>
      </w:r>
      <w:r w:rsidR="002E2DE2" w:rsidRPr="002E2DE2">
        <w:rPr>
          <w:lang w:val="fr-FR"/>
        </w:rPr>
        <w:t>’</w:t>
      </w:r>
      <w:r w:rsidRPr="002E2DE2">
        <w:rPr>
          <w:lang w:val="fr-FR"/>
        </w:rPr>
        <w:t xml:space="preserve">équipe spéciale ont décidé de corriger la valeur dans le RTM ONU </w:t>
      </w:r>
      <w:r w:rsidR="00A323DC" w:rsidRPr="00A323DC">
        <w:rPr>
          <w:rFonts w:eastAsia="MS Mincho"/>
          <w:lang w:val="fr-FR"/>
        </w:rPr>
        <w:t>n</w:t>
      </w:r>
      <w:r w:rsidR="00A323DC" w:rsidRPr="00A323DC">
        <w:rPr>
          <w:rFonts w:eastAsia="MS Mincho"/>
          <w:vertAlign w:val="superscript"/>
          <w:lang w:val="fr-FR"/>
        </w:rPr>
        <w:t>o</w:t>
      </w:r>
      <w:r w:rsidR="00A323DC">
        <w:rPr>
          <w:lang w:val="fr-FR"/>
        </w:rPr>
        <w:t> </w:t>
      </w:r>
      <w:r w:rsidRPr="002E2DE2">
        <w:rPr>
          <w:lang w:val="fr-FR"/>
        </w:rPr>
        <w:t>19. Cependant, afin d</w:t>
      </w:r>
      <w:r w:rsidR="002E2DE2" w:rsidRPr="002E2DE2">
        <w:rPr>
          <w:lang w:val="fr-FR"/>
        </w:rPr>
        <w:t>’</w:t>
      </w:r>
      <w:r w:rsidRPr="002E2DE2">
        <w:rPr>
          <w:lang w:val="fr-FR"/>
        </w:rPr>
        <w:t>éviter que les prescriptions pour l</w:t>
      </w:r>
      <w:r w:rsidR="002E2DE2" w:rsidRPr="002E2DE2">
        <w:rPr>
          <w:lang w:val="fr-FR"/>
        </w:rPr>
        <w:t>’</w:t>
      </w:r>
      <w:r w:rsidRPr="002E2DE2">
        <w:rPr>
          <w:lang w:val="fr-FR"/>
        </w:rPr>
        <w:t>équipemen</w:t>
      </w:r>
      <w:r w:rsidRPr="002E2DE2">
        <w:rPr>
          <w:lang w:val="fr-FR"/>
        </w:rPr>
        <w:t>t d</w:t>
      </w:r>
      <w:r w:rsidR="002E2DE2" w:rsidRPr="002E2DE2">
        <w:rPr>
          <w:lang w:val="fr-FR"/>
        </w:rPr>
        <w:t>’</w:t>
      </w:r>
      <w:r w:rsidRPr="002E2DE2">
        <w:rPr>
          <w:lang w:val="fr-FR"/>
        </w:rPr>
        <w:t xml:space="preserve">essai soient différentes dans le RTM ONU </w:t>
      </w:r>
      <w:r w:rsidR="00A323DC" w:rsidRPr="00A323DC">
        <w:rPr>
          <w:rFonts w:eastAsia="MS Mincho"/>
          <w:lang w:val="fr-FR"/>
        </w:rPr>
        <w:t>n</w:t>
      </w:r>
      <w:r w:rsidR="00A323DC" w:rsidRPr="00A323DC">
        <w:rPr>
          <w:rFonts w:eastAsia="MS Mincho"/>
          <w:vertAlign w:val="superscript"/>
          <w:lang w:val="fr-FR"/>
        </w:rPr>
        <w:t>o</w:t>
      </w:r>
      <w:r w:rsidR="00A323DC">
        <w:rPr>
          <w:lang w:val="fr-FR"/>
        </w:rPr>
        <w:t> </w:t>
      </w:r>
      <w:r w:rsidRPr="002E2DE2">
        <w:rPr>
          <w:lang w:val="fr-FR"/>
        </w:rPr>
        <w:t xml:space="preserve">19 et le Règlement ONU </w:t>
      </w:r>
      <w:r w:rsidR="00A323DC" w:rsidRPr="00A323DC">
        <w:rPr>
          <w:rFonts w:eastAsia="MS Mincho"/>
          <w:lang w:val="fr-FR"/>
        </w:rPr>
        <w:t>n</w:t>
      </w:r>
      <w:r w:rsidR="00A323DC" w:rsidRPr="00A323DC">
        <w:rPr>
          <w:rFonts w:eastAsia="MS Mincho"/>
          <w:vertAlign w:val="superscript"/>
          <w:lang w:val="fr-FR"/>
        </w:rPr>
        <w:t>o</w:t>
      </w:r>
      <w:r w:rsidR="00A323DC">
        <w:rPr>
          <w:lang w:val="fr-FR"/>
        </w:rPr>
        <w:t> </w:t>
      </w:r>
      <w:r w:rsidRPr="002E2DE2">
        <w:rPr>
          <w:lang w:val="fr-FR"/>
        </w:rPr>
        <w:t>83, l</w:t>
      </w:r>
      <w:r w:rsidR="002E2DE2" w:rsidRPr="002E2DE2">
        <w:rPr>
          <w:lang w:val="fr-FR"/>
        </w:rPr>
        <w:t>’</w:t>
      </w:r>
      <w:r w:rsidRPr="002E2DE2">
        <w:rPr>
          <w:lang w:val="fr-FR"/>
        </w:rPr>
        <w:t>OICA (Organisation internationale des constructeurs d</w:t>
      </w:r>
      <w:r w:rsidR="002E2DE2" w:rsidRPr="002E2DE2">
        <w:rPr>
          <w:lang w:val="fr-FR"/>
        </w:rPr>
        <w:t>’</w:t>
      </w:r>
      <w:r w:rsidRPr="002E2DE2">
        <w:rPr>
          <w:lang w:val="fr-FR"/>
        </w:rPr>
        <w:t xml:space="preserve">automobiles) a demandé que le Règlement ONU </w:t>
      </w:r>
      <w:r w:rsidR="00A323DC" w:rsidRPr="00A323DC">
        <w:rPr>
          <w:rFonts w:eastAsia="MS Mincho"/>
          <w:lang w:val="fr-FR"/>
        </w:rPr>
        <w:t>n</w:t>
      </w:r>
      <w:r w:rsidR="00A323DC" w:rsidRPr="00A323DC">
        <w:rPr>
          <w:rFonts w:eastAsia="MS Mincho"/>
          <w:vertAlign w:val="superscript"/>
          <w:lang w:val="fr-FR"/>
        </w:rPr>
        <w:t>o</w:t>
      </w:r>
      <w:r w:rsidR="00A323DC">
        <w:rPr>
          <w:lang w:val="fr-FR"/>
        </w:rPr>
        <w:t> </w:t>
      </w:r>
      <w:r w:rsidRPr="002E2DE2">
        <w:rPr>
          <w:lang w:val="fr-FR"/>
        </w:rPr>
        <w:t>83</w:t>
      </w:r>
      <w:r w:rsidRPr="002E2DE2">
        <w:rPr>
          <w:lang w:val="fr-FR"/>
        </w:rPr>
        <w:t xml:space="preserve"> soit lui aussi modifié. D</w:t>
      </w:r>
      <w:r w:rsidR="002E2DE2" w:rsidRPr="002E2DE2">
        <w:rPr>
          <w:lang w:val="fr-FR"/>
        </w:rPr>
        <w:t>’</w:t>
      </w:r>
      <w:r w:rsidRPr="002E2DE2">
        <w:rPr>
          <w:lang w:val="fr-FR"/>
        </w:rPr>
        <w:t>autres prescriptions relatives à l</w:t>
      </w:r>
      <w:r w:rsidR="002E2DE2" w:rsidRPr="002E2DE2">
        <w:rPr>
          <w:lang w:val="fr-FR"/>
        </w:rPr>
        <w:t>’</w:t>
      </w:r>
      <w:r w:rsidRPr="002E2DE2">
        <w:rPr>
          <w:lang w:val="fr-FR"/>
        </w:rPr>
        <w:t xml:space="preserve">équipement </w:t>
      </w:r>
      <w:r w:rsidRPr="002E2DE2">
        <w:rPr>
          <w:lang w:val="fr-FR"/>
        </w:rPr>
        <w:t>d</w:t>
      </w:r>
      <w:r w:rsidR="002E2DE2" w:rsidRPr="002E2DE2">
        <w:rPr>
          <w:lang w:val="fr-FR"/>
        </w:rPr>
        <w:t>’</w:t>
      </w:r>
      <w:r w:rsidRPr="002E2DE2">
        <w:rPr>
          <w:lang w:val="fr-FR"/>
        </w:rPr>
        <w:t xml:space="preserve">essai qui figuraient dans la dernière version du RTM ONU </w:t>
      </w:r>
      <w:r w:rsidR="00A323DC" w:rsidRPr="00A323DC">
        <w:rPr>
          <w:rFonts w:eastAsia="MS Mincho"/>
          <w:lang w:val="fr-FR"/>
        </w:rPr>
        <w:t>n</w:t>
      </w:r>
      <w:r w:rsidR="00A323DC" w:rsidRPr="00A323DC">
        <w:rPr>
          <w:rFonts w:eastAsia="MS Mincho"/>
          <w:vertAlign w:val="superscript"/>
          <w:lang w:val="fr-FR"/>
        </w:rPr>
        <w:t>o</w:t>
      </w:r>
      <w:r w:rsidR="00A323DC">
        <w:rPr>
          <w:lang w:val="fr-FR"/>
        </w:rPr>
        <w:t> </w:t>
      </w:r>
      <w:r w:rsidRPr="002E2DE2">
        <w:rPr>
          <w:lang w:val="fr-FR"/>
        </w:rPr>
        <w:t xml:space="preserve">19 et </w:t>
      </w:r>
      <w:r w:rsidRPr="002E2DE2">
        <w:rPr>
          <w:lang w:val="fr-FR"/>
        </w:rPr>
        <w:lastRenderedPageBreak/>
        <w:t xml:space="preserve">corrigeaient les prescriptions du Règlement ONU </w:t>
      </w:r>
      <w:r w:rsidR="0068586D" w:rsidRPr="0068586D">
        <w:rPr>
          <w:rFonts w:eastAsia="MS Mincho"/>
          <w:lang w:val="fr-FR"/>
        </w:rPr>
        <w:t>n</w:t>
      </w:r>
      <w:r w:rsidR="0068586D" w:rsidRPr="0068586D">
        <w:rPr>
          <w:rFonts w:eastAsia="MS Mincho"/>
          <w:vertAlign w:val="superscript"/>
          <w:lang w:val="fr-FR"/>
        </w:rPr>
        <w:t>o</w:t>
      </w:r>
      <w:r w:rsidR="0068586D">
        <w:rPr>
          <w:lang w:val="fr-FR"/>
        </w:rPr>
        <w:t> </w:t>
      </w:r>
      <w:r w:rsidRPr="002E2DE2">
        <w:rPr>
          <w:lang w:val="fr-FR"/>
        </w:rPr>
        <w:t xml:space="preserve">83 ont été supprimées du RTM ONU </w:t>
      </w:r>
      <w:r w:rsidR="00DB3727" w:rsidRPr="00DB3727">
        <w:rPr>
          <w:rFonts w:eastAsia="MS Mincho"/>
          <w:lang w:val="fr-FR"/>
        </w:rPr>
        <w:t>n</w:t>
      </w:r>
      <w:r w:rsidR="00DB3727" w:rsidRPr="00DB3727">
        <w:rPr>
          <w:rFonts w:eastAsia="MS Mincho"/>
          <w:vertAlign w:val="superscript"/>
          <w:lang w:val="fr-FR"/>
        </w:rPr>
        <w:t>o</w:t>
      </w:r>
      <w:r w:rsidR="00DB3727">
        <w:rPr>
          <w:lang w:val="fr-FR"/>
        </w:rPr>
        <w:t> </w:t>
      </w:r>
      <w:r w:rsidRPr="002E2DE2">
        <w:rPr>
          <w:lang w:val="fr-FR"/>
        </w:rPr>
        <w:t xml:space="preserve">19 et devraient être introduites dans le Règlement ONU </w:t>
      </w:r>
      <w:r w:rsidR="0068586D" w:rsidRPr="0068586D">
        <w:rPr>
          <w:rFonts w:eastAsia="MS Mincho"/>
          <w:lang w:val="fr-FR"/>
        </w:rPr>
        <w:t>n</w:t>
      </w:r>
      <w:r w:rsidR="0068586D" w:rsidRPr="0068586D">
        <w:rPr>
          <w:rFonts w:eastAsia="MS Mincho"/>
          <w:vertAlign w:val="superscript"/>
          <w:lang w:val="fr-FR"/>
        </w:rPr>
        <w:t>o</w:t>
      </w:r>
      <w:r w:rsidR="0068586D">
        <w:rPr>
          <w:lang w:val="fr-FR"/>
        </w:rPr>
        <w:t> </w:t>
      </w:r>
      <w:r w:rsidRPr="002E2DE2">
        <w:rPr>
          <w:lang w:val="fr-FR"/>
        </w:rPr>
        <w:t xml:space="preserve">83 à la </w:t>
      </w:r>
      <w:r w:rsidRPr="002E2DE2">
        <w:rPr>
          <w:lang w:val="fr-FR"/>
        </w:rPr>
        <w:t>soixante-dix-huitième</w:t>
      </w:r>
      <w:r w:rsidRPr="002E2DE2">
        <w:rPr>
          <w:lang w:val="fr-FR"/>
        </w:rPr>
        <w:t xml:space="preserve"> session du GR</w:t>
      </w:r>
      <w:r w:rsidRPr="002E2DE2">
        <w:rPr>
          <w:lang w:val="fr-FR"/>
        </w:rPr>
        <w:t>PE.</w:t>
      </w:r>
    </w:p>
    <w:p w14:paraId="345A1ADA" w14:textId="77777777" w:rsidR="003700D1" w:rsidRPr="002E2DE2" w:rsidRDefault="00E43D81" w:rsidP="002E2DE2">
      <w:pPr>
        <w:pStyle w:val="SingleTxtG"/>
        <w:rPr>
          <w:lang w:val="fr-FR"/>
        </w:rPr>
      </w:pPr>
      <w:r w:rsidRPr="002E2DE2">
        <w:rPr>
          <w:lang w:val="fr-FR"/>
        </w:rPr>
        <w:t>24.</w:t>
      </w:r>
      <w:r w:rsidRPr="002E2DE2">
        <w:rPr>
          <w:lang w:val="fr-FR"/>
        </w:rPr>
        <w:tab/>
        <w:t>Au cours de l</w:t>
      </w:r>
      <w:r w:rsidR="002E2DE2" w:rsidRPr="002E2DE2">
        <w:rPr>
          <w:lang w:val="fr-FR"/>
        </w:rPr>
        <w:t>’</w:t>
      </w:r>
      <w:r w:rsidRPr="002E2DE2">
        <w:rPr>
          <w:lang w:val="fr-FR"/>
        </w:rPr>
        <w:t>examen des dispositions relatives à l</w:t>
      </w:r>
      <w:r w:rsidR="002E2DE2" w:rsidRPr="002E2DE2">
        <w:rPr>
          <w:lang w:val="fr-FR"/>
        </w:rPr>
        <w:t>’</w:t>
      </w:r>
      <w:r w:rsidRPr="002E2DE2">
        <w:rPr>
          <w:lang w:val="fr-FR"/>
        </w:rPr>
        <w:t>équipement d</w:t>
      </w:r>
      <w:r w:rsidR="002E2DE2" w:rsidRPr="002E2DE2">
        <w:rPr>
          <w:lang w:val="fr-FR"/>
        </w:rPr>
        <w:t>’</w:t>
      </w:r>
      <w:r w:rsidRPr="002E2DE2">
        <w:rPr>
          <w:lang w:val="fr-FR"/>
        </w:rPr>
        <w:t>essai, un membre de l</w:t>
      </w:r>
      <w:r w:rsidR="002E2DE2" w:rsidRPr="002E2DE2">
        <w:rPr>
          <w:lang w:val="fr-FR"/>
        </w:rPr>
        <w:t>’</w:t>
      </w:r>
      <w:r w:rsidRPr="002E2DE2">
        <w:rPr>
          <w:lang w:val="fr-FR"/>
        </w:rPr>
        <w:t>équipe spécial</w:t>
      </w:r>
      <w:r w:rsidRPr="002E2DE2">
        <w:rPr>
          <w:lang w:val="fr-FR"/>
        </w:rPr>
        <w:t>e</w:t>
      </w:r>
      <w:r w:rsidRPr="002E2DE2">
        <w:rPr>
          <w:lang w:val="fr-FR"/>
        </w:rPr>
        <w:t xml:space="preserve"> a </w:t>
      </w:r>
      <w:r w:rsidRPr="002E2DE2">
        <w:rPr>
          <w:lang w:val="fr-FR"/>
        </w:rPr>
        <w:t>affirmé</w:t>
      </w:r>
      <w:r w:rsidRPr="002E2DE2">
        <w:rPr>
          <w:lang w:val="fr-FR"/>
        </w:rPr>
        <w:t xml:space="preserve"> que les prescriptions de l</w:t>
      </w:r>
      <w:r w:rsidR="002E2DE2" w:rsidRPr="002E2DE2">
        <w:rPr>
          <w:lang w:val="fr-FR"/>
        </w:rPr>
        <w:t>’</w:t>
      </w:r>
      <w:r w:rsidRPr="002E2DE2">
        <w:rPr>
          <w:lang w:val="fr-FR"/>
        </w:rPr>
        <w:t>ancien paragraphe 4.8 de l</w:t>
      </w:r>
      <w:r w:rsidR="002E2DE2" w:rsidRPr="002E2DE2">
        <w:rPr>
          <w:lang w:val="fr-FR"/>
        </w:rPr>
        <w:t>’</w:t>
      </w:r>
      <w:r w:rsidRPr="002E2DE2">
        <w:rPr>
          <w:lang w:val="fr-FR"/>
        </w:rPr>
        <w:t>annexe 1 de l</w:t>
      </w:r>
      <w:r w:rsidR="002E2DE2" w:rsidRPr="002E2DE2">
        <w:rPr>
          <w:lang w:val="fr-FR"/>
        </w:rPr>
        <w:t>’</w:t>
      </w:r>
      <w:r w:rsidRPr="002E2DE2">
        <w:rPr>
          <w:lang w:val="fr-FR"/>
        </w:rPr>
        <w:t>amendement 1 (Équipement additionnel) et de l</w:t>
      </w:r>
      <w:r w:rsidR="002E2DE2" w:rsidRPr="002E2DE2">
        <w:rPr>
          <w:lang w:val="fr-FR"/>
        </w:rPr>
        <w:t>’</w:t>
      </w:r>
      <w:r w:rsidRPr="002E2DE2">
        <w:rPr>
          <w:lang w:val="fr-FR"/>
        </w:rPr>
        <w:t>ancien paragraphe 4.9</w:t>
      </w:r>
      <w:r w:rsidRPr="002E2DE2">
        <w:rPr>
          <w:lang w:val="fr-FR"/>
        </w:rPr>
        <w:t xml:space="preserve"> de l</w:t>
      </w:r>
      <w:r w:rsidR="002E2DE2" w:rsidRPr="002E2DE2">
        <w:rPr>
          <w:lang w:val="fr-FR"/>
        </w:rPr>
        <w:t>’</w:t>
      </w:r>
      <w:r w:rsidRPr="002E2DE2">
        <w:rPr>
          <w:lang w:val="fr-FR"/>
        </w:rPr>
        <w:t>annexe 1 de l</w:t>
      </w:r>
      <w:r w:rsidR="002E2DE2" w:rsidRPr="002E2DE2">
        <w:rPr>
          <w:lang w:val="fr-FR"/>
        </w:rPr>
        <w:t>’</w:t>
      </w:r>
      <w:r w:rsidRPr="002E2DE2">
        <w:rPr>
          <w:lang w:val="fr-FR"/>
        </w:rPr>
        <w:t>amendement 1 (nouveau paragraphe 4.8 dans l</w:t>
      </w:r>
      <w:r w:rsidR="002E2DE2" w:rsidRPr="002E2DE2">
        <w:rPr>
          <w:lang w:val="fr-FR"/>
        </w:rPr>
        <w:t>’</w:t>
      </w:r>
      <w:r w:rsidRPr="002E2DE2">
        <w:rPr>
          <w:lang w:val="fr-FR"/>
        </w:rPr>
        <w:t>amendement 2) (Balance de pesage du canister) n</w:t>
      </w:r>
      <w:r w:rsidR="002E2DE2" w:rsidRPr="002E2DE2">
        <w:rPr>
          <w:lang w:val="fr-FR"/>
        </w:rPr>
        <w:t>’</w:t>
      </w:r>
      <w:r w:rsidRPr="002E2DE2">
        <w:rPr>
          <w:lang w:val="fr-FR"/>
        </w:rPr>
        <w:t>étaient pas assez précises.</w:t>
      </w:r>
    </w:p>
    <w:p w14:paraId="7FC4E3B3" w14:textId="77777777" w:rsidR="003700D1" w:rsidRPr="002E2DE2" w:rsidRDefault="00E43D81" w:rsidP="002E2DE2">
      <w:pPr>
        <w:pStyle w:val="SingleTxtG"/>
        <w:rPr>
          <w:lang w:val="fr-FR"/>
        </w:rPr>
      </w:pPr>
      <w:r w:rsidRPr="002E2DE2">
        <w:rPr>
          <w:lang w:val="fr-FR"/>
        </w:rPr>
        <w:t>25.</w:t>
      </w:r>
      <w:r w:rsidRPr="002E2DE2">
        <w:rPr>
          <w:lang w:val="fr-FR"/>
        </w:rPr>
        <w:tab/>
        <w:t>Selon l</w:t>
      </w:r>
      <w:r w:rsidR="002E2DE2" w:rsidRPr="002E2DE2">
        <w:rPr>
          <w:lang w:val="fr-FR"/>
        </w:rPr>
        <w:t>’</w:t>
      </w:r>
      <w:r w:rsidRPr="002E2DE2">
        <w:rPr>
          <w:lang w:val="fr-FR"/>
        </w:rPr>
        <w:t>ancien paragraphe 4.8 de l</w:t>
      </w:r>
      <w:r w:rsidR="002E2DE2" w:rsidRPr="002E2DE2">
        <w:rPr>
          <w:lang w:val="fr-FR"/>
        </w:rPr>
        <w:t>’</w:t>
      </w:r>
      <w:r w:rsidRPr="002E2DE2">
        <w:rPr>
          <w:lang w:val="fr-FR"/>
        </w:rPr>
        <w:t>annexe 1 de l</w:t>
      </w:r>
      <w:r w:rsidR="002E2DE2" w:rsidRPr="002E2DE2">
        <w:rPr>
          <w:lang w:val="fr-FR"/>
        </w:rPr>
        <w:t>’</w:t>
      </w:r>
      <w:r w:rsidRPr="002E2DE2">
        <w:rPr>
          <w:lang w:val="fr-FR"/>
        </w:rPr>
        <w:t>amendement 1 (Équipement additionnel), l</w:t>
      </w:r>
      <w:r w:rsidR="002E2DE2" w:rsidRPr="002E2DE2">
        <w:rPr>
          <w:lang w:val="fr-FR"/>
        </w:rPr>
        <w:t>’</w:t>
      </w:r>
      <w:r w:rsidRPr="002E2DE2">
        <w:rPr>
          <w:lang w:val="fr-FR"/>
        </w:rPr>
        <w:t>humidité absolue devai</w:t>
      </w:r>
      <w:r w:rsidRPr="002E2DE2">
        <w:rPr>
          <w:lang w:val="fr-FR"/>
        </w:rPr>
        <w:t>t être mesurée avec une certaine précision. Puisque l</w:t>
      </w:r>
      <w:r w:rsidR="002E2DE2" w:rsidRPr="002E2DE2">
        <w:rPr>
          <w:lang w:val="fr-FR"/>
        </w:rPr>
        <w:t>’</w:t>
      </w:r>
      <w:r w:rsidRPr="002E2DE2">
        <w:rPr>
          <w:lang w:val="fr-FR"/>
        </w:rPr>
        <w:t>humidité n</w:t>
      </w:r>
      <w:r w:rsidR="002E2DE2" w:rsidRPr="002E2DE2">
        <w:rPr>
          <w:lang w:val="fr-FR"/>
        </w:rPr>
        <w:t>’</w:t>
      </w:r>
      <w:r w:rsidRPr="002E2DE2">
        <w:rPr>
          <w:lang w:val="fr-FR"/>
        </w:rPr>
        <w:t>est pas mesurée au cours de l</w:t>
      </w:r>
      <w:r w:rsidR="002E2DE2" w:rsidRPr="002E2DE2">
        <w:rPr>
          <w:lang w:val="fr-FR"/>
        </w:rPr>
        <w:t>’</w:t>
      </w:r>
      <w:r w:rsidRPr="002E2DE2">
        <w:rPr>
          <w:lang w:val="fr-FR"/>
        </w:rPr>
        <w:t>essai d</w:t>
      </w:r>
      <w:r w:rsidR="002E2DE2" w:rsidRPr="002E2DE2">
        <w:rPr>
          <w:lang w:val="fr-FR"/>
        </w:rPr>
        <w:t>’</w:t>
      </w:r>
      <w:r w:rsidRPr="002E2DE2">
        <w:rPr>
          <w:lang w:val="fr-FR"/>
        </w:rPr>
        <w:t>émission par évaporation, les membres de l</w:t>
      </w:r>
      <w:r w:rsidR="002E2DE2" w:rsidRPr="002E2DE2">
        <w:rPr>
          <w:lang w:val="fr-FR"/>
        </w:rPr>
        <w:t>’</w:t>
      </w:r>
      <w:r w:rsidRPr="002E2DE2">
        <w:rPr>
          <w:lang w:val="fr-FR"/>
        </w:rPr>
        <w:t>équipe spéciale ont décidé de supprimer le paragraphe dans son intégralité.</w:t>
      </w:r>
    </w:p>
    <w:p w14:paraId="3F60474F" w14:textId="77777777" w:rsidR="003700D1" w:rsidRPr="002E2DE2" w:rsidRDefault="00E43D81" w:rsidP="002E2DE2">
      <w:pPr>
        <w:pStyle w:val="SingleTxtG"/>
        <w:rPr>
          <w:lang w:val="fr-FR"/>
        </w:rPr>
      </w:pPr>
      <w:r w:rsidRPr="002E2DE2">
        <w:rPr>
          <w:lang w:val="fr-FR"/>
        </w:rPr>
        <w:t>26.</w:t>
      </w:r>
      <w:r w:rsidRPr="002E2DE2">
        <w:rPr>
          <w:lang w:val="fr-FR"/>
        </w:rPr>
        <w:tab/>
        <w:t>Dans l</w:t>
      </w:r>
      <w:r w:rsidR="002E2DE2" w:rsidRPr="002E2DE2">
        <w:rPr>
          <w:lang w:val="fr-FR"/>
        </w:rPr>
        <w:t>’</w:t>
      </w:r>
      <w:r w:rsidRPr="002E2DE2">
        <w:rPr>
          <w:lang w:val="fr-FR"/>
        </w:rPr>
        <w:t>ancien paragraphe 4.9 d</w:t>
      </w:r>
      <w:r w:rsidRPr="002E2DE2">
        <w:rPr>
          <w:lang w:val="fr-FR"/>
        </w:rPr>
        <w:t>e l</w:t>
      </w:r>
      <w:r w:rsidR="002E2DE2" w:rsidRPr="002E2DE2">
        <w:rPr>
          <w:lang w:val="fr-FR"/>
        </w:rPr>
        <w:t>’</w:t>
      </w:r>
      <w:r w:rsidRPr="002E2DE2">
        <w:rPr>
          <w:lang w:val="fr-FR"/>
        </w:rPr>
        <w:t>annexe 1 de l</w:t>
      </w:r>
      <w:r w:rsidR="002E2DE2" w:rsidRPr="002E2DE2">
        <w:rPr>
          <w:lang w:val="fr-FR"/>
        </w:rPr>
        <w:t>’</w:t>
      </w:r>
      <w:r w:rsidRPr="002E2DE2">
        <w:rPr>
          <w:lang w:val="fr-FR"/>
        </w:rPr>
        <w:t>amendement 1 (nouveau paragraphe</w:t>
      </w:r>
      <w:r w:rsidR="00BC09DD">
        <w:rPr>
          <w:lang w:val="fr-FR"/>
        </w:rPr>
        <w:t> </w:t>
      </w:r>
      <w:r w:rsidRPr="002E2DE2">
        <w:rPr>
          <w:lang w:val="fr-FR"/>
        </w:rPr>
        <w:t>4.8 dans l</w:t>
      </w:r>
      <w:r w:rsidR="002E2DE2" w:rsidRPr="002E2DE2">
        <w:rPr>
          <w:lang w:val="fr-FR"/>
        </w:rPr>
        <w:t>’</w:t>
      </w:r>
      <w:r w:rsidRPr="002E2DE2">
        <w:rPr>
          <w:lang w:val="fr-FR"/>
        </w:rPr>
        <w:t>amendement 2) (Balance de pesage du canister), il n</w:t>
      </w:r>
      <w:r w:rsidR="002E2DE2" w:rsidRPr="002E2DE2">
        <w:rPr>
          <w:lang w:val="fr-FR"/>
        </w:rPr>
        <w:t>’</w:t>
      </w:r>
      <w:r w:rsidRPr="002E2DE2">
        <w:rPr>
          <w:lang w:val="fr-FR"/>
        </w:rPr>
        <w:t>était pas dit clairement à quoi devait servir la balance en question. Cette prescription avait été ajoutée à l</w:t>
      </w:r>
      <w:r w:rsidR="002E2DE2" w:rsidRPr="002E2DE2">
        <w:rPr>
          <w:lang w:val="fr-FR"/>
        </w:rPr>
        <w:t>’</w:t>
      </w:r>
      <w:r w:rsidRPr="002E2DE2">
        <w:rPr>
          <w:lang w:val="fr-FR"/>
        </w:rPr>
        <w:t>amendement 1 pour clarifier les</w:t>
      </w:r>
      <w:r w:rsidRPr="002E2DE2">
        <w:rPr>
          <w:lang w:val="fr-FR"/>
        </w:rPr>
        <w:t xml:space="preserve"> dispositions relatives à la pesée du canister ayant capté le trop-plein de pertes liées à la dépressurisation. Puisque le poids du canister ne doit pas varier dans les limites de tolérance de ±0,5 g, le degré de précision requis pour la balance</w:t>
      </w:r>
      <w:r w:rsidRPr="002E2DE2">
        <w:rPr>
          <w:lang w:val="fr-FR"/>
        </w:rPr>
        <w:t xml:space="preserve"> a été défi</w:t>
      </w:r>
      <w:r w:rsidRPr="002E2DE2">
        <w:rPr>
          <w:lang w:val="fr-FR"/>
        </w:rPr>
        <w:t>ni</w:t>
      </w:r>
      <w:r w:rsidRPr="002E2DE2">
        <w:rPr>
          <w:lang w:val="fr-FR"/>
        </w:rPr>
        <w:t xml:space="preserve">. Cependant, le libellé </w:t>
      </w:r>
      <w:r w:rsidRPr="002E2DE2">
        <w:rPr>
          <w:lang w:val="fr-FR"/>
        </w:rPr>
        <w:t>pouvant</w:t>
      </w:r>
      <w:r w:rsidRPr="002E2DE2">
        <w:rPr>
          <w:lang w:val="fr-FR"/>
        </w:rPr>
        <w:t xml:space="preserve"> laisser croire que cette prescription s</w:t>
      </w:r>
      <w:r w:rsidR="002E2DE2" w:rsidRPr="002E2DE2">
        <w:rPr>
          <w:lang w:val="fr-FR"/>
        </w:rPr>
        <w:t>’</w:t>
      </w:r>
      <w:r w:rsidRPr="002E2DE2">
        <w:rPr>
          <w:lang w:val="fr-FR"/>
        </w:rPr>
        <w:t>applique à toutes les balances, notamment à celle servant pour mesure</w:t>
      </w:r>
      <w:r w:rsidRPr="002E2DE2">
        <w:rPr>
          <w:lang w:val="fr-FR"/>
        </w:rPr>
        <w:t>r une percée de 2</w:t>
      </w:r>
      <w:r w:rsidR="00D66033">
        <w:rPr>
          <w:lang w:val="fr-FR"/>
        </w:rPr>
        <w:t> </w:t>
      </w:r>
      <w:r w:rsidRPr="002E2DE2">
        <w:rPr>
          <w:lang w:val="fr-FR"/>
        </w:rPr>
        <w:t>g, l</w:t>
      </w:r>
      <w:r w:rsidRPr="002E2DE2">
        <w:rPr>
          <w:lang w:val="fr-FR"/>
        </w:rPr>
        <w:t>es membres de l</w:t>
      </w:r>
      <w:r w:rsidR="002E2DE2" w:rsidRPr="002E2DE2">
        <w:rPr>
          <w:lang w:val="fr-FR"/>
        </w:rPr>
        <w:t>’</w:t>
      </w:r>
      <w:r w:rsidRPr="002E2DE2">
        <w:rPr>
          <w:lang w:val="fr-FR"/>
        </w:rPr>
        <w:t>équipe spéciale ont décidé de clarifier le texte.</w:t>
      </w:r>
    </w:p>
    <w:p w14:paraId="6B9C7026" w14:textId="77777777" w:rsidR="003700D1" w:rsidRPr="002E2DE2" w:rsidRDefault="00BC09DD" w:rsidP="00BC09DD">
      <w:pPr>
        <w:pStyle w:val="H4G"/>
        <w:rPr>
          <w:lang w:val="fr-FR"/>
        </w:rPr>
      </w:pPr>
      <w:r>
        <w:rPr>
          <w:lang w:val="fr-FR"/>
        </w:rPr>
        <w:tab/>
      </w:r>
      <w:r w:rsidR="00E43D81" w:rsidRPr="002E2DE2">
        <w:rPr>
          <w:lang w:val="fr-FR"/>
        </w:rPr>
        <w:t>3.3</w:t>
      </w:r>
      <w:r w:rsidR="00E43D81" w:rsidRPr="002E2DE2">
        <w:rPr>
          <w:lang w:val="fr-FR"/>
        </w:rPr>
        <w:tab/>
        <w:t>Clarification et pas</w:t>
      </w:r>
      <w:r w:rsidR="00E43D81" w:rsidRPr="002E2DE2">
        <w:rPr>
          <w:lang w:val="fr-FR"/>
        </w:rPr>
        <w:t>sage en revue des prescriptions relatives à la définition d</w:t>
      </w:r>
      <w:r w:rsidR="002E2DE2" w:rsidRPr="002E2DE2">
        <w:rPr>
          <w:lang w:val="fr-FR"/>
        </w:rPr>
        <w:t>’</w:t>
      </w:r>
      <w:r w:rsidR="00E43D81" w:rsidRPr="002E2DE2">
        <w:rPr>
          <w:lang w:val="fr-FR"/>
        </w:rPr>
        <w:t xml:space="preserve">une famille </w:t>
      </w:r>
      <w:r>
        <w:rPr>
          <w:lang w:val="fr-FR"/>
        </w:rPr>
        <w:br/>
      </w:r>
      <w:r w:rsidR="00E43D81" w:rsidRPr="002E2DE2">
        <w:rPr>
          <w:lang w:val="fr-FR"/>
        </w:rPr>
        <w:t xml:space="preserve">de véhicules du point de vue des émissions par évaporation </w:t>
      </w:r>
    </w:p>
    <w:p w14:paraId="6B874276" w14:textId="77777777" w:rsidR="003700D1" w:rsidRPr="002E2DE2" w:rsidRDefault="00E43D81" w:rsidP="002E2DE2">
      <w:pPr>
        <w:pStyle w:val="SingleTxtG"/>
        <w:rPr>
          <w:lang w:val="fr-FR"/>
        </w:rPr>
      </w:pPr>
      <w:r w:rsidRPr="002E2DE2">
        <w:rPr>
          <w:lang w:val="fr-FR"/>
        </w:rPr>
        <w:t>27.</w:t>
      </w:r>
      <w:r w:rsidRPr="002E2DE2">
        <w:rPr>
          <w:lang w:val="fr-FR"/>
        </w:rPr>
        <w:tab/>
        <w:t>Lors de la 23</w:t>
      </w:r>
      <w:r w:rsidRPr="00703CCE">
        <w:rPr>
          <w:vertAlign w:val="superscript"/>
          <w:lang w:val="fr-FR"/>
        </w:rPr>
        <w:t>e</w:t>
      </w:r>
      <w:r w:rsidRPr="002E2DE2">
        <w:rPr>
          <w:lang w:val="fr-FR"/>
        </w:rPr>
        <w:t xml:space="preserve"> réunion du groupe de travail informel WLTP, le Japon a déclaré que la prescription énoncée à l</w:t>
      </w:r>
      <w:r w:rsidR="002E2DE2" w:rsidRPr="002E2DE2">
        <w:rPr>
          <w:lang w:val="fr-FR"/>
        </w:rPr>
        <w:t>’</w:t>
      </w:r>
      <w:r w:rsidRPr="002E2DE2">
        <w:rPr>
          <w:lang w:val="fr-FR"/>
        </w:rPr>
        <w:t xml:space="preserve">alinéa b) </w:t>
      </w:r>
      <w:r w:rsidRPr="002E2DE2">
        <w:rPr>
          <w:lang w:val="fr-FR"/>
        </w:rPr>
        <w:t xml:space="preserve">du paragraphe 5.5.1 était difficile à comprendre. Selon ce paragraphe, les matériaux des tuyaux flexibles de vapeur et des tuyaux de carburant et la méthode de raccordement doivent être identiques pour que des véhicules soient considérés comme appartenant </w:t>
      </w:r>
      <w:r w:rsidRPr="002E2DE2">
        <w:rPr>
          <w:lang w:val="fr-FR"/>
        </w:rPr>
        <w:t xml:space="preserve">à une même famille du point de vue des émissions par évaporation. Or, il était difficile de savoir si la méthode de raccordement </w:t>
      </w:r>
      <w:r w:rsidRPr="002E2DE2">
        <w:rPr>
          <w:lang w:val="fr-FR"/>
        </w:rPr>
        <w:t>devait</w:t>
      </w:r>
      <w:r w:rsidRPr="002E2DE2">
        <w:rPr>
          <w:lang w:val="fr-FR"/>
        </w:rPr>
        <w:t xml:space="preserve"> être identique pour les tuyaux flexibles de vapeur et pour les tuyaux de carburant ou si cette condition s</w:t>
      </w:r>
      <w:r w:rsidR="002E2DE2" w:rsidRPr="002E2DE2">
        <w:rPr>
          <w:lang w:val="fr-FR"/>
        </w:rPr>
        <w:t>’</w:t>
      </w:r>
      <w:r w:rsidRPr="002E2DE2">
        <w:rPr>
          <w:lang w:val="fr-FR"/>
        </w:rPr>
        <w:t>appliquait un</w:t>
      </w:r>
      <w:r w:rsidRPr="002E2DE2">
        <w:rPr>
          <w:lang w:val="fr-FR"/>
        </w:rPr>
        <w:t>iquement aux tuyaux de carburant.</w:t>
      </w:r>
    </w:p>
    <w:p w14:paraId="3F0D8EFF" w14:textId="77777777" w:rsidR="003700D1" w:rsidRPr="002E2DE2" w:rsidRDefault="00E43D81" w:rsidP="002E2DE2">
      <w:pPr>
        <w:pStyle w:val="SingleTxtG"/>
        <w:rPr>
          <w:lang w:val="fr-FR"/>
        </w:rPr>
      </w:pPr>
      <w:r w:rsidRPr="002E2DE2">
        <w:rPr>
          <w:lang w:val="fr-FR"/>
        </w:rPr>
        <w:t>28.</w:t>
      </w:r>
      <w:r w:rsidRPr="002E2DE2">
        <w:rPr>
          <w:lang w:val="fr-FR"/>
        </w:rPr>
        <w:tab/>
        <w:t>Les membres de l</w:t>
      </w:r>
      <w:r w:rsidR="002E2DE2" w:rsidRPr="002E2DE2">
        <w:rPr>
          <w:lang w:val="fr-FR"/>
        </w:rPr>
        <w:t>’</w:t>
      </w:r>
      <w:r w:rsidRPr="002E2DE2">
        <w:rPr>
          <w:lang w:val="fr-FR"/>
        </w:rPr>
        <w:t>équipe spéciale se sont penchés sur la question et ont confirmé que puisque les tuyaux de carburant étaient soumis à des pressions élevées et que les tuyaux flexibles de vapeur ne l</w:t>
      </w:r>
      <w:r w:rsidR="002E2DE2" w:rsidRPr="002E2DE2">
        <w:rPr>
          <w:lang w:val="fr-FR"/>
        </w:rPr>
        <w:t>’</w:t>
      </w:r>
      <w:r w:rsidRPr="002E2DE2">
        <w:rPr>
          <w:lang w:val="fr-FR"/>
        </w:rPr>
        <w:t>étaient pas, la dis</w:t>
      </w:r>
      <w:r w:rsidRPr="002E2DE2">
        <w:rPr>
          <w:lang w:val="fr-FR"/>
        </w:rPr>
        <w:t>position ne s</w:t>
      </w:r>
      <w:r w:rsidR="002E2DE2" w:rsidRPr="002E2DE2">
        <w:rPr>
          <w:lang w:val="fr-FR"/>
        </w:rPr>
        <w:t>’</w:t>
      </w:r>
      <w:r w:rsidRPr="002E2DE2">
        <w:rPr>
          <w:lang w:val="fr-FR"/>
        </w:rPr>
        <w:t>appliquait qu</w:t>
      </w:r>
      <w:r w:rsidR="002E2DE2" w:rsidRPr="002E2DE2">
        <w:rPr>
          <w:lang w:val="fr-FR"/>
        </w:rPr>
        <w:t>’</w:t>
      </w:r>
      <w:r w:rsidRPr="002E2DE2">
        <w:rPr>
          <w:lang w:val="fr-FR"/>
        </w:rPr>
        <w:t>aux tuyaux de carburant. Afin de clarifier le texte, l</w:t>
      </w:r>
      <w:r w:rsidR="002E2DE2" w:rsidRPr="002E2DE2">
        <w:rPr>
          <w:lang w:val="fr-FR"/>
        </w:rPr>
        <w:t>’</w:t>
      </w:r>
      <w:r w:rsidRPr="002E2DE2">
        <w:rPr>
          <w:lang w:val="fr-FR"/>
        </w:rPr>
        <w:t xml:space="preserve">alinéa </w:t>
      </w:r>
      <w:r w:rsidRPr="002E2DE2">
        <w:rPr>
          <w:lang w:val="fr-FR"/>
        </w:rPr>
        <w:t>concerné</w:t>
      </w:r>
      <w:r w:rsidRPr="002E2DE2">
        <w:rPr>
          <w:lang w:val="fr-FR"/>
        </w:rPr>
        <w:t xml:space="preserve"> a été scindé en deux.</w:t>
      </w:r>
    </w:p>
    <w:p w14:paraId="0633964C" w14:textId="77777777" w:rsidR="003700D1" w:rsidRPr="002E2DE2" w:rsidRDefault="00E43D81" w:rsidP="002E2DE2">
      <w:pPr>
        <w:pStyle w:val="SingleTxtG"/>
        <w:rPr>
          <w:lang w:val="fr-FR"/>
        </w:rPr>
      </w:pPr>
      <w:r w:rsidRPr="002E2DE2">
        <w:rPr>
          <w:lang w:val="fr-FR"/>
        </w:rPr>
        <w:t>29.</w:t>
      </w:r>
      <w:r w:rsidRPr="002E2DE2">
        <w:rPr>
          <w:lang w:val="fr-FR"/>
        </w:rPr>
        <w:tab/>
        <w:t>Dans le cadre de cette discussion, un membre de l</w:t>
      </w:r>
      <w:r w:rsidR="002E2DE2" w:rsidRPr="002E2DE2">
        <w:rPr>
          <w:lang w:val="fr-FR"/>
        </w:rPr>
        <w:t>’</w:t>
      </w:r>
      <w:r w:rsidRPr="002E2DE2">
        <w:rPr>
          <w:lang w:val="fr-FR"/>
        </w:rPr>
        <w:t xml:space="preserve">équipe spéciale a fait observer que la définition de la famille de véhicules du </w:t>
      </w:r>
      <w:r w:rsidRPr="002E2DE2">
        <w:rPr>
          <w:lang w:val="fr-FR"/>
        </w:rPr>
        <w:t>point de vue des émissions par évaporation avait été légèrement modifiée dans le règlement WLTP de l</w:t>
      </w:r>
      <w:r w:rsidR="002E2DE2" w:rsidRPr="002E2DE2">
        <w:rPr>
          <w:lang w:val="fr-FR"/>
        </w:rPr>
        <w:t>’</w:t>
      </w:r>
      <w:r w:rsidRPr="002E2DE2">
        <w:rPr>
          <w:lang w:val="fr-FR"/>
        </w:rPr>
        <w:t>Union européenne (UE) et que cela entraînerait des problèmes d</w:t>
      </w:r>
      <w:r w:rsidR="002E2DE2" w:rsidRPr="002E2DE2">
        <w:rPr>
          <w:lang w:val="fr-FR"/>
        </w:rPr>
        <w:t>’</w:t>
      </w:r>
      <w:r w:rsidRPr="002E2DE2">
        <w:rPr>
          <w:lang w:val="fr-FR"/>
        </w:rPr>
        <w:t>harmonisation. Lors des discussions tenues à l</w:t>
      </w:r>
      <w:r w:rsidR="002E2DE2" w:rsidRPr="002E2DE2">
        <w:rPr>
          <w:lang w:val="fr-FR"/>
        </w:rPr>
        <w:t>’</w:t>
      </w:r>
      <w:r w:rsidRPr="002E2DE2">
        <w:rPr>
          <w:lang w:val="fr-FR"/>
        </w:rPr>
        <w:t>UE, il avait été confirmé que les matériaux d</w:t>
      </w:r>
      <w:r w:rsidRPr="002E2DE2">
        <w:rPr>
          <w:lang w:val="fr-FR"/>
        </w:rPr>
        <w:t>es tuyaux flexibles de vapeur et les matériaux des tuyaux de carbura</w:t>
      </w:r>
      <w:bookmarkStart w:id="45" w:name="_GoBack"/>
      <w:bookmarkEnd w:id="45"/>
      <w:r w:rsidRPr="002E2DE2">
        <w:rPr>
          <w:lang w:val="fr-FR"/>
        </w:rPr>
        <w:t>nt au sein d</w:t>
      </w:r>
      <w:r w:rsidR="002E2DE2" w:rsidRPr="002E2DE2">
        <w:rPr>
          <w:lang w:val="fr-FR"/>
        </w:rPr>
        <w:t>’</w:t>
      </w:r>
      <w:r w:rsidRPr="002E2DE2">
        <w:rPr>
          <w:lang w:val="fr-FR"/>
        </w:rPr>
        <w:t>une famille donnée pouvaient être différents mais devaient être équivalents sur le plan technique. Ce point a également été examiné par l</w:t>
      </w:r>
      <w:r w:rsidR="002E2DE2" w:rsidRPr="002E2DE2">
        <w:rPr>
          <w:lang w:val="fr-FR"/>
        </w:rPr>
        <w:t>’</w:t>
      </w:r>
      <w:r w:rsidRPr="002E2DE2">
        <w:rPr>
          <w:lang w:val="fr-FR"/>
        </w:rPr>
        <w:t>équipe spéciale, qui a décidé de repr</w:t>
      </w:r>
      <w:r w:rsidRPr="002E2DE2">
        <w:rPr>
          <w:lang w:val="fr-FR"/>
        </w:rPr>
        <w:t>endre les prescriptions pertinentes de l</w:t>
      </w:r>
      <w:r w:rsidR="002E2DE2" w:rsidRPr="002E2DE2">
        <w:rPr>
          <w:lang w:val="fr-FR"/>
        </w:rPr>
        <w:t>’</w:t>
      </w:r>
      <w:r w:rsidRPr="002E2DE2">
        <w:rPr>
          <w:lang w:val="fr-FR"/>
        </w:rPr>
        <w:t xml:space="preserve">UE dans le RTM ONU </w:t>
      </w:r>
      <w:r w:rsidR="00703CCE" w:rsidRPr="00703CCE">
        <w:rPr>
          <w:rFonts w:eastAsia="MS Mincho"/>
          <w:lang w:val="fr-FR"/>
        </w:rPr>
        <w:t>n</w:t>
      </w:r>
      <w:r w:rsidR="00703CCE" w:rsidRPr="00703CCE">
        <w:rPr>
          <w:rFonts w:eastAsia="MS Mincho"/>
          <w:vertAlign w:val="superscript"/>
          <w:lang w:val="fr-FR"/>
        </w:rPr>
        <w:t>o</w:t>
      </w:r>
      <w:r w:rsidR="00703CCE">
        <w:rPr>
          <w:lang w:val="fr-FR"/>
        </w:rPr>
        <w:t> </w:t>
      </w:r>
      <w:r w:rsidRPr="002E2DE2">
        <w:rPr>
          <w:lang w:val="fr-FR"/>
        </w:rPr>
        <w:t>19.</w:t>
      </w:r>
    </w:p>
    <w:p w14:paraId="041983EE" w14:textId="77777777" w:rsidR="003700D1" w:rsidRPr="002E2DE2" w:rsidRDefault="00E43D81" w:rsidP="00DB3727">
      <w:pPr>
        <w:pStyle w:val="SingleTxtG"/>
        <w:keepNext/>
        <w:keepLines/>
        <w:rPr>
          <w:lang w:val="fr-FR"/>
        </w:rPr>
      </w:pPr>
      <w:r w:rsidRPr="002E2DE2">
        <w:rPr>
          <w:lang w:val="fr-FR"/>
        </w:rPr>
        <w:t>30.</w:t>
      </w:r>
      <w:r w:rsidRPr="002E2DE2">
        <w:rPr>
          <w:lang w:val="fr-FR"/>
        </w:rPr>
        <w:tab/>
        <w:t>Lors de la 24</w:t>
      </w:r>
      <w:r w:rsidRPr="00703CCE">
        <w:rPr>
          <w:vertAlign w:val="superscript"/>
          <w:lang w:val="fr-FR"/>
        </w:rPr>
        <w:t>e</w:t>
      </w:r>
      <w:r w:rsidRPr="002E2DE2">
        <w:rPr>
          <w:lang w:val="fr-FR"/>
        </w:rPr>
        <w:t xml:space="preserve"> réunion du groupe de travail informel WLTP, l</w:t>
      </w:r>
      <w:r w:rsidR="002E2DE2" w:rsidRPr="002E2DE2">
        <w:rPr>
          <w:lang w:val="fr-FR"/>
        </w:rPr>
        <w:t>’</w:t>
      </w:r>
      <w:r w:rsidRPr="002E2DE2">
        <w:rPr>
          <w:lang w:val="fr-FR"/>
        </w:rPr>
        <w:t>Inde a demandé qu</w:t>
      </w:r>
      <w:r w:rsidR="002E2DE2" w:rsidRPr="002E2DE2">
        <w:rPr>
          <w:lang w:val="fr-FR"/>
        </w:rPr>
        <w:t>’</w:t>
      </w:r>
      <w:r w:rsidRPr="002E2DE2">
        <w:rPr>
          <w:lang w:val="fr-FR"/>
        </w:rPr>
        <w:t>il soit indiqué que l</w:t>
      </w:r>
      <w:r w:rsidR="002E2DE2" w:rsidRPr="002E2DE2">
        <w:rPr>
          <w:lang w:val="fr-FR"/>
        </w:rPr>
        <w:t>’</w:t>
      </w:r>
      <w:r w:rsidRPr="002E2DE2">
        <w:rPr>
          <w:lang w:val="fr-FR"/>
        </w:rPr>
        <w:t>équivalence technique devait être démontrée à l</w:t>
      </w:r>
      <w:r w:rsidR="002E2DE2" w:rsidRPr="002E2DE2">
        <w:rPr>
          <w:lang w:val="fr-FR"/>
        </w:rPr>
        <w:t>’</w:t>
      </w:r>
      <w:r w:rsidRPr="002E2DE2">
        <w:rPr>
          <w:lang w:val="fr-FR"/>
        </w:rPr>
        <w:t>autorité compétente par le construct</w:t>
      </w:r>
      <w:r w:rsidRPr="002E2DE2">
        <w:rPr>
          <w:lang w:val="fr-FR"/>
        </w:rPr>
        <w:t>eur. Par suite de quoi, à la réunion de rédaction, des précisions à ce sujet ont été ajoutées au texte.</w:t>
      </w:r>
    </w:p>
    <w:p w14:paraId="61E6FC47" w14:textId="77777777" w:rsidR="003700D1" w:rsidRPr="002E2DE2" w:rsidRDefault="00703CCE" w:rsidP="00703CCE">
      <w:pPr>
        <w:pStyle w:val="H4G"/>
        <w:rPr>
          <w:lang w:val="fr-FR"/>
        </w:rPr>
      </w:pPr>
      <w:r>
        <w:rPr>
          <w:lang w:val="fr-FR"/>
        </w:rPr>
        <w:tab/>
      </w:r>
      <w:r w:rsidR="00E43D81" w:rsidRPr="002E2DE2">
        <w:rPr>
          <w:lang w:val="fr-FR"/>
        </w:rPr>
        <w:t>3.4</w:t>
      </w:r>
      <w:r w:rsidR="00E43D81" w:rsidRPr="002E2DE2">
        <w:rPr>
          <w:lang w:val="fr-FR"/>
        </w:rPr>
        <w:tab/>
      </w:r>
      <w:r w:rsidR="00E43D81" w:rsidRPr="002E2DE2">
        <w:rPr>
          <w:lang w:val="fr-FR"/>
        </w:rPr>
        <w:t xml:space="preserve">Éclaircissements au sujet du terme </w:t>
      </w:r>
      <w:r>
        <w:rPr>
          <w:lang w:val="fr-FR"/>
        </w:rPr>
        <w:t>« </w:t>
      </w:r>
      <w:r w:rsidR="00E43D81" w:rsidRPr="002E2DE2">
        <w:rPr>
          <w:lang w:val="fr-FR"/>
        </w:rPr>
        <w:t>canister</w:t>
      </w:r>
      <w:r>
        <w:rPr>
          <w:lang w:val="fr-FR"/>
        </w:rPr>
        <w:t> »</w:t>
      </w:r>
    </w:p>
    <w:p w14:paraId="7569202F" w14:textId="77777777" w:rsidR="003700D1" w:rsidRPr="002E2DE2" w:rsidRDefault="00E43D81" w:rsidP="002E2DE2">
      <w:pPr>
        <w:pStyle w:val="SingleTxtG"/>
        <w:rPr>
          <w:lang w:val="fr-FR"/>
        </w:rPr>
      </w:pPr>
      <w:r w:rsidRPr="002E2DE2">
        <w:rPr>
          <w:lang w:val="fr-FR"/>
        </w:rPr>
        <w:t>31.</w:t>
      </w:r>
      <w:r w:rsidRPr="002E2DE2">
        <w:rPr>
          <w:lang w:val="fr-FR"/>
        </w:rPr>
        <w:tab/>
        <w:t>Lors de l</w:t>
      </w:r>
      <w:r w:rsidR="002E2DE2" w:rsidRPr="002E2DE2">
        <w:rPr>
          <w:lang w:val="fr-FR"/>
        </w:rPr>
        <w:t>’</w:t>
      </w:r>
      <w:r w:rsidRPr="002E2DE2">
        <w:rPr>
          <w:lang w:val="fr-FR"/>
        </w:rPr>
        <w:t xml:space="preserve">examen du RTM ONU </w:t>
      </w:r>
      <w:r w:rsidR="00703CCE" w:rsidRPr="00703CCE">
        <w:rPr>
          <w:rFonts w:eastAsia="MS Mincho"/>
          <w:lang w:val="fr-FR"/>
        </w:rPr>
        <w:t>n</w:t>
      </w:r>
      <w:r w:rsidR="00703CCE" w:rsidRPr="00703CCE">
        <w:rPr>
          <w:rFonts w:eastAsia="MS Mincho"/>
          <w:vertAlign w:val="superscript"/>
          <w:lang w:val="fr-FR"/>
        </w:rPr>
        <w:t>o</w:t>
      </w:r>
      <w:r w:rsidR="00703CCE">
        <w:rPr>
          <w:lang w:val="fr-FR"/>
        </w:rPr>
        <w:t> </w:t>
      </w:r>
      <w:r w:rsidRPr="002E2DE2">
        <w:rPr>
          <w:lang w:val="fr-FR"/>
        </w:rPr>
        <w:t xml:space="preserve">19, il a été constaté que les expressions </w:t>
      </w:r>
      <w:r w:rsidR="00703CCE">
        <w:rPr>
          <w:lang w:val="fr-FR"/>
        </w:rPr>
        <w:t>« </w:t>
      </w:r>
      <w:r w:rsidRPr="002E2DE2">
        <w:rPr>
          <w:lang w:val="fr-FR"/>
        </w:rPr>
        <w:t>cartouche de charbon a</w:t>
      </w:r>
      <w:r w:rsidRPr="002E2DE2">
        <w:rPr>
          <w:lang w:val="fr-FR"/>
        </w:rPr>
        <w:t>ctif</w:t>
      </w:r>
      <w:r w:rsidR="00703CCE">
        <w:rPr>
          <w:lang w:val="fr-FR"/>
        </w:rPr>
        <w:t> »</w:t>
      </w:r>
      <w:r w:rsidRPr="002E2DE2">
        <w:rPr>
          <w:lang w:val="fr-FR"/>
        </w:rPr>
        <w:t xml:space="preserve">, </w:t>
      </w:r>
      <w:r w:rsidR="00703CCE">
        <w:rPr>
          <w:lang w:val="fr-FR"/>
        </w:rPr>
        <w:t>« </w:t>
      </w:r>
      <w:r w:rsidRPr="002E2DE2">
        <w:rPr>
          <w:lang w:val="fr-FR"/>
        </w:rPr>
        <w:t>canister</w:t>
      </w:r>
      <w:r w:rsidR="00703CCE">
        <w:rPr>
          <w:lang w:val="fr-FR"/>
        </w:rPr>
        <w:t> »</w:t>
      </w:r>
      <w:r w:rsidRPr="002E2DE2">
        <w:rPr>
          <w:lang w:val="fr-FR"/>
        </w:rPr>
        <w:t xml:space="preserve"> et </w:t>
      </w:r>
      <w:r w:rsidR="00703CCE">
        <w:rPr>
          <w:lang w:val="fr-FR"/>
        </w:rPr>
        <w:t>« </w:t>
      </w:r>
      <w:r w:rsidRPr="002E2DE2">
        <w:rPr>
          <w:lang w:val="fr-FR"/>
        </w:rPr>
        <w:t>enceinte de stockage</w:t>
      </w:r>
      <w:r w:rsidR="00703CCE">
        <w:rPr>
          <w:lang w:val="fr-FR"/>
        </w:rPr>
        <w:t> »</w:t>
      </w:r>
      <w:r w:rsidRPr="002E2DE2">
        <w:rPr>
          <w:lang w:val="fr-FR"/>
        </w:rPr>
        <w:t xml:space="preserve"> étaient utilisées pour désigner le même composant. Les membres de l</w:t>
      </w:r>
      <w:r w:rsidR="002E2DE2" w:rsidRPr="002E2DE2">
        <w:rPr>
          <w:lang w:val="fr-FR"/>
        </w:rPr>
        <w:t>’</w:t>
      </w:r>
      <w:r w:rsidRPr="002E2DE2">
        <w:rPr>
          <w:lang w:val="fr-FR"/>
        </w:rPr>
        <w:t xml:space="preserve">équipe spéciale ont donc décidé de procéder à une harmonisation en </w:t>
      </w:r>
      <w:r w:rsidRPr="002E2DE2">
        <w:rPr>
          <w:lang w:val="fr-FR"/>
        </w:rPr>
        <w:t>vue d</w:t>
      </w:r>
      <w:r w:rsidR="002E2DE2" w:rsidRPr="002E2DE2">
        <w:rPr>
          <w:lang w:val="fr-FR"/>
        </w:rPr>
        <w:t>’</w:t>
      </w:r>
      <w:r w:rsidRPr="002E2DE2">
        <w:rPr>
          <w:lang w:val="fr-FR"/>
        </w:rPr>
        <w:t>employer</w:t>
      </w:r>
      <w:r w:rsidRPr="002E2DE2">
        <w:rPr>
          <w:lang w:val="fr-FR"/>
        </w:rPr>
        <w:t xml:space="preserve"> uniquement le terme </w:t>
      </w:r>
      <w:r w:rsidR="00703CCE">
        <w:rPr>
          <w:lang w:val="fr-FR"/>
        </w:rPr>
        <w:t>« </w:t>
      </w:r>
      <w:r w:rsidRPr="002E2DE2">
        <w:rPr>
          <w:lang w:val="fr-FR"/>
        </w:rPr>
        <w:t>canister</w:t>
      </w:r>
      <w:r w:rsidR="00703CCE">
        <w:rPr>
          <w:lang w:val="fr-FR"/>
        </w:rPr>
        <w:t> »</w:t>
      </w:r>
      <w:r w:rsidRPr="002E2DE2">
        <w:rPr>
          <w:lang w:val="fr-FR"/>
        </w:rPr>
        <w:t>.</w:t>
      </w:r>
    </w:p>
    <w:p w14:paraId="5D049698" w14:textId="77777777" w:rsidR="003700D1" w:rsidRPr="002E2DE2" w:rsidRDefault="009A3481" w:rsidP="009A3481">
      <w:pPr>
        <w:pStyle w:val="H4G"/>
        <w:rPr>
          <w:lang w:val="fr-FR"/>
        </w:rPr>
      </w:pPr>
      <w:r>
        <w:rPr>
          <w:lang w:val="fr-FR"/>
        </w:rPr>
        <w:lastRenderedPageBreak/>
        <w:tab/>
      </w:r>
      <w:r w:rsidR="00E43D81" w:rsidRPr="002E2DE2">
        <w:rPr>
          <w:lang w:val="fr-FR"/>
        </w:rPr>
        <w:t>3.5</w:t>
      </w:r>
      <w:r w:rsidR="00E43D81" w:rsidRPr="002E2DE2">
        <w:rPr>
          <w:lang w:val="fr-FR"/>
        </w:rPr>
        <w:tab/>
      </w:r>
      <w:r w:rsidR="00E43D81" w:rsidRPr="002E2DE2">
        <w:rPr>
          <w:lang w:val="fr-FR"/>
        </w:rPr>
        <w:t xml:space="preserve">Modification du terme </w:t>
      </w:r>
      <w:r w:rsidR="00E43D81" w:rsidRPr="002E2DE2">
        <w:rPr>
          <w:lang w:val="fr-FR"/>
        </w:rPr>
        <w:t xml:space="preserve">désignant le canister utilisé pour capter le trop-plein </w:t>
      </w:r>
      <w:r>
        <w:rPr>
          <w:lang w:val="fr-FR"/>
        </w:rPr>
        <w:br/>
      </w:r>
      <w:r w:rsidR="00E43D81" w:rsidRPr="002E2DE2">
        <w:rPr>
          <w:lang w:val="fr-FR"/>
        </w:rPr>
        <w:t>de pertes liées à la dépressurisation</w:t>
      </w:r>
      <w:r w:rsidR="00E43D81" w:rsidRPr="002E2DE2">
        <w:rPr>
          <w:lang w:val="fr-FR"/>
        </w:rPr>
        <w:t xml:space="preserve"> </w:t>
      </w:r>
    </w:p>
    <w:p w14:paraId="1412383D" w14:textId="77777777" w:rsidR="00F9573C" w:rsidRDefault="00E43D81" w:rsidP="002E2DE2">
      <w:pPr>
        <w:pStyle w:val="SingleTxtG"/>
        <w:rPr>
          <w:lang w:val="fr-FR"/>
        </w:rPr>
      </w:pPr>
      <w:r w:rsidRPr="002E2DE2">
        <w:rPr>
          <w:lang w:val="fr-FR"/>
        </w:rPr>
        <w:t>32.</w:t>
      </w:r>
      <w:r w:rsidRPr="002E2DE2">
        <w:rPr>
          <w:lang w:val="fr-FR"/>
        </w:rPr>
        <w:tab/>
        <w:t>Dans l</w:t>
      </w:r>
      <w:r w:rsidR="002E2DE2" w:rsidRPr="002E2DE2">
        <w:rPr>
          <w:lang w:val="fr-FR"/>
        </w:rPr>
        <w:t>’</w:t>
      </w:r>
      <w:r w:rsidRPr="002E2DE2">
        <w:rPr>
          <w:lang w:val="fr-FR"/>
        </w:rPr>
        <w:t xml:space="preserve">amendement 1 au RTM ONU </w:t>
      </w:r>
      <w:r w:rsidR="007E1E10" w:rsidRPr="007E1E10">
        <w:rPr>
          <w:rFonts w:eastAsia="MS Mincho"/>
          <w:lang w:val="fr-FR"/>
        </w:rPr>
        <w:t>n</w:t>
      </w:r>
      <w:r w:rsidR="007E1E10" w:rsidRPr="007E1E10">
        <w:rPr>
          <w:rFonts w:eastAsia="MS Mincho"/>
          <w:vertAlign w:val="superscript"/>
          <w:lang w:val="fr-FR"/>
        </w:rPr>
        <w:t>o</w:t>
      </w:r>
      <w:r w:rsidR="007E1E10">
        <w:rPr>
          <w:lang w:val="fr-FR"/>
        </w:rPr>
        <w:t> </w:t>
      </w:r>
      <w:r w:rsidRPr="002E2DE2">
        <w:rPr>
          <w:lang w:val="fr-FR"/>
        </w:rPr>
        <w:t xml:space="preserve">19, le canister servant à capter le trop-plein de pertes liées à la dépressurisation est appelé </w:t>
      </w:r>
      <w:r w:rsidR="007E1E10">
        <w:rPr>
          <w:lang w:val="fr-FR"/>
        </w:rPr>
        <w:t>« </w:t>
      </w:r>
      <w:r w:rsidRPr="002E2DE2">
        <w:rPr>
          <w:lang w:val="fr-FR"/>
        </w:rPr>
        <w:t>canister auxiliaire</w:t>
      </w:r>
      <w:r w:rsidR="007E1E10">
        <w:rPr>
          <w:lang w:val="fr-FR"/>
        </w:rPr>
        <w:t> »</w:t>
      </w:r>
      <w:r w:rsidRPr="002E2DE2">
        <w:rPr>
          <w:lang w:val="fr-FR"/>
        </w:rPr>
        <w:t>. Une</w:t>
      </w:r>
      <w:r w:rsidRPr="002E2DE2">
        <w:rPr>
          <w:lang w:val="fr-FR"/>
        </w:rPr>
        <w:t xml:space="preserve"> explication a été incluse au paragraphe 4 (Équipement d</w:t>
      </w:r>
      <w:r w:rsidR="002E2DE2" w:rsidRPr="002E2DE2">
        <w:rPr>
          <w:lang w:val="fr-FR"/>
        </w:rPr>
        <w:t>’</w:t>
      </w:r>
      <w:r w:rsidRPr="002E2DE2">
        <w:rPr>
          <w:lang w:val="fr-FR"/>
        </w:rPr>
        <w:t>essai) de l</w:t>
      </w:r>
      <w:r w:rsidR="002E2DE2" w:rsidRPr="002E2DE2">
        <w:rPr>
          <w:lang w:val="fr-FR"/>
        </w:rPr>
        <w:t>’</w:t>
      </w:r>
      <w:r w:rsidRPr="002E2DE2">
        <w:rPr>
          <w:lang w:val="fr-FR"/>
        </w:rPr>
        <w:t>annexe 1 du RTM. Dans le cadre de cette discussion, on a fait observer que le libellé adopté pouvait laisser entendre qu</w:t>
      </w:r>
      <w:r w:rsidR="002E2DE2" w:rsidRPr="002E2DE2">
        <w:rPr>
          <w:lang w:val="fr-FR"/>
        </w:rPr>
        <w:t>’</w:t>
      </w:r>
      <w:r w:rsidRPr="002E2DE2">
        <w:rPr>
          <w:lang w:val="fr-FR"/>
        </w:rPr>
        <w:t>il s</w:t>
      </w:r>
      <w:r w:rsidR="002E2DE2" w:rsidRPr="002E2DE2">
        <w:rPr>
          <w:lang w:val="fr-FR"/>
        </w:rPr>
        <w:t>’</w:t>
      </w:r>
      <w:r w:rsidRPr="002E2DE2">
        <w:rPr>
          <w:lang w:val="fr-FR"/>
        </w:rPr>
        <w:t>agissait d</w:t>
      </w:r>
      <w:r w:rsidR="002E2DE2" w:rsidRPr="002E2DE2">
        <w:rPr>
          <w:lang w:val="fr-FR"/>
        </w:rPr>
        <w:t>’</w:t>
      </w:r>
      <w:r w:rsidRPr="002E2DE2">
        <w:rPr>
          <w:lang w:val="fr-FR"/>
        </w:rPr>
        <w:t>un canister différent, et le terme a donc été reti</w:t>
      </w:r>
      <w:r w:rsidRPr="002E2DE2">
        <w:rPr>
          <w:lang w:val="fr-FR"/>
        </w:rPr>
        <w:t>ré de ce paragraphe. Le passage concerné a été déplacé au paragraphe 6.6.1.8.1 de l</w:t>
      </w:r>
      <w:r w:rsidR="002E2DE2" w:rsidRPr="002E2DE2">
        <w:rPr>
          <w:lang w:val="fr-FR"/>
        </w:rPr>
        <w:t>’</w:t>
      </w:r>
      <w:r w:rsidRPr="002E2DE2">
        <w:rPr>
          <w:lang w:val="fr-FR"/>
        </w:rPr>
        <w:t>annexe 1, qui décrit la procédure de mesure du trop-plein de pertes liées à la dépressurisation.</w:t>
      </w:r>
      <w:bookmarkEnd w:id="0"/>
      <w:bookmarkEnd w:id="44"/>
    </w:p>
    <w:p w14:paraId="1A0428AC" w14:textId="77777777" w:rsidR="002E2DE2" w:rsidRPr="002E2DE2" w:rsidRDefault="002E2DE2" w:rsidP="002E2DE2">
      <w:pPr>
        <w:pStyle w:val="SingleTxtG"/>
        <w:spacing w:before="240" w:after="0"/>
        <w:jc w:val="center"/>
        <w:rPr>
          <w:u w:val="single"/>
        </w:rPr>
      </w:pPr>
      <w:r>
        <w:rPr>
          <w:u w:val="single"/>
        </w:rPr>
        <w:tab/>
      </w:r>
      <w:r>
        <w:rPr>
          <w:u w:val="single"/>
        </w:rPr>
        <w:tab/>
      </w:r>
      <w:r>
        <w:rPr>
          <w:u w:val="single"/>
        </w:rPr>
        <w:tab/>
      </w:r>
    </w:p>
    <w:sectPr w:rsidR="002E2DE2" w:rsidRPr="002E2DE2" w:rsidSect="00C5592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43DF5" w14:textId="77777777" w:rsidR="00700F51" w:rsidRDefault="00700F51" w:rsidP="00F95C08">
      <w:pPr>
        <w:spacing w:line="240" w:lineRule="auto"/>
      </w:pPr>
    </w:p>
  </w:endnote>
  <w:endnote w:type="continuationSeparator" w:id="0">
    <w:p w14:paraId="237139C4" w14:textId="77777777" w:rsidR="00700F51" w:rsidRPr="00AC3823" w:rsidRDefault="00700F51" w:rsidP="00AC3823">
      <w:pPr>
        <w:pStyle w:val="Pieddepage"/>
      </w:pPr>
    </w:p>
  </w:endnote>
  <w:endnote w:type="continuationNotice" w:id="1">
    <w:p w14:paraId="2A864AD7" w14:textId="77777777" w:rsidR="00700F51" w:rsidRDefault="00700F5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9A8A0" w14:textId="77777777" w:rsidR="00C55922" w:rsidRPr="00C55922" w:rsidRDefault="00C55922" w:rsidP="00C55922">
    <w:pPr>
      <w:pStyle w:val="Pieddepage"/>
      <w:tabs>
        <w:tab w:val="right" w:pos="9638"/>
      </w:tabs>
    </w:pPr>
    <w:r w:rsidRPr="00C55922">
      <w:rPr>
        <w:b/>
        <w:sz w:val="18"/>
      </w:rPr>
      <w:fldChar w:fldCharType="begin"/>
    </w:r>
    <w:r w:rsidRPr="00C55922">
      <w:rPr>
        <w:b/>
        <w:sz w:val="18"/>
      </w:rPr>
      <w:instrText xml:space="preserve"> PAGE  \* MERGEFORMAT </w:instrText>
    </w:r>
    <w:r w:rsidRPr="00C55922">
      <w:rPr>
        <w:b/>
        <w:sz w:val="18"/>
      </w:rPr>
      <w:fldChar w:fldCharType="separate"/>
    </w:r>
    <w:r w:rsidRPr="00C55922">
      <w:rPr>
        <w:b/>
        <w:noProof/>
        <w:sz w:val="18"/>
      </w:rPr>
      <w:t>2</w:t>
    </w:r>
    <w:r w:rsidRPr="00C55922">
      <w:rPr>
        <w:b/>
        <w:sz w:val="18"/>
      </w:rPr>
      <w:fldChar w:fldCharType="end"/>
    </w:r>
    <w:r>
      <w:rPr>
        <w:b/>
        <w:sz w:val="18"/>
      </w:rPr>
      <w:tab/>
    </w:r>
    <w:r>
      <w:t>GE.19-06175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12E7E" w14:textId="77777777" w:rsidR="00C55922" w:rsidRPr="00C55922" w:rsidRDefault="00C55922" w:rsidP="00C55922">
    <w:pPr>
      <w:pStyle w:val="Pieddepage"/>
      <w:tabs>
        <w:tab w:val="right" w:pos="9638"/>
      </w:tabs>
      <w:rPr>
        <w:b/>
        <w:sz w:val="18"/>
      </w:rPr>
    </w:pPr>
    <w:r>
      <w:t>GE.19-06175</w:t>
    </w:r>
    <w:r>
      <w:tab/>
    </w:r>
    <w:r w:rsidRPr="00C55922">
      <w:rPr>
        <w:b/>
        <w:sz w:val="18"/>
      </w:rPr>
      <w:fldChar w:fldCharType="begin"/>
    </w:r>
    <w:r w:rsidRPr="00C55922">
      <w:rPr>
        <w:b/>
        <w:sz w:val="18"/>
      </w:rPr>
      <w:instrText xml:space="preserve"> PAGE  \* MERGEFORMAT </w:instrText>
    </w:r>
    <w:r w:rsidRPr="00C55922">
      <w:rPr>
        <w:b/>
        <w:sz w:val="18"/>
      </w:rPr>
      <w:fldChar w:fldCharType="separate"/>
    </w:r>
    <w:r w:rsidRPr="00C55922">
      <w:rPr>
        <w:b/>
        <w:noProof/>
        <w:sz w:val="18"/>
      </w:rPr>
      <w:t>3</w:t>
    </w:r>
    <w:r w:rsidRPr="00C5592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D0F9C" w14:textId="77777777" w:rsidR="00700F51" w:rsidRPr="00C55922" w:rsidRDefault="00700F51" w:rsidP="00C55922">
    <w:pPr>
      <w:pStyle w:val="Pieddepage"/>
      <w:spacing w:before="120"/>
      <w:rPr>
        <w:sz w:val="20"/>
      </w:rPr>
    </w:pPr>
    <w:r>
      <w:rPr>
        <w:sz w:val="20"/>
      </w:rPr>
      <w:t>GE</w:t>
    </w:r>
    <w:r w:rsidR="00C55922">
      <w:rPr>
        <w:sz w:val="20"/>
      </w:rPr>
      <w:t>.</w:t>
    </w:r>
    <w:r>
      <w:rPr>
        <w:noProof/>
        <w:lang w:eastAsia="fr-CH"/>
      </w:rPr>
      <w:drawing>
        <wp:anchor distT="0" distB="0" distL="114300" distR="114300" simplePos="0" relativeHeight="251659264" behindDoc="0" locked="0" layoutInCell="1" allowOverlap="0" wp14:anchorId="26842610" wp14:editId="36B4FB8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19-06175  (F)    200519    210519</w:t>
    </w:r>
    <w:r>
      <w:rPr>
        <w:sz w:val="20"/>
      </w:rPr>
      <w:br/>
    </w:r>
    <w:r w:rsidRPr="00C55922">
      <w:rPr>
        <w:rFonts w:ascii="C39T30Lfz" w:hAnsi="C39T30Lfz"/>
        <w:sz w:val="56"/>
      </w:rPr>
      <w:t></w:t>
    </w:r>
    <w:r w:rsidRPr="00C55922">
      <w:rPr>
        <w:rFonts w:ascii="C39T30Lfz" w:hAnsi="C39T30Lfz"/>
        <w:sz w:val="56"/>
      </w:rPr>
      <w:t></w:t>
    </w:r>
    <w:r w:rsidRPr="00C55922">
      <w:rPr>
        <w:rFonts w:ascii="C39T30Lfz" w:hAnsi="C39T30Lfz"/>
        <w:sz w:val="56"/>
      </w:rPr>
      <w:t></w:t>
    </w:r>
    <w:r w:rsidRPr="00C55922">
      <w:rPr>
        <w:rFonts w:ascii="C39T30Lfz" w:hAnsi="C39T30Lfz"/>
        <w:sz w:val="56"/>
      </w:rPr>
      <w:t></w:t>
    </w:r>
    <w:r w:rsidRPr="00C55922">
      <w:rPr>
        <w:rFonts w:ascii="C39T30Lfz" w:hAnsi="C39T30Lfz"/>
        <w:sz w:val="56"/>
      </w:rPr>
      <w:t></w:t>
    </w:r>
    <w:r w:rsidRPr="00C55922">
      <w:rPr>
        <w:rFonts w:ascii="C39T30Lfz" w:hAnsi="C39T30Lfz"/>
        <w:sz w:val="56"/>
      </w:rPr>
      <w:t></w:t>
    </w:r>
    <w:r w:rsidRPr="00C55922">
      <w:rPr>
        <w:rFonts w:ascii="C39T30Lfz" w:hAnsi="C39T30Lfz"/>
        <w:sz w:val="56"/>
      </w:rPr>
      <w:t></w:t>
    </w:r>
    <w:r w:rsidRPr="00C55922">
      <w:rPr>
        <w:rFonts w:ascii="C39T30Lfz" w:hAnsi="C39T30Lfz"/>
        <w:sz w:val="56"/>
      </w:rPr>
      <w:t></w:t>
    </w:r>
    <w:r w:rsidRPr="00C55922">
      <w:rPr>
        <w:rFonts w:ascii="C39T30Lfz" w:hAnsi="C39T30Lfz"/>
        <w:sz w:val="56"/>
      </w:rPr>
      <w:t></w:t>
    </w:r>
    <w:r>
      <w:rPr>
        <w:noProof/>
        <w:sz w:val="20"/>
      </w:rPr>
      <w:drawing>
        <wp:anchor distT="0" distB="0" distL="114300" distR="114300" simplePos="0" relativeHeight="251658240" behindDoc="0" locked="0" layoutInCell="1" allowOverlap="1" wp14:anchorId="2BAF2BE3" wp14:editId="7A337C40">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9/6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9/6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2ADD5" w14:textId="77777777" w:rsidR="00700F51" w:rsidRPr="00AC3823" w:rsidRDefault="00700F51" w:rsidP="00AC3823">
      <w:pPr>
        <w:pStyle w:val="Pieddepage"/>
        <w:tabs>
          <w:tab w:val="right" w:pos="2155"/>
        </w:tabs>
        <w:spacing w:after="80" w:line="240" w:lineRule="atLeast"/>
        <w:ind w:left="680"/>
        <w:rPr>
          <w:u w:val="single"/>
        </w:rPr>
      </w:pPr>
      <w:r>
        <w:rPr>
          <w:u w:val="single"/>
        </w:rPr>
        <w:tab/>
      </w:r>
    </w:p>
  </w:footnote>
  <w:footnote w:type="continuationSeparator" w:id="0">
    <w:p w14:paraId="030AE5A5" w14:textId="77777777" w:rsidR="00700F51" w:rsidRPr="00AC3823" w:rsidRDefault="00700F51" w:rsidP="00AC3823">
      <w:pPr>
        <w:pStyle w:val="Pieddepage"/>
        <w:tabs>
          <w:tab w:val="right" w:pos="2155"/>
        </w:tabs>
        <w:spacing w:after="80" w:line="240" w:lineRule="atLeast"/>
        <w:ind w:left="680"/>
        <w:rPr>
          <w:u w:val="single"/>
        </w:rPr>
      </w:pPr>
      <w:r>
        <w:rPr>
          <w:u w:val="single"/>
        </w:rPr>
        <w:tab/>
      </w:r>
    </w:p>
  </w:footnote>
  <w:footnote w:type="continuationNotice" w:id="1">
    <w:p w14:paraId="51D545C6" w14:textId="77777777" w:rsidR="00700F51" w:rsidRPr="00AC3823" w:rsidRDefault="00700F51">
      <w:pPr>
        <w:spacing w:line="240" w:lineRule="auto"/>
        <w:rPr>
          <w:sz w:val="2"/>
          <w:szCs w:val="2"/>
        </w:rPr>
      </w:pPr>
    </w:p>
  </w:footnote>
  <w:footnote w:id="2">
    <w:p w14:paraId="2432ACD2" w14:textId="77777777" w:rsidR="002E2DE2" w:rsidRPr="00435997" w:rsidRDefault="002E2DE2" w:rsidP="002E2DE2">
      <w:pPr>
        <w:pStyle w:val="Notedebasdepage"/>
        <w:rPr>
          <w:lang w:val="fr-FR"/>
        </w:rPr>
      </w:pPr>
      <w:r>
        <w:tab/>
      </w:r>
      <w:r w:rsidRPr="000959AF">
        <w:rPr>
          <w:rStyle w:val="Appelnotedebasdep"/>
          <w:vertAlign w:val="baseline"/>
          <w:lang w:val="fr-FR"/>
        </w:rPr>
        <w:t>*</w:t>
      </w:r>
      <w:r w:rsidRPr="00435997">
        <w:rPr>
          <w:lang w:val="fr-FR"/>
        </w:rPr>
        <w:tab/>
        <w:t>Conformément au programme de travail du Comité des transports intérieurs pour la période 2018-2019 (ECE/TRANS/274, par. 123, et ECE/TRANS/2018/21, module 3.1), le Forum mondial a pour mission d</w:t>
      </w:r>
      <w:r w:rsidR="009A3481">
        <w:rPr>
          <w:lang w:val="fr-FR"/>
        </w:rPr>
        <w:t>’</w:t>
      </w:r>
      <w:r w:rsidRPr="00435997">
        <w:rPr>
          <w:lang w:val="fr-FR"/>
        </w:rPr>
        <w:t>élaborer, d</w:t>
      </w:r>
      <w:r w:rsidR="009A3481">
        <w:rPr>
          <w:lang w:val="fr-FR"/>
        </w:rPr>
        <w:t>’</w:t>
      </w:r>
      <w:r w:rsidRPr="00435997">
        <w:rPr>
          <w:lang w:val="fr-FR"/>
        </w:rPr>
        <w:t>harmoniser et de mettre à jour les Règlements ONU en vue d</w:t>
      </w:r>
      <w:r w:rsidR="009A3481">
        <w:rPr>
          <w:lang w:val="fr-FR"/>
        </w:rPr>
        <w:t>’</w:t>
      </w:r>
      <w:r w:rsidRPr="00435997">
        <w:rPr>
          <w:lang w:val="fr-FR"/>
        </w:rPr>
        <w:t>améliorer les caractéristiques fonctionnelles des véhicules.</w:t>
      </w:r>
      <w:r>
        <w:rPr>
          <w:lang w:val="fr-FR"/>
        </w:rPr>
        <w:t xml:space="preserve"> </w:t>
      </w:r>
      <w:r w:rsidRPr="0019420A">
        <w:rPr>
          <w:lang w:val="fr-FR"/>
        </w:rPr>
        <w:t>Le présent document est soumis en vertu de ce mandat</w:t>
      </w:r>
      <w:r>
        <w:rPr>
          <w:lang w:val="fr-FR"/>
        </w:rPr>
        <w:t>.</w:t>
      </w:r>
    </w:p>
  </w:footnote>
  <w:footnote w:id="3">
    <w:p w14:paraId="471CBAA6" w14:textId="77777777" w:rsidR="002E2DE2" w:rsidRPr="00435997" w:rsidRDefault="002E2DE2" w:rsidP="002E2DE2">
      <w:pPr>
        <w:pStyle w:val="Notedebasdepage"/>
        <w:rPr>
          <w:lang w:val="fr-FR"/>
        </w:rPr>
      </w:pPr>
      <w:r w:rsidRPr="00435997">
        <w:rPr>
          <w:lang w:val="fr-FR"/>
        </w:rPr>
        <w:tab/>
      </w:r>
      <w:r w:rsidRPr="000959AF">
        <w:rPr>
          <w:rStyle w:val="Appelnotedebasdep"/>
          <w:vertAlign w:val="baseline"/>
          <w:lang w:val="fr-FR"/>
        </w:rPr>
        <w:t>**</w:t>
      </w:r>
      <w:r w:rsidRPr="00435997">
        <w:rPr>
          <w:lang w:val="fr-FR"/>
        </w:rPr>
        <w:tab/>
        <w:t>Le présent document a été soumis tardivement pour des raisons techniques.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049E8" w14:textId="3012CAD9" w:rsidR="00700F51" w:rsidRPr="00C55922" w:rsidRDefault="00C55922">
    <w:pPr>
      <w:pStyle w:val="En-tte"/>
    </w:pPr>
    <w:fldSimple w:instr=" TITLE  \* MERGEFORMAT ">
      <w:r w:rsidR="00E43D81">
        <w:t>ECE/TRANS/WP.29/2019/65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0AA50" w14:textId="07A6D89F" w:rsidR="00C55922" w:rsidRPr="00C55922" w:rsidRDefault="00C55922" w:rsidP="00C55922">
    <w:pPr>
      <w:pStyle w:val="En-tte"/>
      <w:jc w:val="right"/>
    </w:pPr>
    <w:fldSimple w:instr=" TITLE  \* MERGEFORMAT ">
      <w:r w:rsidR="00E43D81">
        <w:t>ECE/TRANS/WP.29/2019/65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E62DB"/>
    <w:rsid w:val="00017F94"/>
    <w:rsid w:val="00023842"/>
    <w:rsid w:val="000334F9"/>
    <w:rsid w:val="00045FEB"/>
    <w:rsid w:val="0007796D"/>
    <w:rsid w:val="000959AF"/>
    <w:rsid w:val="000B7790"/>
    <w:rsid w:val="00111F2F"/>
    <w:rsid w:val="0014365E"/>
    <w:rsid w:val="00143C66"/>
    <w:rsid w:val="0015409F"/>
    <w:rsid w:val="00176178"/>
    <w:rsid w:val="001A2FB8"/>
    <w:rsid w:val="001E085F"/>
    <w:rsid w:val="001F525A"/>
    <w:rsid w:val="00223272"/>
    <w:rsid w:val="0024779E"/>
    <w:rsid w:val="00257168"/>
    <w:rsid w:val="002744B8"/>
    <w:rsid w:val="002832AC"/>
    <w:rsid w:val="002B4037"/>
    <w:rsid w:val="002D7C93"/>
    <w:rsid w:val="002E2DE2"/>
    <w:rsid w:val="00301DC1"/>
    <w:rsid w:val="00305801"/>
    <w:rsid w:val="003916DE"/>
    <w:rsid w:val="003925CE"/>
    <w:rsid w:val="003B5359"/>
    <w:rsid w:val="003C65FF"/>
    <w:rsid w:val="00421996"/>
    <w:rsid w:val="00441C3B"/>
    <w:rsid w:val="00446FE5"/>
    <w:rsid w:val="00452396"/>
    <w:rsid w:val="004837D8"/>
    <w:rsid w:val="004E2EED"/>
    <w:rsid w:val="004E468C"/>
    <w:rsid w:val="005505B7"/>
    <w:rsid w:val="00573BE5"/>
    <w:rsid w:val="00586ED3"/>
    <w:rsid w:val="00596AA9"/>
    <w:rsid w:val="005B4C11"/>
    <w:rsid w:val="005E62DB"/>
    <w:rsid w:val="00647A45"/>
    <w:rsid w:val="0068586D"/>
    <w:rsid w:val="00700F51"/>
    <w:rsid w:val="00703CCE"/>
    <w:rsid w:val="0071601D"/>
    <w:rsid w:val="0075121E"/>
    <w:rsid w:val="007A62E6"/>
    <w:rsid w:val="007E1E10"/>
    <w:rsid w:val="007F20FA"/>
    <w:rsid w:val="0080684C"/>
    <w:rsid w:val="00871C75"/>
    <w:rsid w:val="008776DC"/>
    <w:rsid w:val="009446C0"/>
    <w:rsid w:val="009705C8"/>
    <w:rsid w:val="009A3481"/>
    <w:rsid w:val="009C1CF4"/>
    <w:rsid w:val="009F6B74"/>
    <w:rsid w:val="00A3029F"/>
    <w:rsid w:val="00A30353"/>
    <w:rsid w:val="00A323DC"/>
    <w:rsid w:val="00A32C60"/>
    <w:rsid w:val="00AC3823"/>
    <w:rsid w:val="00AE323C"/>
    <w:rsid w:val="00AF0CB5"/>
    <w:rsid w:val="00AF17FD"/>
    <w:rsid w:val="00AF21A7"/>
    <w:rsid w:val="00B00181"/>
    <w:rsid w:val="00B00B0D"/>
    <w:rsid w:val="00B45F2E"/>
    <w:rsid w:val="00B5287F"/>
    <w:rsid w:val="00B765F7"/>
    <w:rsid w:val="00BA0CA9"/>
    <w:rsid w:val="00BB4320"/>
    <w:rsid w:val="00BC09DD"/>
    <w:rsid w:val="00C02897"/>
    <w:rsid w:val="00C35B6D"/>
    <w:rsid w:val="00C55922"/>
    <w:rsid w:val="00C97039"/>
    <w:rsid w:val="00D3439C"/>
    <w:rsid w:val="00D66033"/>
    <w:rsid w:val="00DB1831"/>
    <w:rsid w:val="00DB3727"/>
    <w:rsid w:val="00DD3BFD"/>
    <w:rsid w:val="00DF6678"/>
    <w:rsid w:val="00E0299A"/>
    <w:rsid w:val="00E43D81"/>
    <w:rsid w:val="00E66F4C"/>
    <w:rsid w:val="00E85C74"/>
    <w:rsid w:val="00E9583B"/>
    <w:rsid w:val="00EA6547"/>
    <w:rsid w:val="00EF2E22"/>
    <w:rsid w:val="00F35BAF"/>
    <w:rsid w:val="00F55940"/>
    <w:rsid w:val="00F660DF"/>
    <w:rsid w:val="00F84B22"/>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A0E5BCE"/>
  <w15:docId w15:val="{4701645B-15DA-4A4C-B892-8B9792C6B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2</TotalTime>
  <Pages>6</Pages>
  <Words>2166</Words>
  <Characters>15167</Characters>
  <Application>Microsoft Office Word</Application>
  <DocSecurity>0</DocSecurity>
  <Lines>1263</Lines>
  <Paragraphs>693</Paragraphs>
  <ScaleCrop>false</ScaleCrop>
  <HeadingPairs>
    <vt:vector size="2" baseType="variant">
      <vt:variant>
        <vt:lpstr>Titre</vt:lpstr>
      </vt:variant>
      <vt:variant>
        <vt:i4>1</vt:i4>
      </vt:variant>
    </vt:vector>
  </HeadingPairs>
  <TitlesOfParts>
    <vt:vector size="1" baseType="lpstr">
      <vt:lpstr>ECE/TRANS/WP.29/2019/65</vt:lpstr>
    </vt:vector>
  </TitlesOfParts>
  <Company>DCM</Company>
  <LinksUpToDate>false</LinksUpToDate>
  <CharactersWithSpaces>16640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ECE/TRANS/WP.29/2019/65</dc:title>
  <dc:subject/>
  <dc:creator>Maud DARICHE</dc:creator>
  <cp:keywords/>
  <cp:lastModifiedBy>Maud DARICHE</cp:lastModifiedBy>
  <cp:revision>3</cp:revision>
  <cp:lastPrinted>2019-05-21T08:46:00Z</cp:lastPrinted>
  <dcterms:created xsi:type="dcterms:W3CDTF">2019-05-21T08:46:00Z</dcterms:created>
  <dcterms:modified xsi:type="dcterms:W3CDTF">2019-05-21T08:48:00Z</dcterms:modified>
</cp:coreProperties>
</file>