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43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4352" w:rsidP="00CF4352">
            <w:pPr>
              <w:jc w:val="right"/>
            </w:pPr>
            <w:r w:rsidRPr="00CF4352">
              <w:rPr>
                <w:sz w:val="40"/>
              </w:rPr>
              <w:t>ECE</w:t>
            </w:r>
            <w:r>
              <w:t>/TRANS/WP.29/2019/2</w:t>
            </w:r>
          </w:p>
        </w:tc>
      </w:tr>
      <w:tr w:rsidR="002D5AAC" w:rsidRPr="00CF43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43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4352" w:rsidRDefault="00CF4352" w:rsidP="00CF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2018</w:t>
            </w:r>
          </w:p>
          <w:p w:rsidR="00CF4352" w:rsidRDefault="00CF4352" w:rsidP="00CF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4352" w:rsidRPr="008D53B6" w:rsidRDefault="00CF4352" w:rsidP="00CF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F43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F4352" w:rsidRPr="00CF4352" w:rsidRDefault="00CF4352" w:rsidP="00CF4352">
      <w:pPr>
        <w:spacing w:before="120"/>
        <w:rPr>
          <w:sz w:val="28"/>
          <w:szCs w:val="28"/>
        </w:rPr>
      </w:pPr>
      <w:r w:rsidRPr="00CF4352">
        <w:rPr>
          <w:sz w:val="28"/>
          <w:szCs w:val="28"/>
        </w:rPr>
        <w:t>Комитет по внутреннему транспорту</w:t>
      </w:r>
    </w:p>
    <w:p w:rsidR="00CF4352" w:rsidRPr="00CF4352" w:rsidRDefault="00CF4352" w:rsidP="00CF4352">
      <w:pPr>
        <w:snapToGrid w:val="0"/>
        <w:spacing w:before="120"/>
        <w:rPr>
          <w:b/>
          <w:sz w:val="24"/>
          <w:szCs w:val="24"/>
        </w:rPr>
      </w:pPr>
      <w:r w:rsidRPr="00CF435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F4352">
        <w:rPr>
          <w:b/>
          <w:bCs/>
          <w:sz w:val="24"/>
          <w:szCs w:val="24"/>
        </w:rPr>
        <w:t>в области транспортных средств</w:t>
      </w:r>
    </w:p>
    <w:p w:rsidR="00CF4352" w:rsidRPr="00EB518C" w:rsidRDefault="00CF4352" w:rsidP="00CF435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CF4352" w:rsidRPr="00EB518C" w:rsidRDefault="00CF4352" w:rsidP="00CF4352">
      <w:r>
        <w:t>Женева, 12–15 марта 2019 года</w:t>
      </w:r>
    </w:p>
    <w:p w:rsidR="00E12C5F" w:rsidRDefault="00CF4352" w:rsidP="00CF4352">
      <w:r>
        <w:t>Пункты 2.3 и 17 предварительной повестки дня</w:t>
      </w:r>
      <w:r>
        <w:br/>
      </w:r>
      <w:r>
        <w:rPr>
          <w:b/>
          <w:bCs/>
        </w:rPr>
        <w:t>Координация и организация работы:</w:t>
      </w:r>
      <w:r>
        <w:rPr>
          <w:b/>
          <w:bCs/>
        </w:rPr>
        <w:br/>
        <w:t>Интеллектуальные транспортные системы</w:t>
      </w:r>
      <w:r>
        <w:t xml:space="preserve"> </w:t>
      </w:r>
      <w:r>
        <w:br/>
      </w:r>
      <w:r>
        <w:rPr>
          <w:b/>
          <w:bCs/>
        </w:rPr>
        <w:t xml:space="preserve">и координация деятельности, связанной </w:t>
      </w:r>
      <w:r>
        <w:rPr>
          <w:b/>
          <w:bCs/>
        </w:rPr>
        <w:br/>
        <w:t>с автоматизированными транспортными средствами</w:t>
      </w:r>
    </w:p>
    <w:p w:rsidR="00CF4352" w:rsidRPr="00EB518C" w:rsidRDefault="00CF4352" w:rsidP="00CF4352">
      <w:pPr>
        <w:pStyle w:val="HChG"/>
      </w:pPr>
      <w:r>
        <w:rPr>
          <w:bCs/>
        </w:rPr>
        <w:tab/>
      </w:r>
      <w:r>
        <w:rPr>
          <w:bCs/>
        </w:rPr>
        <w:tab/>
        <w:t>Приоритетные темы, связанные с автоматизированными и подключенными транспортными средствами (на основе документа WP.29-176-28)</w:t>
      </w:r>
      <w:r w:rsidRPr="00CF435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CF4352" w:rsidRPr="00EB518C" w:rsidRDefault="00CF4352" w:rsidP="00CF4352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:rsidR="00CF4352" w:rsidRPr="00EB518C" w:rsidRDefault="00CF4352" w:rsidP="00CF4352">
      <w:pPr>
        <w:pStyle w:val="SingleTxtG"/>
      </w:pPr>
      <w:r>
        <w:tab/>
      </w:r>
      <w:r w:rsidR="008F1A8E">
        <w:tab/>
      </w:r>
      <w:r>
        <w:t>Воспроизведенный ниже текст был подготовлен секретариатом на основе неофициального документа WP.29-176-28 и с учетом итогов совещания в формате веб</w:t>
      </w:r>
      <w:r>
        <w:noBreakHyphen/>
        <w:t>конференции, которое состоялось 19 декабря 2018 года (для целей представления замечаний по базовому документу). Он представляется Всемирному форуму для согласования правил в области транспортных средств (WP.29) для возможного одобрения на его 177-й сессии в марте 2019 года. Он передается также Рабочей группе по автоматизированным/автономным и подключенным транспортным средствам (GRVA) для ознакомления и рассмотрения на ее втором совещании.</w:t>
      </w:r>
    </w:p>
    <w:p w:rsidR="00CF4352" w:rsidRPr="00EB518C" w:rsidRDefault="00CF4352" w:rsidP="00CF4352">
      <w:pPr>
        <w:pStyle w:val="HChG"/>
        <w:keepNext w:val="0"/>
        <w:keepLines w:val="0"/>
        <w:pageBreakBefore/>
      </w:pPr>
      <w:r>
        <w:lastRenderedPageBreak/>
        <w:tab/>
      </w:r>
      <w:r>
        <w:tab/>
      </w:r>
      <w:r>
        <w:rPr>
          <w:bCs/>
        </w:rPr>
        <w:t>Предложение по приоритетным направлениям работы</w:t>
      </w:r>
      <w:r w:rsidR="008D530F">
        <w:rPr>
          <w:bCs/>
          <w:lang w:val="en-US"/>
        </w:rPr>
        <w:t> </w:t>
      </w:r>
      <w:r>
        <w:rPr>
          <w:bCs/>
        </w:rPr>
        <w:t>WP.29, связанным с автоматизированными и</w:t>
      </w:r>
      <w:r w:rsidR="008D530F">
        <w:rPr>
          <w:bCs/>
          <w:lang w:val="en-US"/>
        </w:rPr>
        <w:t> </w:t>
      </w:r>
      <w:r>
        <w:rPr>
          <w:bCs/>
        </w:rPr>
        <w:t>подключенными транспортными средствами</w:t>
      </w:r>
    </w:p>
    <w:p w:rsidR="00CF4352" w:rsidRPr="0048463B" w:rsidRDefault="00CF4352" w:rsidP="00CF4352">
      <w:pPr>
        <w:pStyle w:val="SingleTxtG"/>
      </w:pPr>
      <w:proofErr w:type="gramStart"/>
      <w:r>
        <w:t>1.</w:t>
      </w:r>
      <w:r>
        <w:tab/>
        <w:t>В</w:t>
      </w:r>
      <w:proofErr w:type="gramEnd"/>
      <w:r>
        <w:t xml:space="preserve"> приведенной ниже таблице основное внимание уделяется автоматизации. На более позднем этапе после дальнейшего рассмотрения в рамках WP.29 в эту таблицу могут быть добавлены пункты, касающиеся подключенных транспортных средств, помимо кибербезопасности. В настоящем документе не затрагиваются механизмы осуществления в рамках какого-либо одного или нескольких соглашений, находящихся в ведении WP.29. GRVA нацелена на подготовку технических положений, приемлемых для всех договаривающихся сторон.</w:t>
      </w:r>
    </w:p>
    <w:p w:rsidR="00CF4352" w:rsidRDefault="00CF4352" w:rsidP="00CF4352">
      <w:pPr>
        <w:pStyle w:val="SingleTxtG"/>
      </w:pPr>
      <w:r>
        <w:t>2.</w:t>
      </w:r>
      <w:r>
        <w:tab/>
        <w:t>Приведенная ниже таблица содержит предлагаемые приоритетные направления работы для WP.29.</w:t>
      </w:r>
    </w:p>
    <w:p w:rsidR="00CF4352" w:rsidRDefault="00CF435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F4352" w:rsidRDefault="00CF4352" w:rsidP="008D530F">
      <w:pPr>
        <w:pStyle w:val="H23G"/>
        <w:ind w:left="0" w:right="0" w:firstLine="0"/>
      </w:pPr>
      <w:r>
        <w:lastRenderedPageBreak/>
        <w:tab/>
      </w:r>
      <w:r w:rsidRPr="00CF4352">
        <w:rPr>
          <w:b w:val="0"/>
        </w:rPr>
        <w:t>Таблица 1</w:t>
      </w:r>
      <w:r>
        <w:rPr>
          <w:b w:val="0"/>
        </w:rPr>
        <w:br/>
      </w:r>
      <w:r>
        <w:rPr>
          <w:bCs/>
        </w:rPr>
        <w:t>Приоритетные направления работы, связанные с автоматизированными и подключенными транспортными средствами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15"/>
        <w:gridCol w:w="1010"/>
        <w:gridCol w:w="1808"/>
        <w:gridCol w:w="5004"/>
      </w:tblGrid>
      <w:tr w:rsidR="00264A36" w:rsidRPr="00CF4352" w:rsidTr="008D530F">
        <w:trPr>
          <w:tblHeader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</w:tcPr>
          <w:p w:rsidR="00CF4352" w:rsidRPr="00CF4352" w:rsidRDefault="00CF4352" w:rsidP="00264A36">
            <w:pPr>
              <w:spacing w:before="40" w:after="40" w:line="200" w:lineRule="exact"/>
              <w:rPr>
                <w:rFonts w:eastAsia="MS PGothic" w:cs="Times New Roman"/>
                <w:i/>
                <w:sz w:val="16"/>
              </w:rPr>
            </w:pPr>
            <w:r w:rsidRPr="00CF4352">
              <w:rPr>
                <w:rFonts w:cs="Times New Roman"/>
                <w:i/>
                <w:sz w:val="16"/>
              </w:rPr>
              <w:t xml:space="preserve">Название 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F4352" w:rsidRPr="00CF4352" w:rsidRDefault="00CF4352" w:rsidP="00264A36">
            <w:pPr>
              <w:spacing w:before="40" w:after="40" w:line="200" w:lineRule="exact"/>
              <w:rPr>
                <w:rFonts w:eastAsia="MS PGothic" w:cs="Times New Roman"/>
                <w:i/>
                <w:sz w:val="16"/>
              </w:rPr>
            </w:pPr>
            <w:r w:rsidRPr="00CF4352">
              <w:rPr>
                <w:rFonts w:cs="Times New Roman"/>
                <w:i/>
                <w:sz w:val="16"/>
              </w:rPr>
              <w:t xml:space="preserve">Рабочая группа 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F4352" w:rsidRPr="00CF4352" w:rsidRDefault="00CF4352" w:rsidP="00264A36">
            <w:pPr>
              <w:spacing w:before="40" w:after="40" w:line="200" w:lineRule="exact"/>
              <w:rPr>
                <w:rFonts w:eastAsia="MS PGothic" w:cs="Times New Roman"/>
                <w:i/>
                <w:sz w:val="16"/>
              </w:rPr>
            </w:pPr>
            <w:r w:rsidRPr="00CF4352">
              <w:rPr>
                <w:rFonts w:cs="Times New Roman"/>
                <w:i/>
                <w:sz w:val="16"/>
              </w:rPr>
              <w:t>Целевые категории</w:t>
            </w:r>
          </w:p>
        </w:tc>
        <w:tc>
          <w:tcPr>
            <w:tcW w:w="259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4352" w:rsidRPr="00CF4352" w:rsidRDefault="00CF4352" w:rsidP="008D530F">
            <w:pPr>
              <w:spacing w:before="40" w:after="40" w:line="200" w:lineRule="exact"/>
              <w:ind w:left="57"/>
              <w:rPr>
                <w:rFonts w:eastAsia="MS PGothic" w:cs="Times New Roman"/>
                <w:i/>
                <w:sz w:val="16"/>
              </w:rPr>
            </w:pPr>
            <w:r w:rsidRPr="00CF4352">
              <w:rPr>
                <w:rFonts w:cs="Times New Roman"/>
                <w:i/>
                <w:sz w:val="16"/>
              </w:rPr>
              <w:t>Замечания</w:t>
            </w:r>
          </w:p>
        </w:tc>
      </w:tr>
      <w:tr w:rsidR="00264A36" w:rsidRPr="00CF4352" w:rsidTr="008D530F">
        <w:trPr>
          <w:tblHeader/>
        </w:trPr>
        <w:tc>
          <w:tcPr>
            <w:tcW w:w="942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cs="Times New Roman"/>
                <w:sz w:val="18"/>
                <w:szCs w:val="18"/>
              </w:rPr>
            </w:pPr>
            <w:r w:rsidRPr="008D530F">
              <w:rPr>
                <w:rFonts w:cs="Times New Roman"/>
                <w:spacing w:val="-10"/>
                <w:sz w:val="18"/>
                <w:szCs w:val="18"/>
              </w:rPr>
              <w:t>Рамочный документ по</w:t>
            </w:r>
            <w:r w:rsidRPr="008D530F">
              <w:rPr>
                <w:rFonts w:cs="Times New Roman"/>
                <w:spacing w:val="-8"/>
                <w:sz w:val="18"/>
                <w:szCs w:val="18"/>
              </w:rPr>
              <w:t xml:space="preserve"> автоматизированным/</w:t>
            </w:r>
            <w:r w:rsidR="00264A36">
              <w:rPr>
                <w:rFonts w:cs="Times New Roman"/>
                <w:sz w:val="18"/>
                <w:szCs w:val="18"/>
              </w:rPr>
              <w:br/>
            </w:r>
            <w:r w:rsidRPr="00CF4352">
              <w:rPr>
                <w:rFonts w:cs="Times New Roman"/>
                <w:sz w:val="18"/>
                <w:szCs w:val="18"/>
              </w:rPr>
              <w:t xml:space="preserve">автономным транспортным средствам 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GRVA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Автоматизированные/</w:t>
            </w:r>
            <w:r w:rsidR="00264A36">
              <w:rPr>
                <w:rFonts w:cs="Times New Roman"/>
                <w:sz w:val="18"/>
                <w:szCs w:val="18"/>
              </w:rPr>
              <w:br/>
            </w:r>
            <w:r w:rsidRPr="00CF4352">
              <w:rPr>
                <w:rFonts w:cs="Times New Roman"/>
                <w:sz w:val="18"/>
                <w:szCs w:val="18"/>
              </w:rPr>
              <w:t>автономные транспортные средства</w:t>
            </w:r>
          </w:p>
        </w:tc>
        <w:tc>
          <w:tcPr>
            <w:tcW w:w="2597" w:type="pct"/>
            <w:tcBorders>
              <w:top w:val="single" w:sz="12" w:space="0" w:color="auto"/>
            </w:tcBorders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Это направление работы следует сосредоточить на разработке принципов и руководящих указаний в области регулирования вопросов использования автоматизированных/автономных транспортных средств и их безопасности.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Оно охватывает все ключевые элементы и методы оценки.</w:t>
            </w:r>
          </w:p>
        </w:tc>
      </w:tr>
      <w:tr w:rsidR="008D530F" w:rsidRPr="00CF4352" w:rsidTr="008D530F">
        <w:trPr>
          <w:tblHeader/>
        </w:trPr>
        <w:tc>
          <w:tcPr>
            <w:tcW w:w="942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 xml:space="preserve">Функциональные требования для </w:t>
            </w:r>
            <w:r w:rsidRPr="00264A36">
              <w:rPr>
                <w:rFonts w:cs="Times New Roman"/>
                <w:spacing w:val="-4"/>
                <w:sz w:val="18"/>
                <w:szCs w:val="18"/>
              </w:rPr>
              <w:t>автоматизированных</w:t>
            </w:r>
            <w:r w:rsidRPr="00CF4352">
              <w:rPr>
                <w:rFonts w:cs="Times New Roman"/>
                <w:sz w:val="18"/>
                <w:szCs w:val="18"/>
              </w:rPr>
              <w:t>/автономных транспортных средств</w:t>
            </w:r>
          </w:p>
        </w:tc>
        <w:tc>
          <w:tcPr>
            <w:tcW w:w="52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GRVA</w:t>
            </w:r>
          </w:p>
        </w:tc>
        <w:tc>
          <w:tcPr>
            <w:tcW w:w="93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Автоматизированные/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CF4352">
              <w:rPr>
                <w:rFonts w:cs="Times New Roman"/>
                <w:sz w:val="18"/>
                <w:szCs w:val="18"/>
              </w:rPr>
              <w:t>автономные транспортные средства</w:t>
            </w:r>
          </w:p>
        </w:tc>
        <w:tc>
          <w:tcPr>
            <w:tcW w:w="2597" w:type="pct"/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Это направление работы должно охватывать функциональные требования для сочетания различных функций, связанных с вождением: контроль движения в продольном направлении (ускорение, торможение, скорость движения по дороге), боковой контроль (соблюдение правил движения по полосам), наблюдение за окружающей обстановкой (спереди, сбоку, сзади), маневрирование с минимальным риском, запрос на передачу управления, ЧМИ (внутренний и внешний) и наблюдение за действиями водителя.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Это направление работы должно охватывать также требования в отношении функциональной безопасности.</w:t>
            </w:r>
          </w:p>
        </w:tc>
      </w:tr>
      <w:tr w:rsidR="008D530F" w:rsidRPr="00CF4352" w:rsidTr="008D530F">
        <w:trPr>
          <w:tblHeader/>
        </w:trPr>
        <w:tc>
          <w:tcPr>
            <w:tcW w:w="942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Новый метод оценки/испытания</w:t>
            </w:r>
          </w:p>
        </w:tc>
        <w:tc>
          <w:tcPr>
            <w:tcW w:w="52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GRVA</w:t>
            </w:r>
          </w:p>
        </w:tc>
        <w:tc>
          <w:tcPr>
            <w:tcW w:w="93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8D530F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Автоматизированные/ автономные транспортные средства</w:t>
            </w:r>
          </w:p>
        </w:tc>
        <w:tc>
          <w:tcPr>
            <w:tcW w:w="2597" w:type="pct"/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Многоуровневая концепция: аудит, моделирование, соответствие электронной системы, цифровая идентификация, испытательный трек, оценка вождения в реальных условиях эксплуатации.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Это направление работы должно охватывать также оценку функциональной безопасности.</w:t>
            </w:r>
          </w:p>
        </w:tc>
      </w:tr>
      <w:tr w:rsidR="008D530F" w:rsidRPr="00CF4352" w:rsidTr="008D530F">
        <w:trPr>
          <w:tblHeader/>
        </w:trPr>
        <w:tc>
          <w:tcPr>
            <w:tcW w:w="942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Кибербезопасность</w:t>
            </w:r>
          </w:p>
        </w:tc>
        <w:tc>
          <w:tcPr>
            <w:tcW w:w="52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GRVA</w:t>
            </w:r>
          </w:p>
        </w:tc>
        <w:tc>
          <w:tcPr>
            <w:tcW w:w="93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Традиционные и автоматизированные/автономные транспортные средства</w:t>
            </w:r>
          </w:p>
        </w:tc>
        <w:tc>
          <w:tcPr>
            <w:tcW w:w="2597" w:type="pct"/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Работа целевой группы по кибербезопасности и беспроводным обновлениям программного обеспечения (ЦГ по КБ/БС) продолжается.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Проект рекомендаций в отношении законодательного подхода и соответствующий проект правил представлены GRVA.</w:t>
            </w:r>
          </w:p>
        </w:tc>
      </w:tr>
      <w:tr w:rsidR="008D530F" w:rsidRPr="00CF4352" w:rsidTr="008D530F">
        <w:trPr>
          <w:tblHeader/>
        </w:trPr>
        <w:tc>
          <w:tcPr>
            <w:tcW w:w="942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Обновления программного обеспечения (БС)</w:t>
            </w:r>
          </w:p>
        </w:tc>
        <w:tc>
          <w:tcPr>
            <w:tcW w:w="52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GRVA</w:t>
            </w:r>
          </w:p>
        </w:tc>
        <w:tc>
          <w:tcPr>
            <w:tcW w:w="93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Обычные и автоматизированные/автономные транспортные средства</w:t>
            </w:r>
          </w:p>
        </w:tc>
        <w:tc>
          <w:tcPr>
            <w:tcW w:w="2597" w:type="pct"/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Работа целевой группы по кибербезопасности и беспроводным обновлениям программного обеспечения (ЦГ по КБ/БС) продолжается.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Проект рекомендаций по законодательному подходу и проект правил представлены GRVA.</w:t>
            </w:r>
          </w:p>
        </w:tc>
      </w:tr>
      <w:tr w:rsidR="008D530F" w:rsidRPr="00CF4352" w:rsidTr="008D530F">
        <w:trPr>
          <w:tblHeader/>
        </w:trPr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Регистратор данных об аварии (РДА)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GRSG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Обычные и автоматизированные/автономные транспортные средства</w:t>
            </w:r>
          </w:p>
        </w:tc>
        <w:tc>
          <w:tcPr>
            <w:tcW w:w="2597" w:type="pct"/>
            <w:tcBorders>
              <w:bottom w:val="single" w:sz="4" w:space="0" w:color="auto"/>
            </w:tcBorders>
            <w:shd w:val="clear" w:color="auto" w:fill="auto"/>
          </w:tcPr>
          <w:p w:rsidR="00CF4352" w:rsidRPr="00CF4352" w:rsidRDefault="00CF4352" w:rsidP="008D530F">
            <w:pPr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Существующие системы как инструмент повышения безопасности дорожного движения (например, регистрация данных об аварии)</w:t>
            </w:r>
          </w:p>
        </w:tc>
      </w:tr>
      <w:tr w:rsidR="00264A36" w:rsidRPr="00CF4352" w:rsidTr="008D530F">
        <w:trPr>
          <w:tblHeader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 xml:space="preserve">Система хранения данных для </w:t>
            </w:r>
            <w:r w:rsidRPr="00264A36">
              <w:rPr>
                <w:rFonts w:cs="Times New Roman"/>
                <w:spacing w:val="-4"/>
                <w:sz w:val="18"/>
                <w:szCs w:val="18"/>
              </w:rPr>
              <w:t>автоматизированных</w:t>
            </w:r>
            <w:r w:rsidRPr="00CF4352">
              <w:rPr>
                <w:rFonts w:cs="Times New Roman"/>
                <w:sz w:val="18"/>
                <w:szCs w:val="18"/>
              </w:rPr>
              <w:t xml:space="preserve"> транспортных средств (СХДАВ)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  <w:u w:val="single"/>
              </w:rPr>
              <w:t>Сначала</w:t>
            </w:r>
            <w:r w:rsidRPr="00CF4352">
              <w:rPr>
                <w:rFonts w:cs="Times New Roman"/>
                <w:sz w:val="18"/>
                <w:szCs w:val="18"/>
              </w:rPr>
              <w:t xml:space="preserve">: GRVA </w:t>
            </w:r>
          </w:p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  <w:u w:val="single"/>
              </w:rPr>
              <w:t>Позднее</w:t>
            </w:r>
            <w:r w:rsidRPr="00CF4352">
              <w:rPr>
                <w:rFonts w:cs="Times New Roman"/>
                <w:sz w:val="18"/>
                <w:szCs w:val="18"/>
              </w:rPr>
              <w:t xml:space="preserve">: GRSG (в </w:t>
            </w:r>
            <w:r w:rsidRPr="00264A36">
              <w:rPr>
                <w:rFonts w:cs="Times New Roman"/>
                <w:spacing w:val="-8"/>
                <w:sz w:val="18"/>
                <w:szCs w:val="18"/>
              </w:rPr>
              <w:t>координации</w:t>
            </w:r>
            <w:r w:rsidRPr="00CF4352">
              <w:rPr>
                <w:rFonts w:cs="Times New Roman"/>
                <w:sz w:val="18"/>
                <w:szCs w:val="18"/>
              </w:rPr>
              <w:t xml:space="preserve"> с GRVA)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F4352" w:rsidRPr="00CF4352" w:rsidRDefault="00CF4352" w:rsidP="00264A36">
            <w:pPr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Автоматизированные/автономные транспортные средства</w:t>
            </w:r>
          </w:p>
        </w:tc>
        <w:tc>
          <w:tcPr>
            <w:tcW w:w="2597" w:type="pct"/>
            <w:tcBorders>
              <w:bottom w:val="single" w:sz="12" w:space="0" w:color="auto"/>
            </w:tcBorders>
            <w:shd w:val="clear" w:color="auto" w:fill="auto"/>
          </w:tcPr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СХДАВ предназначена для автономных транспортных средств (например, для регистрирования данных об аварии). Это направление работы должно учитывать обсуждения, которые проходят в рамках GRVA и ее неофициальной рабочей группы по автоматизированным функциям рулевого управления (НРГ</w:t>
            </w:r>
            <w:r w:rsidR="008D530F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CF4352">
              <w:rPr>
                <w:rFonts w:cs="Times New Roman"/>
                <w:sz w:val="18"/>
                <w:szCs w:val="18"/>
              </w:rPr>
              <w:t>по АФРУ).</w:t>
            </w:r>
          </w:p>
          <w:p w:rsidR="00CF4352" w:rsidRPr="00CF4352" w:rsidRDefault="00CF4352" w:rsidP="008F1A8E">
            <w:pPr>
              <w:spacing w:after="60"/>
              <w:ind w:left="57"/>
              <w:rPr>
                <w:rFonts w:eastAsia="MS PGothic" w:cs="Times New Roman"/>
                <w:bCs/>
                <w:sz w:val="18"/>
                <w:szCs w:val="18"/>
              </w:rPr>
            </w:pPr>
            <w:r w:rsidRPr="00CF4352">
              <w:rPr>
                <w:rFonts w:cs="Times New Roman"/>
                <w:sz w:val="18"/>
                <w:szCs w:val="18"/>
              </w:rPr>
              <w:t>Прежде чем обсуждать вопросы, касающиеся конкретных данных и информации, следует определить четкие цели и сроки и выявить различия с РДА.</w:t>
            </w:r>
          </w:p>
        </w:tc>
      </w:tr>
    </w:tbl>
    <w:p w:rsidR="00CF4352" w:rsidRPr="008D530F" w:rsidRDefault="008D530F" w:rsidP="008F1A8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4352" w:rsidRPr="008D530F" w:rsidSect="00CF43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C6" w:rsidRPr="00A312BC" w:rsidRDefault="003B4EC6" w:rsidP="00A312BC"/>
  </w:endnote>
  <w:endnote w:type="continuationSeparator" w:id="0">
    <w:p w:rsidR="003B4EC6" w:rsidRPr="00A312BC" w:rsidRDefault="003B4E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52" w:rsidRPr="00CF4352" w:rsidRDefault="00CF4352">
    <w:pPr>
      <w:pStyle w:val="Footer"/>
    </w:pPr>
    <w:r w:rsidRPr="00CF4352">
      <w:rPr>
        <w:b/>
        <w:sz w:val="18"/>
      </w:rPr>
      <w:fldChar w:fldCharType="begin"/>
    </w:r>
    <w:r w:rsidRPr="00CF4352">
      <w:rPr>
        <w:b/>
        <w:sz w:val="18"/>
      </w:rPr>
      <w:instrText xml:space="preserve"> PAGE  \* MERGEFORMAT </w:instrText>
    </w:r>
    <w:r w:rsidRPr="00CF4352">
      <w:rPr>
        <w:b/>
        <w:sz w:val="18"/>
      </w:rPr>
      <w:fldChar w:fldCharType="separate"/>
    </w:r>
    <w:r w:rsidR="004B26E5">
      <w:rPr>
        <w:b/>
        <w:noProof/>
        <w:sz w:val="18"/>
      </w:rPr>
      <w:t>2</w:t>
    </w:r>
    <w:r w:rsidRPr="00CF4352">
      <w:rPr>
        <w:b/>
        <w:sz w:val="18"/>
      </w:rPr>
      <w:fldChar w:fldCharType="end"/>
    </w:r>
    <w:r>
      <w:rPr>
        <w:b/>
        <w:sz w:val="18"/>
      </w:rPr>
      <w:tab/>
    </w:r>
    <w:r>
      <w:t>GE.18-22420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52" w:rsidRPr="00CF4352" w:rsidRDefault="00CF4352" w:rsidP="00CF4352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GE.18-22420</w:t>
    </w:r>
    <w:r>
      <w:tab/>
    </w:r>
    <w:r w:rsidRPr="00CF4352">
      <w:rPr>
        <w:b/>
        <w:sz w:val="18"/>
      </w:rPr>
      <w:fldChar w:fldCharType="begin"/>
    </w:r>
    <w:r w:rsidRPr="00CF4352">
      <w:rPr>
        <w:b/>
        <w:sz w:val="18"/>
      </w:rPr>
      <w:instrText xml:space="preserve"> PAGE  \* MERGEFORMAT </w:instrText>
    </w:r>
    <w:r w:rsidRPr="00CF4352">
      <w:rPr>
        <w:b/>
        <w:sz w:val="18"/>
      </w:rPr>
      <w:fldChar w:fldCharType="separate"/>
    </w:r>
    <w:r w:rsidR="004B26E5">
      <w:rPr>
        <w:b/>
        <w:noProof/>
        <w:sz w:val="18"/>
      </w:rPr>
      <w:t>3</w:t>
    </w:r>
    <w:r w:rsidRPr="00CF43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F4352" w:rsidRDefault="00CF4352" w:rsidP="00CF43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22420  (</w:t>
    </w:r>
    <w:proofErr w:type="gramEnd"/>
    <w:r>
      <w:t>R)</w:t>
    </w:r>
    <w:r w:rsidR="008D530F">
      <w:rPr>
        <w:lang w:val="en-US"/>
      </w:rPr>
      <w:t xml:space="preserve">  240119  250119</w:t>
    </w:r>
    <w:r>
      <w:br/>
    </w:r>
    <w:r w:rsidRPr="00CF4352">
      <w:rPr>
        <w:rFonts w:ascii="C39T30Lfz" w:hAnsi="C39T30Lfz"/>
        <w:kern w:val="14"/>
        <w:sz w:val="56"/>
      </w:rPr>
      <w:t></w:t>
    </w:r>
    <w:r w:rsidRPr="00CF4352">
      <w:rPr>
        <w:rFonts w:ascii="C39T30Lfz" w:hAnsi="C39T30Lfz"/>
        <w:kern w:val="14"/>
        <w:sz w:val="56"/>
      </w:rPr>
      <w:t></w:t>
    </w:r>
    <w:r w:rsidRPr="00CF4352">
      <w:rPr>
        <w:rFonts w:ascii="C39T30Lfz" w:hAnsi="C39T30Lfz"/>
        <w:kern w:val="14"/>
        <w:sz w:val="56"/>
      </w:rPr>
      <w:t></w:t>
    </w:r>
    <w:r w:rsidRPr="00CF4352">
      <w:rPr>
        <w:rFonts w:ascii="C39T30Lfz" w:hAnsi="C39T30Lfz"/>
        <w:kern w:val="14"/>
        <w:sz w:val="56"/>
      </w:rPr>
      <w:t></w:t>
    </w:r>
    <w:r w:rsidRPr="00CF4352">
      <w:rPr>
        <w:rFonts w:ascii="C39T30Lfz" w:hAnsi="C39T30Lfz"/>
        <w:kern w:val="14"/>
        <w:sz w:val="56"/>
      </w:rPr>
      <w:t></w:t>
    </w:r>
    <w:r w:rsidRPr="00CF4352">
      <w:rPr>
        <w:rFonts w:ascii="C39T30Lfz" w:hAnsi="C39T30Lfz"/>
        <w:kern w:val="14"/>
        <w:sz w:val="56"/>
      </w:rPr>
      <w:t></w:t>
    </w:r>
    <w:r w:rsidRPr="00CF4352">
      <w:rPr>
        <w:rFonts w:ascii="C39T30Lfz" w:hAnsi="C39T30Lfz"/>
        <w:kern w:val="14"/>
        <w:sz w:val="56"/>
      </w:rPr>
      <w:t></w:t>
    </w:r>
    <w:r w:rsidRPr="00CF4352">
      <w:rPr>
        <w:rFonts w:ascii="C39T30Lfz" w:hAnsi="C39T30Lfz"/>
        <w:kern w:val="14"/>
        <w:sz w:val="56"/>
      </w:rPr>
      <w:t></w:t>
    </w:r>
    <w:r w:rsidRPr="00CF43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C6" w:rsidRPr="001075E9" w:rsidRDefault="003B4E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4EC6" w:rsidRDefault="003B4E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4352" w:rsidRDefault="00CF4352" w:rsidP="00CF4352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52" w:rsidRPr="00CF4352" w:rsidRDefault="00C238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B26E5">
      <w:t>ECE/TRANS/WP.29/2019/2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52" w:rsidRPr="00CF4352" w:rsidRDefault="00C238CF" w:rsidP="00CF43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B26E5">
      <w:t>ECE/TRANS/WP.29/2019/2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C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A36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EC6"/>
    <w:rsid w:val="003E0B46"/>
    <w:rsid w:val="00407B78"/>
    <w:rsid w:val="00424203"/>
    <w:rsid w:val="00452493"/>
    <w:rsid w:val="00453318"/>
    <w:rsid w:val="00454AF2"/>
    <w:rsid w:val="00454E07"/>
    <w:rsid w:val="00472C5C"/>
    <w:rsid w:val="004B26E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0F"/>
    <w:rsid w:val="008D53B6"/>
    <w:rsid w:val="008F1A8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71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8CF"/>
    <w:rsid w:val="00C60F0C"/>
    <w:rsid w:val="00C71E84"/>
    <w:rsid w:val="00C805C9"/>
    <w:rsid w:val="00C92939"/>
    <w:rsid w:val="00CA1679"/>
    <w:rsid w:val="00CB151C"/>
    <w:rsid w:val="00CE5A1A"/>
    <w:rsid w:val="00CF4352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09DF7B-3C52-4BE9-9EED-BEF3C308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CF4352"/>
    <w:pPr>
      <w:ind w:left="1440" w:right="1440"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CF435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F435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F435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</vt:lpstr>
      <vt:lpstr>ECE/TRANS/WP.29/2019/2</vt:lpstr>
      <vt:lpstr>A/</vt:lpstr>
    </vt:vector>
  </TitlesOfParts>
  <Company>DCM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</dc:title>
  <dc:subject/>
  <dc:creator>Marina KOROTKOVA</dc:creator>
  <cp:keywords/>
  <cp:lastModifiedBy>Marie-Claude Collet</cp:lastModifiedBy>
  <cp:revision>2</cp:revision>
  <cp:lastPrinted>2019-01-25T06:54:00Z</cp:lastPrinted>
  <dcterms:created xsi:type="dcterms:W3CDTF">2019-02-04T13:35:00Z</dcterms:created>
  <dcterms:modified xsi:type="dcterms:W3CDTF">2019-02-04T13:35:00Z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