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3AC0BE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E6F5052" w14:textId="77777777" w:rsidR="00F35BAF" w:rsidRPr="00DB58B5" w:rsidRDefault="00F35BAF" w:rsidP="004B622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F69167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D904B77" w14:textId="77777777" w:rsidR="00F35BAF" w:rsidRPr="00DB58B5" w:rsidRDefault="004B6225" w:rsidP="004B6225">
            <w:pPr>
              <w:jc w:val="right"/>
            </w:pPr>
            <w:r w:rsidRPr="004B6225">
              <w:rPr>
                <w:sz w:val="40"/>
              </w:rPr>
              <w:t>ECE</w:t>
            </w:r>
            <w:r>
              <w:t>/TRANS/WP.29/2019/84</w:t>
            </w:r>
          </w:p>
        </w:tc>
      </w:tr>
      <w:tr w:rsidR="00F35BAF" w:rsidRPr="00DB58B5" w14:paraId="4A82AE3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A5106D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3C5FE59" wp14:editId="5DBB59F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7F435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A480C8A" w14:textId="77777777" w:rsidR="00F35BAF" w:rsidRDefault="004B6225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39160E75" w14:textId="77777777" w:rsidR="004B6225" w:rsidRDefault="004B6225" w:rsidP="004B6225">
            <w:pPr>
              <w:spacing w:line="240" w:lineRule="exact"/>
            </w:pPr>
            <w:r>
              <w:t>27 août 2019</w:t>
            </w:r>
          </w:p>
          <w:p w14:paraId="1E356FF4" w14:textId="77777777" w:rsidR="004B6225" w:rsidRDefault="004B6225" w:rsidP="004B6225">
            <w:pPr>
              <w:spacing w:line="240" w:lineRule="exact"/>
            </w:pPr>
            <w:r>
              <w:t>Français</w:t>
            </w:r>
          </w:p>
          <w:p w14:paraId="0314A821" w14:textId="77777777" w:rsidR="004B6225" w:rsidRPr="00DB58B5" w:rsidRDefault="004B6225" w:rsidP="004B6225">
            <w:pPr>
              <w:spacing w:line="240" w:lineRule="exact"/>
            </w:pPr>
            <w:r>
              <w:t>Original : anglais</w:t>
            </w:r>
          </w:p>
        </w:tc>
      </w:tr>
    </w:tbl>
    <w:p w14:paraId="12623E9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E08D43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3C23141" w14:textId="77777777" w:rsidR="00A92060" w:rsidRPr="00C27C85" w:rsidRDefault="00A92060" w:rsidP="00C27C85">
      <w:pPr>
        <w:spacing w:before="120"/>
        <w:rPr>
          <w:b/>
          <w:sz w:val="24"/>
          <w:szCs w:val="24"/>
        </w:rPr>
      </w:pPr>
      <w:r w:rsidRPr="00C27C85">
        <w:rPr>
          <w:b/>
          <w:sz w:val="24"/>
          <w:szCs w:val="24"/>
        </w:rPr>
        <w:t>Forum mondial de l’harmonisation</w:t>
      </w:r>
      <w:r w:rsidRPr="00C27C85">
        <w:rPr>
          <w:b/>
          <w:sz w:val="24"/>
          <w:szCs w:val="24"/>
        </w:rPr>
        <w:br/>
        <w:t>des Règlements concernant les véhicules</w:t>
      </w:r>
    </w:p>
    <w:p w14:paraId="1BE833FA" w14:textId="77777777" w:rsidR="00A92060" w:rsidRPr="00C27C85" w:rsidRDefault="00A92060" w:rsidP="00C27C85">
      <w:pPr>
        <w:spacing w:before="120"/>
        <w:rPr>
          <w:b/>
        </w:rPr>
      </w:pPr>
      <w:r w:rsidRPr="00C27C85">
        <w:rPr>
          <w:b/>
        </w:rPr>
        <w:t>179</w:t>
      </w:r>
      <w:r w:rsidRPr="00C27C85">
        <w:rPr>
          <w:b/>
          <w:vertAlign w:val="superscript"/>
        </w:rPr>
        <w:t>e</w:t>
      </w:r>
      <w:r w:rsidRPr="00C27C85">
        <w:rPr>
          <w:b/>
        </w:rPr>
        <w:t xml:space="preserve"> session</w:t>
      </w:r>
    </w:p>
    <w:p w14:paraId="361EBB7D" w14:textId="77777777" w:rsidR="00A92060" w:rsidRPr="00C27C85" w:rsidRDefault="00A92060" w:rsidP="00A92060">
      <w:r w:rsidRPr="00C27C85">
        <w:rPr>
          <w:lang w:val="fr-FR"/>
        </w:rPr>
        <w:t>Genève, 12-14 novembre 2019</w:t>
      </w:r>
    </w:p>
    <w:p w14:paraId="540B70B1" w14:textId="77777777" w:rsidR="00A92060" w:rsidRPr="00C27C85" w:rsidRDefault="00A92060" w:rsidP="00A92060">
      <w:pPr>
        <w:rPr>
          <w:lang w:val="fr-FR"/>
        </w:rPr>
      </w:pPr>
      <w:r w:rsidRPr="00C27C85">
        <w:rPr>
          <w:lang w:val="fr-FR"/>
        </w:rPr>
        <w:t>Point 4.6.7 de l’ordre du jour provisoire</w:t>
      </w:r>
    </w:p>
    <w:p w14:paraId="55EF1EAD" w14:textId="77777777" w:rsidR="00A92060" w:rsidRPr="00C27C85" w:rsidRDefault="00A92060" w:rsidP="00A92060">
      <w:pPr>
        <w:rPr>
          <w:b/>
        </w:rPr>
      </w:pPr>
      <w:r w:rsidRPr="00C27C85">
        <w:rPr>
          <w:b/>
        </w:rPr>
        <w:t xml:space="preserve">Accord de 1958 : </w:t>
      </w:r>
      <w:r w:rsidR="00C27C85">
        <w:rPr>
          <w:b/>
        </w:rPr>
        <w:br/>
      </w:r>
      <w:r w:rsidRPr="00C27C85">
        <w:rPr>
          <w:b/>
        </w:rPr>
        <w:t xml:space="preserve">Examen de projets d’amendements à des Règlements ONU existants, </w:t>
      </w:r>
      <w:r w:rsidR="00C27C85">
        <w:rPr>
          <w:b/>
        </w:rPr>
        <w:br/>
      </w:r>
      <w:r w:rsidRPr="00C27C85">
        <w:rPr>
          <w:b/>
        </w:rPr>
        <w:t>soumis par le GRE</w:t>
      </w:r>
    </w:p>
    <w:p w14:paraId="5178ADA9" w14:textId="77777777" w:rsidR="00A92060" w:rsidRPr="00C27C85" w:rsidRDefault="00C27C85" w:rsidP="00C27C85">
      <w:pPr>
        <w:pStyle w:val="HChG"/>
      </w:pPr>
      <w:r>
        <w:tab/>
      </w:r>
      <w:r>
        <w:tab/>
      </w:r>
      <w:r w:rsidR="00A92060" w:rsidRPr="00C27C85">
        <w:t>Proposition de complément 13 à la série 06 d’amendements au Règlement ONU n</w:t>
      </w:r>
      <w:r w:rsidR="00A92060" w:rsidRPr="00C27C85">
        <w:rPr>
          <w:vertAlign w:val="superscript"/>
        </w:rPr>
        <w:t>o</w:t>
      </w:r>
      <w:r w:rsidR="00A92060" w:rsidRPr="00C27C85">
        <w:t> 48 (Installation des dispositifs d’éclairage et de signalisation lumineuse</w:t>
      </w:r>
      <w:r w:rsidR="00DD36C2">
        <w:t>)</w:t>
      </w:r>
    </w:p>
    <w:p w14:paraId="1DAB0BEE" w14:textId="77777777" w:rsidR="00A92060" w:rsidRPr="00C27C85" w:rsidRDefault="00C27C85" w:rsidP="00C27C85">
      <w:pPr>
        <w:pStyle w:val="H1G"/>
      </w:pPr>
      <w:r>
        <w:tab/>
      </w:r>
      <w:r>
        <w:tab/>
      </w:r>
      <w:r w:rsidR="00A92060" w:rsidRPr="00C27C85">
        <w:t xml:space="preserve">Communication du Groupe de travail de l’éclairage </w:t>
      </w:r>
      <w:r>
        <w:br/>
      </w:r>
      <w:r w:rsidR="00A92060" w:rsidRPr="00C27C85">
        <w:t>et de la signalisation lumineuse</w:t>
      </w:r>
      <w:r w:rsidRPr="00C27C85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45F573A4" w14:textId="77777777" w:rsidR="00A92060" w:rsidRDefault="00C27C85" w:rsidP="00C27C85">
      <w:pPr>
        <w:pStyle w:val="SingleTxtG"/>
        <w:ind w:firstLine="567"/>
      </w:pPr>
      <w:r w:rsidRPr="00C27C85">
        <w:rPr>
          <w:bCs/>
        </w:rPr>
        <w:t>L</w:t>
      </w:r>
      <w:r w:rsidR="00A92060">
        <w:t>e texte ci-après a été adopté par le Groupe de travail de l’éclairage et de la signalisation lumineuse (GRE) à ses quatre-vingtième et quatre-vingt-unième sessions (ECE/TRANS/WP.29/GRE/80, par.</w:t>
      </w:r>
      <w:r>
        <w:t> </w:t>
      </w:r>
      <w:r w:rsidR="00A92060">
        <w:t>18, et ECE/TRANS/WP.29/GRE/81, par.</w:t>
      </w:r>
      <w:r>
        <w:t> </w:t>
      </w:r>
      <w:r w:rsidR="00A92060">
        <w:t xml:space="preserve">16). Il est fondé sur les documents ECE/TRANS/WP.29/GRE/2018/41 et ECE/TRANS/WP.29/GRE/2019/5 et est soumis au Forum mondial de l’harmonisation des Règlements concernant les véhicules (WP.29) et au Comité d’administration </w:t>
      </w:r>
      <w:r w:rsidR="00A92060" w:rsidRPr="00B76642">
        <w:t>de l</w:t>
      </w:r>
      <w:r w:rsidR="00A92060">
        <w:t>’</w:t>
      </w:r>
      <w:r w:rsidR="00A92060" w:rsidRPr="00B76642">
        <w:t xml:space="preserve">Accord de 1958 </w:t>
      </w:r>
      <w:r w:rsidR="00A92060">
        <w:t>(AC.1) pour examen à leurs sessions de novembre 2019.</w:t>
      </w:r>
    </w:p>
    <w:p w14:paraId="74622DAC" w14:textId="77777777" w:rsidR="00A92060" w:rsidRDefault="00A92060" w:rsidP="00C27C85">
      <w:pPr>
        <w:pStyle w:val="HChG"/>
      </w:pPr>
      <w:r>
        <w:br w:type="page"/>
      </w:r>
      <w:r w:rsidR="00C27C85">
        <w:lastRenderedPageBreak/>
        <w:tab/>
      </w:r>
      <w:r w:rsidR="00C27C85">
        <w:tab/>
      </w:r>
      <w:r>
        <w:t xml:space="preserve">Complément 13 à la série 06 d’amendements au Règlement ONU </w:t>
      </w:r>
      <w:r w:rsidRPr="00B76642">
        <w:t>n</w:t>
      </w:r>
      <w:r w:rsidRPr="00B76642">
        <w:rPr>
          <w:vertAlign w:val="superscript"/>
        </w:rPr>
        <w:t>o</w:t>
      </w:r>
      <w:r>
        <w:t xml:space="preserve"> 48 (Installation des dispositifs d’éclairage </w:t>
      </w:r>
      <w:r w:rsidR="00C27C85">
        <w:br/>
      </w:r>
      <w:r>
        <w:t>et de signalisation lumineuse</w:t>
      </w:r>
      <w:r w:rsidR="00F64933">
        <w:t>)</w:t>
      </w:r>
    </w:p>
    <w:p w14:paraId="757F0A2E" w14:textId="77777777" w:rsidR="00A92060" w:rsidRPr="00636455" w:rsidRDefault="00A92060" w:rsidP="00636455">
      <w:pPr>
        <w:pStyle w:val="SingleTxtG"/>
        <w:keepNext/>
      </w:pPr>
      <w:r w:rsidRPr="00636455">
        <w:rPr>
          <w:i/>
        </w:rPr>
        <w:t>Ajouter un nouveau paragraphe 2.9.1.6.1</w:t>
      </w:r>
      <w:r w:rsidRPr="00636455">
        <w:t>, libellé comme suit</w:t>
      </w:r>
      <w:r w:rsidR="00C27C85" w:rsidRPr="00636455">
        <w:t> </w:t>
      </w:r>
      <w:r w:rsidRPr="00636455">
        <w:t>:</w:t>
      </w:r>
    </w:p>
    <w:p w14:paraId="25B679BA" w14:textId="77777777" w:rsidR="00A92060" w:rsidRPr="00636455" w:rsidRDefault="00A92060" w:rsidP="00636455">
      <w:pPr>
        <w:pStyle w:val="SingleTxtG"/>
        <w:tabs>
          <w:tab w:val="left" w:pos="2268"/>
        </w:tabs>
        <w:ind w:left="2268" w:hanging="1134"/>
      </w:pPr>
      <w:r w:rsidRPr="00636455">
        <w:t>« 2.9.1.6.1</w:t>
      </w:r>
      <w:r w:rsidR="00636455" w:rsidRPr="00636455">
        <w:tab/>
      </w:r>
      <w:r w:rsidRPr="00636455">
        <w:t>Une “</w:t>
      </w:r>
      <w:r w:rsidRPr="00636455">
        <w:rPr>
          <w:i/>
        </w:rPr>
        <w:t>source lumineuse à DEL de substitution</w:t>
      </w:r>
      <w:r w:rsidRPr="00636455">
        <w:t>” est une source lumineuse à DEL, d’une catégorie à laquelle correspond une source</w:t>
      </w:r>
      <w:r w:rsidR="00837889" w:rsidRPr="00636455">
        <w:t xml:space="preserve"> </w:t>
      </w:r>
      <w:r w:rsidRPr="00636455">
        <w:t>lumineuse de catégorie équivalente qui produit de la lumière au moyen d’une autre technologie. »</w:t>
      </w:r>
      <w:r w:rsidR="00F64933">
        <w:t>.</w:t>
      </w:r>
    </w:p>
    <w:p w14:paraId="6468A784" w14:textId="77777777" w:rsidR="00A92060" w:rsidRPr="00636455" w:rsidRDefault="00A92060" w:rsidP="00636455">
      <w:pPr>
        <w:pStyle w:val="SingleTxtG"/>
        <w:keepNext/>
      </w:pPr>
      <w:r w:rsidRPr="00636455">
        <w:rPr>
          <w:i/>
        </w:rPr>
        <w:t>Paragraphe 3.2.5</w:t>
      </w:r>
      <w:r w:rsidRPr="00636455">
        <w:t>, lire :</w:t>
      </w:r>
    </w:p>
    <w:p w14:paraId="1DEF4FB7" w14:textId="77777777" w:rsidR="00A92060" w:rsidRPr="00636455" w:rsidRDefault="00A92060" w:rsidP="00636455">
      <w:pPr>
        <w:pStyle w:val="SingleTxtG"/>
        <w:tabs>
          <w:tab w:val="left" w:pos="2268"/>
        </w:tabs>
        <w:ind w:left="2268" w:hanging="1134"/>
      </w:pPr>
      <w:r w:rsidRPr="00636455">
        <w:t>« 3.2.5</w:t>
      </w:r>
      <w:r w:rsidR="00636455" w:rsidRPr="00636455">
        <w:tab/>
      </w:r>
      <w:r w:rsidRPr="00636455">
        <w:t>La demande d’homologation doit préciser la méthode utilisée pour la définition de la surface apparente (voir par.</w:t>
      </w:r>
      <w:r w:rsidR="00636455" w:rsidRPr="00636455">
        <w:t> </w:t>
      </w:r>
      <w:r w:rsidRPr="00636455">
        <w:t>2.10.4) ; »</w:t>
      </w:r>
      <w:r w:rsidR="00F64933">
        <w:t>.</w:t>
      </w:r>
    </w:p>
    <w:p w14:paraId="00D1F461" w14:textId="77777777" w:rsidR="00A92060" w:rsidRPr="00636455" w:rsidRDefault="00A92060" w:rsidP="00636455">
      <w:pPr>
        <w:pStyle w:val="SingleTxtG"/>
        <w:keepNext/>
      </w:pPr>
      <w:r w:rsidRPr="00636455">
        <w:rPr>
          <w:i/>
        </w:rPr>
        <w:t>Ajouter un nouveau paragraphe 3.2.8</w:t>
      </w:r>
      <w:r w:rsidRPr="00636455">
        <w:t>, libellé comme suit</w:t>
      </w:r>
      <w:r w:rsidR="00636455" w:rsidRPr="00636455">
        <w:t> </w:t>
      </w:r>
      <w:r w:rsidRPr="00636455">
        <w:t>:</w:t>
      </w:r>
    </w:p>
    <w:p w14:paraId="1198D900" w14:textId="77777777" w:rsidR="00A92060" w:rsidRPr="00636455" w:rsidRDefault="00A92060" w:rsidP="00636455">
      <w:pPr>
        <w:pStyle w:val="SingleTxtG"/>
        <w:tabs>
          <w:tab w:val="left" w:pos="2268"/>
        </w:tabs>
        <w:ind w:left="2268" w:hanging="1134"/>
      </w:pPr>
      <w:r w:rsidRPr="00636455">
        <w:rPr>
          <w:rStyle w:val="FooterChar"/>
          <w:sz w:val="20"/>
        </w:rPr>
        <w:t>« </w:t>
      </w:r>
      <w:r w:rsidRPr="00636455">
        <w:t>3.2.8</w:t>
      </w:r>
      <w:r w:rsidR="00636455" w:rsidRPr="00636455">
        <w:tab/>
      </w:r>
      <w:r w:rsidRPr="00636455">
        <w:t>À la discrétion du constructeur, une déclaration indiquant s’il est autorisé ou non d’installer sur le véhicule des feux homologués pour être équipés de sources lumineuses à DEL de substitution, et qui en sont équipés</w:t>
      </w:r>
      <w:r w:rsidR="00636455" w:rsidRPr="00636455">
        <w:t> </w:t>
      </w:r>
      <w:r w:rsidRPr="00636455">
        <w:t>; dans l’affirmative, préciser les types de feux concernés. »</w:t>
      </w:r>
      <w:r w:rsidR="00F64933">
        <w:t>.</w:t>
      </w:r>
    </w:p>
    <w:p w14:paraId="2FC98B7A" w14:textId="77777777" w:rsidR="00A92060" w:rsidRPr="00636455" w:rsidRDefault="00A92060" w:rsidP="00636455">
      <w:pPr>
        <w:pStyle w:val="SingleTxtG"/>
        <w:keepNext/>
      </w:pPr>
      <w:r w:rsidRPr="00636455">
        <w:rPr>
          <w:i/>
        </w:rPr>
        <w:t>Ajouter un nouveau paragraphe 5.11.1.3</w:t>
      </w:r>
      <w:r w:rsidRPr="00636455">
        <w:t>, libellé comme suit</w:t>
      </w:r>
      <w:r w:rsidR="00636455" w:rsidRPr="00636455">
        <w:t> </w:t>
      </w:r>
      <w:r w:rsidRPr="00636455">
        <w:t>:</w:t>
      </w:r>
    </w:p>
    <w:p w14:paraId="61F88852" w14:textId="77777777" w:rsidR="00A92060" w:rsidRPr="00636455" w:rsidRDefault="00A92060" w:rsidP="00636455">
      <w:pPr>
        <w:pStyle w:val="SingleTxtG"/>
        <w:tabs>
          <w:tab w:val="left" w:pos="2268"/>
        </w:tabs>
        <w:ind w:left="2268" w:hanging="1134"/>
      </w:pPr>
      <w:r w:rsidRPr="00636455">
        <w:rPr>
          <w:rStyle w:val="FooterChar"/>
          <w:sz w:val="20"/>
        </w:rPr>
        <w:t>« </w:t>
      </w:r>
      <w:r w:rsidRPr="00636455">
        <w:t>5.11.1.3</w:t>
      </w:r>
      <w:r w:rsidR="00636455" w:rsidRPr="00636455">
        <w:tab/>
      </w:r>
      <w:r w:rsidRPr="00636455">
        <w:t>Lorsque le système de signalisation lumineuse fonctionne tel que</w:t>
      </w:r>
      <w:r w:rsidR="00837889" w:rsidRPr="00636455">
        <w:t xml:space="preserve"> </w:t>
      </w:r>
      <w:r w:rsidRPr="00636455">
        <w:t>prévu au paragraphe</w:t>
      </w:r>
      <w:r w:rsidR="00636455" w:rsidRPr="00636455">
        <w:t> </w:t>
      </w:r>
      <w:r w:rsidRPr="00636455">
        <w:t>6.19.7.4. »</w:t>
      </w:r>
      <w:r w:rsidR="00636455" w:rsidRPr="00636455">
        <w:t>.</w:t>
      </w:r>
    </w:p>
    <w:p w14:paraId="16928E71" w14:textId="77777777" w:rsidR="00A92060" w:rsidRPr="00636455" w:rsidRDefault="00A92060" w:rsidP="00C27C85">
      <w:pPr>
        <w:pStyle w:val="SingleTxtG"/>
      </w:pPr>
      <w:r w:rsidRPr="00636455">
        <w:rPr>
          <w:i/>
        </w:rPr>
        <w:t>Les paragraphes 5.11.2 et 5.11.3</w:t>
      </w:r>
      <w:r w:rsidRPr="00636455">
        <w:t xml:space="preserve"> deviennent les paragraphes 5.11.1.4 et 5.11.2, respectivement.</w:t>
      </w:r>
    </w:p>
    <w:p w14:paraId="0F6F3C5A" w14:textId="77777777" w:rsidR="00A92060" w:rsidRPr="00636455" w:rsidRDefault="00A92060" w:rsidP="00636455">
      <w:pPr>
        <w:pStyle w:val="SingleTxtG"/>
        <w:keepNext/>
      </w:pPr>
      <w:r w:rsidRPr="00636455">
        <w:rPr>
          <w:i/>
        </w:rPr>
        <w:t>Ajouter un nouveau paragraphe 5.32</w:t>
      </w:r>
      <w:r w:rsidRPr="00636455">
        <w:t>, libellé comme suit</w:t>
      </w:r>
      <w:r w:rsidR="00636455" w:rsidRPr="00636455">
        <w:t> </w:t>
      </w:r>
      <w:r w:rsidRPr="00636455">
        <w:t>:</w:t>
      </w:r>
    </w:p>
    <w:p w14:paraId="396AFE1F" w14:textId="77777777" w:rsidR="00A92060" w:rsidRPr="00636455" w:rsidRDefault="00A92060" w:rsidP="00636455">
      <w:pPr>
        <w:pStyle w:val="SingleTxtG"/>
        <w:tabs>
          <w:tab w:val="left" w:pos="2268"/>
        </w:tabs>
        <w:ind w:left="2268" w:hanging="1134"/>
      </w:pPr>
      <w:r w:rsidRPr="00636455">
        <w:t>« 5.32</w:t>
      </w:r>
      <w:r w:rsidR="00636455">
        <w:tab/>
      </w:r>
      <w:r w:rsidRPr="00636455">
        <w:t>L’utilisation de feux homologués pour être équipés de sources lumineuses à DEL de substitution, et qui en sont équipés, est autorisée uniquement lorsqu’il est répondu positivement à la question du paragraphe 3.2.8.</w:t>
      </w:r>
    </w:p>
    <w:p w14:paraId="58A3B24B" w14:textId="77777777" w:rsidR="00A92060" w:rsidRPr="00636455" w:rsidRDefault="00A92060" w:rsidP="00636455">
      <w:pPr>
        <w:pStyle w:val="SingleTxtG"/>
        <w:ind w:left="2268"/>
      </w:pPr>
      <w:r w:rsidRPr="00636455">
        <w:t>Pour vérifier que cette déclaration est suivie d’effets, il faut contrôler la présence sur les feux de la marque relative à l’utilisation de sources lumineuses à DEL de substitution, tant au stade de l’homologation de type qu’à celui de la vérification de la conformité de la production. »</w:t>
      </w:r>
      <w:r w:rsidR="00636455">
        <w:t>.</w:t>
      </w:r>
    </w:p>
    <w:p w14:paraId="1AFBC895" w14:textId="77777777" w:rsidR="00A92060" w:rsidRPr="00636455" w:rsidRDefault="00A92060" w:rsidP="00636455">
      <w:pPr>
        <w:pStyle w:val="SingleTxtG"/>
        <w:keepNext/>
      </w:pPr>
      <w:r w:rsidRPr="00636455">
        <w:rPr>
          <w:i/>
          <w:lang w:val="fr-FR"/>
        </w:rPr>
        <w:t>Paragraphe 6.2.7.7</w:t>
      </w:r>
      <w:r w:rsidRPr="00636455">
        <w:rPr>
          <w:lang w:val="fr-FR"/>
        </w:rPr>
        <w:t>, lire :</w:t>
      </w:r>
    </w:p>
    <w:p w14:paraId="484AADBB" w14:textId="77777777" w:rsidR="00A92060" w:rsidRPr="00636455" w:rsidRDefault="00A92060" w:rsidP="00636455">
      <w:pPr>
        <w:pStyle w:val="SingleTxtG"/>
        <w:tabs>
          <w:tab w:val="left" w:pos="2268"/>
        </w:tabs>
        <w:ind w:left="2268" w:hanging="1134"/>
      </w:pPr>
      <w:r w:rsidRPr="00636455">
        <w:rPr>
          <w:lang w:val="fr-FR"/>
        </w:rPr>
        <w:t>« 6.2.7.7</w:t>
      </w:r>
      <w:r w:rsidR="00636455">
        <w:rPr>
          <w:lang w:val="fr-FR"/>
        </w:rPr>
        <w:tab/>
      </w:r>
      <w:r w:rsidRPr="00636455">
        <w:rPr>
          <w:lang w:val="fr-FR"/>
        </w:rPr>
        <w:t>Sans préjudice du paragraphe</w:t>
      </w:r>
      <w:r w:rsidR="00636455">
        <w:rPr>
          <w:lang w:val="fr-FR"/>
        </w:rPr>
        <w:t> </w:t>
      </w:r>
      <w:r w:rsidRPr="00636455">
        <w:rPr>
          <w:lang w:val="fr-FR"/>
        </w:rPr>
        <w:t>6.2.7.6, les feux de</w:t>
      </w:r>
      <w:r w:rsidR="00636455">
        <w:rPr>
          <w:lang w:val="fr-FR"/>
        </w:rPr>
        <w:t xml:space="preserve"> </w:t>
      </w:r>
      <w:r w:rsidRPr="00636455">
        <w:rPr>
          <w:lang w:val="fr-FR"/>
        </w:rPr>
        <w:t xml:space="preserve">croisement peuvent aussi s’allumer et s’éteindre automatiquement en fonction d’autres facteurs tels que l’heure </w:t>
      </w:r>
      <w:proofErr w:type="spellStart"/>
      <w:r w:rsidRPr="00636455">
        <w:rPr>
          <w:lang w:val="fr-FR"/>
        </w:rPr>
        <w:t>ou</w:t>
      </w:r>
      <w:proofErr w:type="spellEnd"/>
      <w:r w:rsidRPr="00636455">
        <w:rPr>
          <w:lang w:val="fr-FR"/>
        </w:rPr>
        <w:t xml:space="preserve"> les conditions ambiantes (par exemple le moment de la journée, l’emplacement du véhicule, la pluie, le brouillard, etc.). ».</w:t>
      </w:r>
    </w:p>
    <w:p w14:paraId="73F7C236" w14:textId="77777777" w:rsidR="00A92060" w:rsidRPr="00636455" w:rsidRDefault="00A92060" w:rsidP="00636455">
      <w:pPr>
        <w:pStyle w:val="SingleTxtG"/>
        <w:keepNext/>
      </w:pPr>
      <w:r w:rsidRPr="00636455">
        <w:rPr>
          <w:i/>
          <w:lang w:val="fr-FR"/>
        </w:rPr>
        <w:t>Paragraphe 6.9.8</w:t>
      </w:r>
      <w:r w:rsidRPr="00636455">
        <w:rPr>
          <w:lang w:val="fr-FR"/>
        </w:rPr>
        <w:t>, lire :</w:t>
      </w:r>
    </w:p>
    <w:p w14:paraId="02E2854F" w14:textId="77777777" w:rsidR="00A92060" w:rsidRPr="00636455" w:rsidRDefault="00A92060" w:rsidP="00636455">
      <w:pPr>
        <w:pStyle w:val="SingleTxtG"/>
        <w:tabs>
          <w:tab w:val="left" w:pos="2268"/>
        </w:tabs>
        <w:ind w:left="2268" w:hanging="1134"/>
      </w:pPr>
      <w:r w:rsidRPr="00636455">
        <w:rPr>
          <w:lang w:val="fr-FR"/>
        </w:rPr>
        <w:t>« 6.9.8</w:t>
      </w:r>
      <w:r w:rsidR="00636455">
        <w:rPr>
          <w:lang w:val="fr-FR"/>
        </w:rPr>
        <w:tab/>
      </w:r>
      <w:r w:rsidRPr="00636455">
        <w:rPr>
          <w:lang w:val="fr-FR"/>
        </w:rPr>
        <w:t>Témoin</w:t>
      </w:r>
    </w:p>
    <w:p w14:paraId="4720EC8F" w14:textId="77777777" w:rsidR="00A92060" w:rsidRPr="00636455" w:rsidRDefault="00A92060" w:rsidP="00636455">
      <w:pPr>
        <w:pStyle w:val="SingleTxtG"/>
        <w:ind w:left="2268"/>
        <w:rPr>
          <w:rFonts w:eastAsia="MS Mincho"/>
        </w:rPr>
      </w:pPr>
      <w:r w:rsidRPr="00636455">
        <w:rPr>
          <w:lang w:val="fr-FR"/>
        </w:rPr>
        <w:t>Témoin d’enclenchement obligatoire. Ce témoin ne doit pas être clignotant. Il n’est pas exigé si le dispositif</w:t>
      </w:r>
      <w:r w:rsidR="00837889" w:rsidRPr="00636455">
        <w:rPr>
          <w:lang w:val="fr-FR"/>
        </w:rPr>
        <w:t xml:space="preserve"> </w:t>
      </w:r>
      <w:r w:rsidRPr="00636455">
        <w:rPr>
          <w:lang w:val="fr-FR"/>
        </w:rPr>
        <w:t>d’éclairage du tableau de bord ne peut être allumé que simultanément avec les feux de position avant.</w:t>
      </w:r>
    </w:p>
    <w:p w14:paraId="55200104" w14:textId="77777777" w:rsidR="00A92060" w:rsidRPr="00636455" w:rsidRDefault="00A92060" w:rsidP="00636455">
      <w:pPr>
        <w:pStyle w:val="SingleTxtG"/>
        <w:ind w:left="2268"/>
        <w:rPr>
          <w:rFonts w:eastAsia="MS Mincho"/>
        </w:rPr>
      </w:pPr>
      <w:r w:rsidRPr="00636455">
        <w:rPr>
          <w:lang w:val="fr-FR"/>
        </w:rPr>
        <w:t>Cette prescription ne s’applique pas lorsque le système</w:t>
      </w:r>
      <w:r w:rsidR="00837889" w:rsidRPr="00636455">
        <w:rPr>
          <w:lang w:val="fr-FR"/>
        </w:rPr>
        <w:t xml:space="preserve"> </w:t>
      </w:r>
      <w:r w:rsidRPr="00636455">
        <w:rPr>
          <w:lang w:val="fr-FR"/>
        </w:rPr>
        <w:t>de signalisation lumineuse fonctionne comme indiqué au paragraphe 6.19.7.4.</w:t>
      </w:r>
    </w:p>
    <w:p w14:paraId="47D3E9D8" w14:textId="77777777" w:rsidR="00A92060" w:rsidRPr="00636455" w:rsidRDefault="00A92060" w:rsidP="00636455">
      <w:pPr>
        <w:pStyle w:val="SingleTxtG"/>
        <w:ind w:left="2268"/>
        <w:rPr>
          <w:rFonts w:eastAsia="MS Mincho"/>
        </w:rPr>
      </w:pPr>
      <w:r w:rsidRPr="00636455">
        <w:rPr>
          <w:lang w:val="fr-FR"/>
        </w:rPr>
        <w:t>Toutefois, un témoin de défaut de fonctionnement est obligatoire s’il est prescrit par le règlement applicable au composant. ».</w:t>
      </w:r>
    </w:p>
    <w:p w14:paraId="27BED2D2" w14:textId="77777777" w:rsidR="00A92060" w:rsidRPr="00636455" w:rsidRDefault="00A92060" w:rsidP="00636455">
      <w:pPr>
        <w:pStyle w:val="SingleTxtG"/>
        <w:keepNext/>
      </w:pPr>
      <w:r w:rsidRPr="00636455">
        <w:rPr>
          <w:i/>
          <w:lang w:val="fr-FR"/>
        </w:rPr>
        <w:t>Paragraphe 6.10.8</w:t>
      </w:r>
      <w:r w:rsidRPr="00636455">
        <w:rPr>
          <w:lang w:val="fr-FR"/>
        </w:rPr>
        <w:t>, lire :</w:t>
      </w:r>
    </w:p>
    <w:p w14:paraId="5EAA837A" w14:textId="77777777" w:rsidR="00A92060" w:rsidRPr="00636455" w:rsidRDefault="00A92060" w:rsidP="00636455">
      <w:pPr>
        <w:pStyle w:val="SingleTxtG"/>
        <w:keepNext/>
        <w:tabs>
          <w:tab w:val="left" w:pos="2268"/>
        </w:tabs>
        <w:ind w:left="2268" w:hanging="1134"/>
      </w:pPr>
      <w:r w:rsidRPr="00636455">
        <w:rPr>
          <w:lang w:val="fr-FR"/>
        </w:rPr>
        <w:t>« 6.10.8</w:t>
      </w:r>
      <w:r w:rsidR="00636455" w:rsidRPr="00636455">
        <w:rPr>
          <w:lang w:val="fr-FR"/>
        </w:rPr>
        <w:tab/>
      </w:r>
      <w:r w:rsidRPr="00636455">
        <w:rPr>
          <w:lang w:val="fr-FR"/>
        </w:rPr>
        <w:t>Témoin</w:t>
      </w:r>
    </w:p>
    <w:p w14:paraId="4E82BA35" w14:textId="77777777" w:rsidR="00A92060" w:rsidRPr="00636455" w:rsidRDefault="00A92060" w:rsidP="00636455">
      <w:pPr>
        <w:pStyle w:val="SingleTxtG"/>
        <w:ind w:left="2268"/>
        <w:rPr>
          <w:rFonts w:eastAsia="MS Mincho"/>
        </w:rPr>
      </w:pPr>
      <w:r w:rsidRPr="00636455">
        <w:rPr>
          <w:lang w:val="fr-FR"/>
        </w:rPr>
        <w:t>Témoin d’enclenchement obligatoire. Il doit être combiné avec celui des feux de position avant.</w:t>
      </w:r>
    </w:p>
    <w:p w14:paraId="082E69C2" w14:textId="77777777" w:rsidR="00A92060" w:rsidRPr="00636455" w:rsidRDefault="00A92060" w:rsidP="00636455">
      <w:pPr>
        <w:pStyle w:val="SingleTxtG"/>
        <w:ind w:left="2268"/>
        <w:rPr>
          <w:rFonts w:eastAsia="MS Mincho"/>
        </w:rPr>
      </w:pPr>
      <w:r w:rsidRPr="00636455">
        <w:rPr>
          <w:bCs/>
          <w:lang w:val="fr-FR"/>
        </w:rPr>
        <w:lastRenderedPageBreak/>
        <w:t>Cette prescription ne s’applique pas lorsque le système de signalisation lumineuse fonctionne comme indiqué au paragraphe 6.19.7.4.</w:t>
      </w:r>
    </w:p>
    <w:p w14:paraId="779BFD88" w14:textId="77777777" w:rsidR="00A92060" w:rsidRPr="00636455" w:rsidRDefault="00A92060" w:rsidP="00636455">
      <w:pPr>
        <w:pStyle w:val="SingleTxtG"/>
        <w:ind w:left="2268"/>
        <w:rPr>
          <w:rFonts w:eastAsia="MS Mincho"/>
        </w:rPr>
      </w:pPr>
      <w:r w:rsidRPr="00636455">
        <w:rPr>
          <w:lang w:val="fr-FR"/>
        </w:rPr>
        <w:t>Toutefois, un témoin de défaut de fonctionnement est</w:t>
      </w:r>
      <w:r w:rsidR="00837889" w:rsidRPr="00636455">
        <w:rPr>
          <w:lang w:val="fr-FR"/>
        </w:rPr>
        <w:t xml:space="preserve"> </w:t>
      </w:r>
      <w:r w:rsidRPr="00636455">
        <w:rPr>
          <w:lang w:val="fr-FR"/>
        </w:rPr>
        <w:t>obligatoire s’il est prescrit par le règlement applicable au</w:t>
      </w:r>
      <w:r w:rsidR="00837889" w:rsidRPr="00636455">
        <w:rPr>
          <w:lang w:val="fr-FR"/>
        </w:rPr>
        <w:t xml:space="preserve"> </w:t>
      </w:r>
      <w:r w:rsidRPr="00636455">
        <w:rPr>
          <w:lang w:val="fr-FR"/>
        </w:rPr>
        <w:t>composant. ».</w:t>
      </w:r>
    </w:p>
    <w:p w14:paraId="365A443E" w14:textId="77777777" w:rsidR="00A92060" w:rsidRPr="00636455" w:rsidRDefault="00A92060" w:rsidP="00636455">
      <w:pPr>
        <w:pStyle w:val="SingleTxtG"/>
        <w:keepNext/>
      </w:pPr>
      <w:r w:rsidRPr="00636455">
        <w:rPr>
          <w:i/>
          <w:lang w:val="fr-FR"/>
        </w:rPr>
        <w:t>Paragraphe 6.19.7.4</w:t>
      </w:r>
      <w:r w:rsidRPr="00636455">
        <w:rPr>
          <w:lang w:val="fr-FR"/>
        </w:rPr>
        <w:t>, lire :</w:t>
      </w:r>
    </w:p>
    <w:p w14:paraId="3FF8BF7D" w14:textId="77777777" w:rsidR="00A92060" w:rsidRPr="00636455" w:rsidRDefault="00A92060" w:rsidP="00636455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636455">
        <w:rPr>
          <w:lang w:val="fr-FR"/>
        </w:rPr>
        <w:t>« 6.19.7.4</w:t>
      </w:r>
      <w:r w:rsidR="00636455" w:rsidRPr="00636455">
        <w:rPr>
          <w:lang w:val="fr-FR"/>
        </w:rPr>
        <w:tab/>
      </w:r>
      <w:r w:rsidRPr="00636455">
        <w:rPr>
          <w:lang w:val="fr-FR"/>
        </w:rPr>
        <w:t>Les feux mentionnés au paragraphe</w:t>
      </w:r>
      <w:r w:rsidR="00636455" w:rsidRPr="00636455">
        <w:rPr>
          <w:lang w:val="fr-FR"/>
        </w:rPr>
        <w:t> </w:t>
      </w:r>
      <w:r w:rsidRPr="00636455">
        <w:rPr>
          <w:lang w:val="fr-FR"/>
        </w:rPr>
        <w:t>5.11 peuvent s’allumer</w:t>
      </w:r>
      <w:r w:rsidR="00837889" w:rsidRPr="00636455">
        <w:rPr>
          <w:lang w:val="fr-FR"/>
        </w:rPr>
        <w:t xml:space="preserve"> </w:t>
      </w:r>
      <w:r w:rsidRPr="00636455">
        <w:rPr>
          <w:lang w:val="fr-FR"/>
        </w:rPr>
        <w:t>lorsque les feux de circulation diurne sont allumés. Si l’on choisit cette option, les feux de position arrière, au moins, doivent être allumés. »</w:t>
      </w:r>
      <w:r w:rsidR="00636455" w:rsidRPr="00636455">
        <w:rPr>
          <w:lang w:val="fr-FR"/>
        </w:rPr>
        <w:t>.</w:t>
      </w:r>
    </w:p>
    <w:p w14:paraId="44D6E465" w14:textId="77777777" w:rsidR="00A92060" w:rsidRPr="00636455" w:rsidRDefault="00A92060" w:rsidP="00636455">
      <w:pPr>
        <w:pStyle w:val="SingleTxtG"/>
        <w:keepNext/>
      </w:pPr>
      <w:r w:rsidRPr="00636455">
        <w:rPr>
          <w:i/>
        </w:rPr>
        <w:t>Annexe 1, ajouter un point 9.30</w:t>
      </w:r>
      <w:r w:rsidRPr="00636455">
        <w:t xml:space="preserve">, libellé comme suit : </w:t>
      </w:r>
    </w:p>
    <w:p w14:paraId="0304C332" w14:textId="77777777" w:rsidR="00A92060" w:rsidRDefault="00A92060" w:rsidP="00636455">
      <w:pPr>
        <w:pStyle w:val="SingleTxtG"/>
        <w:tabs>
          <w:tab w:val="left" w:pos="2268"/>
        </w:tabs>
        <w:ind w:left="2268" w:hanging="1134"/>
        <w:rPr>
          <w:sz w:val="18"/>
          <w:szCs w:val="18"/>
          <w:vertAlign w:val="superscript"/>
        </w:rPr>
      </w:pPr>
      <w:r w:rsidRPr="00636455">
        <w:t>« 9.30</w:t>
      </w:r>
      <w:r w:rsidR="00636455">
        <w:tab/>
      </w:r>
      <w:r w:rsidRPr="00636455">
        <w:t>Feux homologués pour être équipés de sources lumineuses à DEL de</w:t>
      </w:r>
      <w:r w:rsidR="00636455">
        <w:t xml:space="preserve"> </w:t>
      </w:r>
      <w:r w:rsidRPr="00636455">
        <w:t>substitution, et qui en sont équipés, autorisés sur ce type de véhicule</w:t>
      </w:r>
      <w:r w:rsidR="00636455">
        <w:t> </w:t>
      </w:r>
      <w:r w:rsidRPr="00636455">
        <w:t>: oui/non</w:t>
      </w:r>
      <w:r w:rsidRPr="00636455">
        <w:rPr>
          <w:sz w:val="18"/>
          <w:szCs w:val="18"/>
          <w:vertAlign w:val="superscript"/>
        </w:rPr>
        <w:t>2, 3</w:t>
      </w:r>
    </w:p>
    <w:p w14:paraId="68C11A19" w14:textId="77777777" w:rsidR="00636455" w:rsidRPr="00636455" w:rsidRDefault="00636455" w:rsidP="00636455">
      <w:pPr>
        <w:tabs>
          <w:tab w:val="decimal" w:leader="dot" w:pos="8505"/>
        </w:tabs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</w:pPr>
      <w:r>
        <w:tab/>
      </w:r>
      <w:r>
        <w:tab/>
      </w:r>
    </w:p>
    <w:p w14:paraId="53130F1E" w14:textId="77777777" w:rsidR="00A92060" w:rsidRDefault="00A92060" w:rsidP="00BB6266">
      <w:pPr>
        <w:tabs>
          <w:tab w:val="left" w:pos="2552"/>
        </w:tabs>
        <w:spacing w:after="120"/>
        <w:ind w:left="2268"/>
        <w:rPr>
          <w:sz w:val="18"/>
          <w:szCs w:val="18"/>
        </w:rPr>
      </w:pPr>
      <w:r w:rsidRPr="00BB6266">
        <w:rPr>
          <w:sz w:val="18"/>
          <w:szCs w:val="18"/>
          <w:vertAlign w:val="superscript"/>
        </w:rPr>
        <w:t>3</w:t>
      </w:r>
      <w:r w:rsidR="00BB6266">
        <w:rPr>
          <w:sz w:val="18"/>
          <w:szCs w:val="18"/>
        </w:rPr>
        <w:tab/>
      </w:r>
      <w:r w:rsidRPr="00636455">
        <w:rPr>
          <w:sz w:val="18"/>
          <w:szCs w:val="18"/>
        </w:rPr>
        <w:t>Dans l’affirmative, donner la liste des feux utilisables. »</w:t>
      </w:r>
      <w:r w:rsidR="00BB6266">
        <w:rPr>
          <w:sz w:val="18"/>
          <w:szCs w:val="18"/>
        </w:rPr>
        <w:t>.</w:t>
      </w:r>
    </w:p>
    <w:p w14:paraId="1D37E12B" w14:textId="77777777" w:rsidR="00BB6266" w:rsidRPr="00BB6266" w:rsidRDefault="00BB6266" w:rsidP="00BB626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B6266" w:rsidRPr="00BB6266" w:rsidSect="004B622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59CFB" w14:textId="77777777" w:rsidR="00D70410" w:rsidRDefault="00D70410" w:rsidP="00F95C08">
      <w:pPr>
        <w:spacing w:line="240" w:lineRule="auto"/>
      </w:pPr>
    </w:p>
  </w:endnote>
  <w:endnote w:type="continuationSeparator" w:id="0">
    <w:p w14:paraId="6CF69444" w14:textId="77777777" w:rsidR="00D70410" w:rsidRPr="00AC3823" w:rsidRDefault="00D70410" w:rsidP="00AC3823">
      <w:pPr>
        <w:pStyle w:val="Footer"/>
      </w:pPr>
    </w:p>
  </w:endnote>
  <w:endnote w:type="continuationNotice" w:id="1">
    <w:p w14:paraId="64BA86B8" w14:textId="77777777" w:rsidR="00D70410" w:rsidRDefault="00D704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B526D" w14:textId="77777777" w:rsidR="004B6225" w:rsidRPr="004B6225" w:rsidRDefault="004B6225" w:rsidP="004B6225">
    <w:pPr>
      <w:pStyle w:val="Footer"/>
      <w:tabs>
        <w:tab w:val="right" w:pos="9638"/>
      </w:tabs>
    </w:pPr>
    <w:r w:rsidRPr="004B6225">
      <w:rPr>
        <w:b/>
        <w:sz w:val="18"/>
      </w:rPr>
      <w:fldChar w:fldCharType="begin"/>
    </w:r>
    <w:r w:rsidRPr="004B6225">
      <w:rPr>
        <w:b/>
        <w:sz w:val="18"/>
      </w:rPr>
      <w:instrText xml:space="preserve"> PAGE  \* MERGEFORMAT </w:instrText>
    </w:r>
    <w:r w:rsidRPr="004B6225">
      <w:rPr>
        <w:b/>
        <w:sz w:val="18"/>
      </w:rPr>
      <w:fldChar w:fldCharType="separate"/>
    </w:r>
    <w:r w:rsidRPr="004B6225">
      <w:rPr>
        <w:b/>
        <w:noProof/>
        <w:sz w:val="18"/>
      </w:rPr>
      <w:t>2</w:t>
    </w:r>
    <w:r w:rsidRPr="004B6225">
      <w:rPr>
        <w:b/>
        <w:sz w:val="18"/>
      </w:rPr>
      <w:fldChar w:fldCharType="end"/>
    </w:r>
    <w:r w:rsidR="00F64933">
      <w:rPr>
        <w:b/>
        <w:sz w:val="18"/>
      </w:rPr>
      <w:tab/>
    </w:r>
    <w:r>
      <w:t>GE.19-14754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B950" w14:textId="77777777" w:rsidR="004B6225" w:rsidRPr="004B6225" w:rsidRDefault="004B6225" w:rsidP="004B6225">
    <w:pPr>
      <w:pStyle w:val="Footer"/>
      <w:tabs>
        <w:tab w:val="right" w:pos="9638"/>
      </w:tabs>
      <w:rPr>
        <w:b/>
        <w:sz w:val="18"/>
      </w:rPr>
    </w:pPr>
    <w:r>
      <w:t>GE.19-14754</w:t>
    </w:r>
    <w:r w:rsidR="00F64933">
      <w:tab/>
    </w:r>
    <w:r w:rsidRPr="004B6225">
      <w:rPr>
        <w:b/>
        <w:sz w:val="18"/>
      </w:rPr>
      <w:fldChar w:fldCharType="begin"/>
    </w:r>
    <w:r w:rsidRPr="004B6225">
      <w:rPr>
        <w:b/>
        <w:sz w:val="18"/>
      </w:rPr>
      <w:instrText xml:space="preserve"> PAGE  \* MERGEFORMAT </w:instrText>
    </w:r>
    <w:r w:rsidRPr="004B6225">
      <w:rPr>
        <w:b/>
        <w:sz w:val="18"/>
      </w:rPr>
      <w:fldChar w:fldCharType="separate"/>
    </w:r>
    <w:r w:rsidRPr="004B6225">
      <w:rPr>
        <w:b/>
        <w:noProof/>
        <w:sz w:val="18"/>
      </w:rPr>
      <w:t>3</w:t>
    </w:r>
    <w:r w:rsidRPr="004B622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67B2D" w14:textId="77777777" w:rsidR="007F20FA" w:rsidRPr="004B6225" w:rsidRDefault="004B6225" w:rsidP="004B622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5C5984A" wp14:editId="7870308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14754  (</w:t>
    </w:r>
    <w:proofErr w:type="gramEnd"/>
    <w:r>
      <w:rPr>
        <w:sz w:val="20"/>
      </w:rPr>
      <w:t>F)    130919    270919</w:t>
    </w:r>
    <w:r>
      <w:rPr>
        <w:sz w:val="20"/>
      </w:rPr>
      <w:br/>
    </w:r>
    <w:r w:rsidRPr="004B6225">
      <w:rPr>
        <w:rFonts w:ascii="C39T30Lfz" w:hAnsi="C39T30Lfz"/>
        <w:sz w:val="56"/>
      </w:rPr>
      <w:t></w:t>
    </w:r>
    <w:r w:rsidRPr="004B6225">
      <w:rPr>
        <w:rFonts w:ascii="C39T30Lfz" w:hAnsi="C39T30Lfz"/>
        <w:sz w:val="56"/>
      </w:rPr>
      <w:t></w:t>
    </w:r>
    <w:r w:rsidRPr="004B6225">
      <w:rPr>
        <w:rFonts w:ascii="C39T30Lfz" w:hAnsi="C39T30Lfz"/>
        <w:sz w:val="56"/>
      </w:rPr>
      <w:t></w:t>
    </w:r>
    <w:r w:rsidRPr="004B6225">
      <w:rPr>
        <w:rFonts w:ascii="C39T30Lfz" w:hAnsi="C39T30Lfz"/>
        <w:sz w:val="56"/>
      </w:rPr>
      <w:t></w:t>
    </w:r>
    <w:r w:rsidRPr="004B6225">
      <w:rPr>
        <w:rFonts w:ascii="C39T30Lfz" w:hAnsi="C39T30Lfz"/>
        <w:sz w:val="56"/>
      </w:rPr>
      <w:t></w:t>
    </w:r>
    <w:r w:rsidRPr="004B6225">
      <w:rPr>
        <w:rFonts w:ascii="C39T30Lfz" w:hAnsi="C39T30Lfz"/>
        <w:sz w:val="56"/>
      </w:rPr>
      <w:t></w:t>
    </w:r>
    <w:r w:rsidRPr="004B6225">
      <w:rPr>
        <w:rFonts w:ascii="C39T30Lfz" w:hAnsi="C39T30Lfz"/>
        <w:sz w:val="56"/>
      </w:rPr>
      <w:t></w:t>
    </w:r>
    <w:r w:rsidRPr="004B6225">
      <w:rPr>
        <w:rFonts w:ascii="C39T30Lfz" w:hAnsi="C39T30Lfz"/>
        <w:sz w:val="56"/>
      </w:rPr>
      <w:t></w:t>
    </w:r>
    <w:r w:rsidRPr="004B6225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302056F" wp14:editId="7F971FE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8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8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368AB" w14:textId="77777777" w:rsidR="00D70410" w:rsidRPr="00AC3823" w:rsidRDefault="00D7041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E5F504" w14:textId="77777777" w:rsidR="00D70410" w:rsidRPr="00AC3823" w:rsidRDefault="00D7041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5777993" w14:textId="77777777" w:rsidR="00D70410" w:rsidRPr="00AC3823" w:rsidRDefault="00D70410">
      <w:pPr>
        <w:spacing w:line="240" w:lineRule="auto"/>
        <w:rPr>
          <w:sz w:val="2"/>
          <w:szCs w:val="2"/>
        </w:rPr>
      </w:pPr>
    </w:p>
  </w:footnote>
  <w:footnote w:id="2">
    <w:p w14:paraId="63AFE40B" w14:textId="77777777" w:rsidR="00C27C85" w:rsidRPr="00C27C85" w:rsidRDefault="00C27C85">
      <w:pPr>
        <w:pStyle w:val="FootnoteText"/>
        <w:rPr>
          <w:szCs w:val="18"/>
        </w:rPr>
      </w:pPr>
      <w:r>
        <w:rPr>
          <w:rStyle w:val="FootnoteReference"/>
        </w:rPr>
        <w:tab/>
      </w:r>
      <w:r w:rsidRPr="00C27C85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27C85">
        <w:rPr>
          <w:szCs w:val="18"/>
        </w:rPr>
        <w:t>Conformément au programme de travail du Comité des transports intérieurs pour la période 2018</w:t>
      </w:r>
      <w:r>
        <w:rPr>
          <w:szCs w:val="18"/>
        </w:rPr>
        <w:noBreakHyphen/>
      </w:r>
      <w:r w:rsidRPr="00C27C85">
        <w:rPr>
          <w:szCs w:val="18"/>
        </w:rPr>
        <w:t>2019 (ECE/TRANS/274, par.</w:t>
      </w:r>
      <w:r>
        <w:rPr>
          <w:szCs w:val="18"/>
        </w:rPr>
        <w:t> </w:t>
      </w:r>
      <w:r w:rsidRPr="00C27C85">
        <w:rPr>
          <w:szCs w:val="18"/>
        </w:rPr>
        <w:t>123, et ECE/TRANS/2018/21</w:t>
      </w:r>
      <w:r w:rsidR="004B4AD7">
        <w:rPr>
          <w:szCs w:val="18"/>
        </w:rPr>
        <w:t>/Add.1</w:t>
      </w:r>
      <w:r w:rsidRPr="00C27C85">
        <w:rPr>
          <w:szCs w:val="18"/>
        </w:rPr>
        <w:t>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E01F5" w14:textId="74858391" w:rsidR="004B6225" w:rsidRPr="004B6225" w:rsidRDefault="002F33AB">
    <w:pPr>
      <w:pStyle w:val="Header"/>
    </w:pPr>
    <w:fldSimple w:instr=" TITLE  \* MERGEFORMAT ">
      <w:r w:rsidR="009718CE">
        <w:t>ECE/TRANS/WP.29/2019/84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493CC" w14:textId="67BCC6F7" w:rsidR="004B6225" w:rsidRPr="004B6225" w:rsidRDefault="002F33AB" w:rsidP="004B6225">
    <w:pPr>
      <w:pStyle w:val="Header"/>
      <w:jc w:val="right"/>
    </w:pPr>
    <w:fldSimple w:instr=" TITLE  \* MERGEFORMAT ">
      <w:r w:rsidR="009718CE">
        <w:t>ECE/TRANS/WP.29/2019/84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10"/>
    <w:rsid w:val="00017F94"/>
    <w:rsid w:val="00023842"/>
    <w:rsid w:val="000334F9"/>
    <w:rsid w:val="00045FEB"/>
    <w:rsid w:val="0007796D"/>
    <w:rsid w:val="00090686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2F33AB"/>
    <w:rsid w:val="00305801"/>
    <w:rsid w:val="003916DE"/>
    <w:rsid w:val="003B2A1C"/>
    <w:rsid w:val="00421996"/>
    <w:rsid w:val="00441C3B"/>
    <w:rsid w:val="00446FE5"/>
    <w:rsid w:val="00452396"/>
    <w:rsid w:val="004837D8"/>
    <w:rsid w:val="004B4AD7"/>
    <w:rsid w:val="004B6225"/>
    <w:rsid w:val="004E2EED"/>
    <w:rsid w:val="004E468C"/>
    <w:rsid w:val="005031BE"/>
    <w:rsid w:val="005505B7"/>
    <w:rsid w:val="00573BE5"/>
    <w:rsid w:val="00586ED3"/>
    <w:rsid w:val="00596AA9"/>
    <w:rsid w:val="00636455"/>
    <w:rsid w:val="0069031B"/>
    <w:rsid w:val="0071601D"/>
    <w:rsid w:val="0074047D"/>
    <w:rsid w:val="007A62E6"/>
    <w:rsid w:val="007F20FA"/>
    <w:rsid w:val="0080684C"/>
    <w:rsid w:val="00837889"/>
    <w:rsid w:val="00871C75"/>
    <w:rsid w:val="008776DC"/>
    <w:rsid w:val="00931ABE"/>
    <w:rsid w:val="009446C0"/>
    <w:rsid w:val="009705C8"/>
    <w:rsid w:val="009718CE"/>
    <w:rsid w:val="009C1CF4"/>
    <w:rsid w:val="009F6B74"/>
    <w:rsid w:val="00A3029F"/>
    <w:rsid w:val="00A30353"/>
    <w:rsid w:val="00A92060"/>
    <w:rsid w:val="00AC3823"/>
    <w:rsid w:val="00AE323C"/>
    <w:rsid w:val="00AF0CB5"/>
    <w:rsid w:val="00B00181"/>
    <w:rsid w:val="00B00B0D"/>
    <w:rsid w:val="00B45F2E"/>
    <w:rsid w:val="00B765F7"/>
    <w:rsid w:val="00BA0CA9"/>
    <w:rsid w:val="00BB6266"/>
    <w:rsid w:val="00C02897"/>
    <w:rsid w:val="00C27C85"/>
    <w:rsid w:val="00C97039"/>
    <w:rsid w:val="00D3439C"/>
    <w:rsid w:val="00D70410"/>
    <w:rsid w:val="00DB1831"/>
    <w:rsid w:val="00DD36C2"/>
    <w:rsid w:val="00DD3BFD"/>
    <w:rsid w:val="00DF6678"/>
    <w:rsid w:val="00E0299A"/>
    <w:rsid w:val="00E85C74"/>
    <w:rsid w:val="00EA6547"/>
    <w:rsid w:val="00EF2E22"/>
    <w:rsid w:val="00F35BAF"/>
    <w:rsid w:val="00F52379"/>
    <w:rsid w:val="00F64933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617770"/>
  <w15:docId w15:val="{7E8903E2-F262-44F3-B2DF-1D894ABB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ECE/TRANS/WP.29/2019/84</vt:lpstr>
      <vt:lpstr>ECE/TRANS/WP.29/2019/84</vt:lpstr>
    </vt:vector>
  </TitlesOfParts>
  <Company>DCM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ECE/TRANS/WP.29/2019/84</dc:title>
  <dc:subject/>
  <dc:creator>Christine CHAUTAGNAT</dc:creator>
  <cp:keywords/>
  <cp:lastModifiedBy>Marie-Claude Collet</cp:lastModifiedBy>
  <cp:revision>3</cp:revision>
  <cp:lastPrinted>2019-10-01T11:48:00Z</cp:lastPrinted>
  <dcterms:created xsi:type="dcterms:W3CDTF">2019-10-01T11:47:00Z</dcterms:created>
  <dcterms:modified xsi:type="dcterms:W3CDTF">2019-10-01T11:48:00Z</dcterms:modified>
</cp:coreProperties>
</file>